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proofErr w:type="spellStart"/>
      <w:r w:rsidR="002903A7">
        <w:rPr>
          <w:rFonts w:ascii="Arial" w:hAnsi="Arial" w:cs="Arial"/>
          <w:b/>
          <w:color w:val="000000" w:themeColor="text1"/>
          <w:sz w:val="28"/>
          <w:szCs w:val="28"/>
          <w:lang w:val="en-GB"/>
        </w:rPr>
        <w:t>3A</w:t>
      </w:r>
      <w:proofErr w:type="spellEnd"/>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proofErr w:type="spellStart"/>
      <w:r>
        <w:rPr>
          <w:rFonts w:ascii="Arial" w:hAnsi="Arial" w:cs="Arial"/>
          <w:b/>
          <w:color w:val="767171" w:themeColor="background2" w:themeShade="80"/>
          <w:sz w:val="22"/>
          <w:szCs w:val="22"/>
          <w:lang w:val="en-GB"/>
        </w:rPr>
        <w:t>3A</w:t>
      </w:r>
      <w:proofErr w:type="spellEnd"/>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proofErr w:type="spellStart"/>
      <w:r>
        <w:rPr>
          <w:rFonts w:ascii="Arial" w:hAnsi="Arial" w:cs="Arial"/>
          <w:b/>
          <w:color w:val="767171" w:themeColor="background2" w:themeShade="80"/>
          <w:sz w:val="22"/>
          <w:szCs w:val="22"/>
          <w:lang w:val="en-GB"/>
        </w:rPr>
        <w:t>3A</w:t>
      </w:r>
      <w:proofErr w:type="spellEnd"/>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w:t>
      </w:r>
      <w:proofErr w:type="spellStart"/>
      <w:r w:rsidRPr="00BF1C6F">
        <w:rPr>
          <w:rFonts w:ascii="Arial" w:hAnsi="Arial" w:cs="Arial"/>
          <w:sz w:val="22"/>
          <w:szCs w:val="22"/>
          <w:lang w:val="en-GB"/>
        </w:rPr>
        <w:t>A4</w:t>
      </w:r>
      <w:proofErr w:type="spellEnd"/>
      <w:r w:rsidRPr="00BF1C6F">
        <w:rPr>
          <w:rFonts w:ascii="Arial" w:hAnsi="Arial" w:cs="Arial"/>
          <w:sz w:val="22"/>
          <w:szCs w:val="22"/>
          <w:lang w:val="en-GB"/>
        </w:rPr>
        <w:t xml:space="preserve">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spellStart"/>
      <w:r w:rsidRPr="00BF1C6F">
        <w:rPr>
          <w:rFonts w:ascii="Arial" w:hAnsi="Arial" w:cs="Arial"/>
          <w:b/>
          <w:bCs/>
          <w:sz w:val="22"/>
          <w:szCs w:val="22"/>
          <w:lang w:val="en-GB" w:eastAsia="en-GB"/>
        </w:rPr>
        <w:t>number.assessment</w:t>
      </w:r>
      <w:r>
        <w:rPr>
          <w:rFonts w:ascii="Arial" w:hAnsi="Arial" w:cs="Arial"/>
          <w:b/>
          <w:bCs/>
          <w:sz w:val="22"/>
          <w:szCs w:val="22"/>
          <w:lang w:val="en-GB" w:eastAsia="en-GB"/>
        </w:rPr>
        <w:t>3A</w:t>
      </w:r>
      <w:proofErr w:type="spellEnd"/>
      <w:r w:rsidRPr="00BF1C6F">
        <w:rPr>
          <w:rFonts w:ascii="Arial" w:hAnsi="Arial" w:cs="Arial"/>
          <w:b/>
          <w:bCs/>
          <w:sz w:val="22"/>
          <w:szCs w:val="22"/>
          <w:lang w:val="en-GB" w:eastAsia="en-GB"/>
        </w:rPr>
        <w:t>]</w:t>
      </w:r>
      <w:r w:rsidRPr="00BF1C6F">
        <w:rPr>
          <w:rFonts w:ascii="Arial" w:hAnsi="Arial" w:cs="Arial"/>
          <w:sz w:val="22"/>
          <w:szCs w:val="22"/>
          <w:lang w:val="en-GB" w:eastAsia="en-GB"/>
        </w:rPr>
        <w:t xml:space="preserve">. An example would be something along the following lines: </w:t>
      </w:r>
      <w:proofErr w:type="spellStart"/>
      <w:r w:rsidRPr="00BF1C6F">
        <w:rPr>
          <w:rFonts w:ascii="Arial" w:hAnsi="Arial" w:cs="Arial"/>
          <w:sz w:val="22"/>
          <w:szCs w:val="22"/>
          <w:lang w:val="en-GB" w:eastAsia="en-GB"/>
        </w:rPr>
        <w:t>202021IFU-314.assessment</w:t>
      </w:r>
      <w:r>
        <w:rPr>
          <w:rFonts w:ascii="Arial" w:hAnsi="Arial" w:cs="Arial"/>
          <w:sz w:val="22"/>
          <w:szCs w:val="22"/>
          <w:lang w:val="en-GB" w:eastAsia="en-GB"/>
        </w:rPr>
        <w:t>3A</w:t>
      </w:r>
      <w:proofErr w:type="spellEnd"/>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studentnumber</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proofErr w:type="spellStart"/>
      <w:r w:rsidR="00DA1D45">
        <w:rPr>
          <w:rFonts w:ascii="Arial" w:hAnsi="Arial" w:cs="Arial"/>
          <w:bCs/>
          <w:sz w:val="22"/>
          <w:szCs w:val="22"/>
          <w:lang w:val="en-GB"/>
        </w:rPr>
        <w:t>3</w:t>
      </w:r>
      <w:r>
        <w:rPr>
          <w:rFonts w:ascii="Arial" w:hAnsi="Arial" w:cs="Arial"/>
          <w:bCs/>
          <w:sz w:val="22"/>
          <w:szCs w:val="22"/>
          <w:lang w:val="en-GB"/>
        </w:rPr>
        <w:t>A</w:t>
      </w:r>
      <w:proofErr w:type="spellEnd"/>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proofErr w:type="spellStart"/>
      <w:r w:rsidR="00DA1D45">
        <w:rPr>
          <w:rFonts w:ascii="Arial" w:hAnsi="Arial" w:cs="Arial"/>
          <w:sz w:val="22"/>
          <w:szCs w:val="22"/>
          <w:lang w:val="en-GB"/>
        </w:rPr>
        <w:t>3A</w:t>
      </w:r>
      <w:proofErr w:type="spellEnd"/>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proofErr w:type="spellStart"/>
      <w:r w:rsidRPr="00256B74">
        <w:rPr>
          <w:rFonts w:ascii="Arial" w:hAnsi="Arial" w:cs="Arial"/>
        </w:rPr>
        <w:t>FabCo</w:t>
      </w:r>
      <w:proofErr w:type="spellEnd"/>
      <w:r w:rsidRPr="00256B74">
        <w:rPr>
          <w:rFonts w:ascii="Arial" w:hAnsi="Arial" w:cs="Arial"/>
        </w:rPr>
        <w:t xml:space="preserve">, based in Utah, owes </w:t>
      </w:r>
      <w:proofErr w:type="spellStart"/>
      <w:r w:rsidRPr="00256B74">
        <w:rPr>
          <w:rFonts w:ascii="Arial" w:hAnsi="Arial" w:cs="Arial"/>
        </w:rPr>
        <w:t>SupplyCo</w:t>
      </w:r>
      <w:proofErr w:type="spellEnd"/>
      <w:r w:rsidRPr="00256B74">
        <w:rPr>
          <w:rFonts w:ascii="Arial" w:hAnsi="Arial" w:cs="Arial"/>
        </w:rPr>
        <w:t xml:space="preserve">, based in Mexico, </w:t>
      </w:r>
      <w:proofErr w:type="spellStart"/>
      <w:r>
        <w:rPr>
          <w:rFonts w:ascii="Arial" w:hAnsi="Arial" w:cs="Arial"/>
        </w:rPr>
        <w:t>US</w:t>
      </w:r>
      <w:r w:rsidRPr="00256B74">
        <w:rPr>
          <w:rFonts w:ascii="Arial" w:hAnsi="Arial" w:cs="Arial"/>
        </w:rPr>
        <w:t>$10,000</w:t>
      </w:r>
      <w:proofErr w:type="spellEnd"/>
      <w:r w:rsidRPr="00256B74">
        <w:rPr>
          <w:rFonts w:ascii="Arial" w:hAnsi="Arial" w:cs="Arial"/>
        </w:rPr>
        <w:t xml:space="preserve"> on a past-due invoice.  May </w:t>
      </w:r>
      <w:proofErr w:type="spellStart"/>
      <w:r w:rsidRPr="00256B74">
        <w:rPr>
          <w:rFonts w:ascii="Arial" w:hAnsi="Arial" w:cs="Arial"/>
        </w:rPr>
        <w:t>SupplyCo</w:t>
      </w:r>
      <w:proofErr w:type="spellEnd"/>
      <w:r w:rsidRPr="00256B74">
        <w:rPr>
          <w:rFonts w:ascii="Arial" w:hAnsi="Arial" w:cs="Arial"/>
        </w:rPr>
        <w:t xml:space="preserve"> file an involuntary petition to place </w:t>
      </w:r>
      <w:proofErr w:type="spellStart"/>
      <w:r w:rsidRPr="00256B74">
        <w:rPr>
          <w:rFonts w:ascii="Arial" w:hAnsi="Arial" w:cs="Arial"/>
        </w:rPr>
        <w:t>FabCo</w:t>
      </w:r>
      <w:proofErr w:type="spellEnd"/>
      <w:r w:rsidRPr="00256B74">
        <w:rPr>
          <w:rFonts w:ascii="Arial" w:hAnsi="Arial" w:cs="Arial"/>
        </w:rPr>
        <w:t xml:space="preserve">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Pr="00BD3507" w:rsidRDefault="00256B74" w:rsidP="0093467C">
      <w:pPr>
        <w:pStyle w:val="AODocTxt"/>
        <w:numPr>
          <w:ilvl w:val="0"/>
          <w:numId w:val="15"/>
        </w:numPr>
        <w:spacing w:before="0" w:line="240" w:lineRule="auto"/>
        <w:ind w:left="426"/>
        <w:rPr>
          <w:rFonts w:ascii="Arial" w:hAnsi="Arial" w:cs="Arial"/>
          <w:highlight w:val="yellow"/>
        </w:rPr>
      </w:pPr>
      <w:r w:rsidRPr="00BD3507">
        <w:rPr>
          <w:rFonts w:ascii="Arial" w:hAnsi="Arial" w:cs="Arial"/>
          <w:highlight w:val="yellow"/>
        </w:rPr>
        <w:t xml:space="preserve">Yes, if </w:t>
      </w:r>
      <w:proofErr w:type="spellStart"/>
      <w:r w:rsidRPr="00BD3507">
        <w:rPr>
          <w:rFonts w:ascii="Arial" w:hAnsi="Arial" w:cs="Arial"/>
          <w:highlight w:val="yellow"/>
        </w:rPr>
        <w:t>FabCo</w:t>
      </w:r>
      <w:proofErr w:type="spellEnd"/>
      <w:r w:rsidRPr="00BD3507">
        <w:rPr>
          <w:rFonts w:ascii="Arial" w:hAnsi="Arial" w:cs="Arial"/>
          <w:highlight w:val="yellow"/>
        </w:rPr>
        <w:t xml:space="preserve"> has fewer than 12 non-contingent, non-insider creditors.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4D3B3B" w:rsidRDefault="00256B74" w:rsidP="0093467C">
      <w:pPr>
        <w:pStyle w:val="AODocTxt"/>
        <w:numPr>
          <w:ilvl w:val="0"/>
          <w:numId w:val="15"/>
        </w:numPr>
        <w:spacing w:before="0" w:line="240" w:lineRule="auto"/>
        <w:ind w:left="426"/>
        <w:rPr>
          <w:rFonts w:ascii="Arial" w:hAnsi="Arial" w:cs="Arial"/>
        </w:rPr>
      </w:pPr>
      <w:r w:rsidRPr="004D3B3B">
        <w:rPr>
          <w:rFonts w:ascii="Arial" w:hAnsi="Arial" w:cs="Arial"/>
        </w:rPr>
        <w:t xml:space="preserve">Yes, if other creditors owed at least </w:t>
      </w:r>
      <w:proofErr w:type="spellStart"/>
      <w:r w:rsidR="005D6642" w:rsidRPr="004D3B3B">
        <w:rPr>
          <w:rFonts w:ascii="Arial" w:hAnsi="Arial" w:cs="Arial"/>
        </w:rPr>
        <w:t>US</w:t>
      </w:r>
      <w:r w:rsidRPr="004D3B3B">
        <w:rPr>
          <w:rFonts w:ascii="Arial" w:hAnsi="Arial" w:cs="Arial"/>
        </w:rPr>
        <w:t>$5,775</w:t>
      </w:r>
      <w:proofErr w:type="spellEnd"/>
      <w:r w:rsidRPr="004D3B3B">
        <w:rPr>
          <w:rFonts w:ascii="Arial" w:hAnsi="Arial" w:cs="Arial"/>
        </w:rPr>
        <w:t xml:space="preserve"> join in the petition.</w:t>
      </w:r>
    </w:p>
    <w:p w14:paraId="17383260" w14:textId="77777777" w:rsidR="00256B74" w:rsidRPr="00256B74" w:rsidRDefault="00256B74" w:rsidP="0093467C">
      <w:pPr>
        <w:pStyle w:val="AODocTxt"/>
        <w:spacing w:before="0" w:line="240" w:lineRule="auto"/>
        <w:ind w:left="426"/>
        <w:rPr>
          <w:rFonts w:ascii="Arial" w:hAnsi="Arial" w:cs="Arial"/>
        </w:rPr>
      </w:pPr>
    </w:p>
    <w:p w14:paraId="0600718F" w14:textId="77777777" w:rsidR="00BD3507" w:rsidRDefault="00256B74" w:rsidP="00BD3507">
      <w:pPr>
        <w:pStyle w:val="AODocTxt"/>
        <w:numPr>
          <w:ilvl w:val="0"/>
          <w:numId w:val="15"/>
        </w:numPr>
        <w:spacing w:before="0" w:line="240" w:lineRule="auto"/>
        <w:ind w:left="426"/>
        <w:rPr>
          <w:rFonts w:ascii="Arial" w:hAnsi="Arial" w:cs="Arial"/>
        </w:rPr>
      </w:pPr>
      <w:r w:rsidRPr="00256B74">
        <w:rPr>
          <w:rFonts w:ascii="Arial" w:hAnsi="Arial" w:cs="Arial"/>
        </w:rPr>
        <w:t xml:space="preserve">No, because </w:t>
      </w:r>
      <w:proofErr w:type="spellStart"/>
      <w:r w:rsidRPr="00256B74">
        <w:rPr>
          <w:rFonts w:ascii="Arial" w:hAnsi="Arial" w:cs="Arial"/>
        </w:rPr>
        <w:t>SupplyCo</w:t>
      </w:r>
      <w:proofErr w:type="spellEnd"/>
      <w:r w:rsidRPr="00256B74">
        <w:rPr>
          <w:rFonts w:ascii="Arial" w:hAnsi="Arial" w:cs="Arial"/>
        </w:rPr>
        <w:t xml:space="preserve"> doesn’t know whether </w:t>
      </w:r>
      <w:proofErr w:type="spellStart"/>
      <w:r w:rsidRPr="00256B74">
        <w:rPr>
          <w:rFonts w:ascii="Arial" w:hAnsi="Arial" w:cs="Arial"/>
        </w:rPr>
        <w:t>FabCo</w:t>
      </w:r>
      <w:proofErr w:type="spellEnd"/>
      <w:r w:rsidRPr="00256B74">
        <w:rPr>
          <w:rFonts w:ascii="Arial" w:hAnsi="Arial" w:cs="Arial"/>
        </w:rPr>
        <w:t xml:space="preserve"> is insolvent.</w:t>
      </w:r>
    </w:p>
    <w:p w14:paraId="5F23D2EC" w14:textId="77777777" w:rsidR="00BD3507" w:rsidRDefault="00BD3507" w:rsidP="00BD3507">
      <w:pPr>
        <w:pStyle w:val="AODocTxt"/>
        <w:spacing w:before="0" w:line="240" w:lineRule="auto"/>
        <w:ind w:left="426"/>
        <w:rPr>
          <w:rFonts w:ascii="Arial" w:hAnsi="Arial" w:cs="Arial"/>
        </w:rPr>
      </w:pPr>
    </w:p>
    <w:p w14:paraId="54A8A515" w14:textId="5A113EAF" w:rsidR="00256B74" w:rsidRPr="00BD3507" w:rsidRDefault="00256B74" w:rsidP="00BD3507">
      <w:pPr>
        <w:pStyle w:val="AODocTxt"/>
        <w:numPr>
          <w:ilvl w:val="0"/>
          <w:numId w:val="15"/>
        </w:numPr>
        <w:spacing w:before="0" w:line="240" w:lineRule="auto"/>
        <w:ind w:left="426"/>
        <w:rPr>
          <w:rFonts w:ascii="Arial" w:hAnsi="Arial" w:cs="Arial"/>
        </w:rPr>
      </w:pPr>
      <w:r w:rsidRPr="00BD3507">
        <w:rPr>
          <w:rFonts w:ascii="Arial" w:hAnsi="Arial" w:cs="Arial"/>
        </w:rPr>
        <w:t xml:space="preserve">No, because </w:t>
      </w:r>
      <w:proofErr w:type="spellStart"/>
      <w:r w:rsidRPr="00BD3507">
        <w:rPr>
          <w:rFonts w:ascii="Arial" w:hAnsi="Arial" w:cs="Arial"/>
        </w:rPr>
        <w:t>SupplyCo</w:t>
      </w:r>
      <w:proofErr w:type="spellEnd"/>
      <w:r w:rsidRPr="00BD3507">
        <w:rPr>
          <w:rFonts w:ascii="Arial" w:hAnsi="Arial" w:cs="Arial"/>
        </w:rPr>
        <w:t xml:space="preserve">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4D3B3B" w:rsidRDefault="0093467C" w:rsidP="0093467C">
      <w:pPr>
        <w:pStyle w:val="AODocTxt"/>
        <w:numPr>
          <w:ilvl w:val="0"/>
          <w:numId w:val="13"/>
        </w:numPr>
        <w:spacing w:before="0" w:line="240" w:lineRule="auto"/>
        <w:ind w:left="426"/>
        <w:rPr>
          <w:rFonts w:ascii="Arial" w:hAnsi="Arial" w:cs="Arial"/>
        </w:rPr>
      </w:pPr>
      <w:r w:rsidRPr="00AC1635">
        <w:rPr>
          <w:rFonts w:ascii="Arial" w:hAnsi="Arial" w:cs="Arial"/>
        </w:rPr>
        <w:t>The foreign judgment is an injunction.</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Default="0093467C" w:rsidP="0093467C">
      <w:pPr>
        <w:pStyle w:val="AODocTxt"/>
        <w:numPr>
          <w:ilvl w:val="0"/>
          <w:numId w:val="13"/>
        </w:numPr>
        <w:spacing w:before="0" w:line="240" w:lineRule="auto"/>
        <w:ind w:left="426"/>
        <w:rPr>
          <w:rFonts w:ascii="Arial" w:hAnsi="Arial" w:cs="Arial"/>
        </w:rPr>
      </w:pPr>
      <w:r w:rsidRPr="00AC1635">
        <w:rPr>
          <w:rFonts w:ascii="Arial" w:hAnsi="Arial" w:cs="Arial"/>
          <w:highlight w:val="yellow"/>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 xml:space="preserve">The defendant did not have sufficient notice of the foreign proceeding to put on a defense. </w:t>
      </w:r>
    </w:p>
    <w:p w14:paraId="3381DB43" w14:textId="77777777" w:rsidR="0093467C" w:rsidRPr="0093467C" w:rsidRDefault="0093467C" w:rsidP="0093467C">
      <w:pPr>
        <w:pStyle w:val="AODocTxt"/>
        <w:spacing w:before="0" w:line="240" w:lineRule="auto"/>
        <w:rPr>
          <w:rFonts w:ascii="Arial" w:hAnsi="Arial" w:cs="Arial"/>
        </w:rPr>
      </w:pPr>
    </w:p>
    <w:p w14:paraId="5E8FDB76" w14:textId="2ABAD8D5" w:rsidR="0093467C" w:rsidRP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inconsistent with another final judgment on the same subject matter.</w:t>
      </w:r>
      <w:r w:rsidR="00A40736">
        <w:rPr>
          <w:rFonts w:ascii="Arial" w:hAnsi="Arial" w:cs="Arial"/>
        </w:rPr>
        <w:t xml:space="preserve"> </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ABC Corp, to which XYZ Corp is substantially indebted</w:t>
      </w:r>
      <w:r>
        <w:rPr>
          <w:rFonts w:ascii="Arial" w:hAnsi="Arial" w:cs="Arial"/>
        </w:rPr>
        <w:t>.</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MNO Corp, which owns all of XYZ Corp’s shares</w:t>
      </w:r>
      <w:r>
        <w:rPr>
          <w:rFonts w:ascii="Arial" w:hAnsi="Arial" w:cs="Arial"/>
        </w:rPr>
        <w:t>.</w:t>
      </w:r>
    </w:p>
    <w:p w14:paraId="4701BC66" w14:textId="77777777" w:rsidR="00223917" w:rsidRPr="00223917" w:rsidRDefault="00223917" w:rsidP="00223917">
      <w:pPr>
        <w:pStyle w:val="AODocTxt"/>
        <w:spacing w:before="0" w:line="240" w:lineRule="auto"/>
        <w:rPr>
          <w:rFonts w:ascii="Arial" w:hAnsi="Arial" w:cs="Arial"/>
        </w:rPr>
      </w:pPr>
    </w:p>
    <w:p w14:paraId="41273139" w14:textId="77777777" w:rsidR="00AC1635" w:rsidRDefault="00223917" w:rsidP="00AC1635">
      <w:pPr>
        <w:pStyle w:val="AODocTxt"/>
        <w:numPr>
          <w:ilvl w:val="0"/>
          <w:numId w:val="16"/>
        </w:numPr>
        <w:spacing w:before="0" w:line="240" w:lineRule="auto"/>
        <w:ind w:left="426"/>
        <w:rPr>
          <w:rFonts w:ascii="Arial" w:hAnsi="Arial" w:cs="Arial"/>
        </w:rPr>
      </w:pPr>
      <w:r w:rsidRPr="00AC1635">
        <w:rPr>
          <w:rFonts w:ascii="Arial" w:hAnsi="Arial" w:cs="Arial"/>
          <w:highlight w:val="yellow"/>
        </w:rPr>
        <w:lastRenderedPageBreak/>
        <w:t>A retired employee of XYZ Corp who receives payments from the company’s pension plan.</w:t>
      </w:r>
    </w:p>
    <w:p w14:paraId="0B6DC17A" w14:textId="77777777" w:rsidR="00AC1635" w:rsidRDefault="00AC1635" w:rsidP="00AC1635">
      <w:pPr>
        <w:pStyle w:val="AODocTxt"/>
        <w:spacing w:before="0" w:line="240" w:lineRule="auto"/>
        <w:ind w:left="426"/>
        <w:rPr>
          <w:rFonts w:ascii="Arial" w:hAnsi="Arial" w:cs="Arial"/>
        </w:rPr>
      </w:pPr>
    </w:p>
    <w:p w14:paraId="6393FCCC" w14:textId="17981E5E" w:rsidR="00223917" w:rsidRPr="00AC1635" w:rsidRDefault="00223917" w:rsidP="00AC1635">
      <w:pPr>
        <w:pStyle w:val="AODocTxt"/>
        <w:numPr>
          <w:ilvl w:val="0"/>
          <w:numId w:val="16"/>
        </w:numPr>
        <w:spacing w:before="0" w:line="240" w:lineRule="auto"/>
        <w:ind w:left="426"/>
        <w:rPr>
          <w:rFonts w:ascii="Arial" w:hAnsi="Arial" w:cs="Arial"/>
        </w:rPr>
      </w:pPr>
      <w:r w:rsidRPr="00AC1635">
        <w:rPr>
          <w:rFonts w:ascii="Arial" w:hAnsi="Arial" w:cs="Arial"/>
        </w:rPr>
        <w:t>A non-profit organization that advocates for companies like XYZ Corp to be held responsible for climate change.</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365B77">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has a claim for damages for breach of contract</w:t>
      </w:r>
      <w:r w:rsidR="00A3165E">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79847D11" w14:textId="77777777" w:rsidR="007D4C3A" w:rsidRPr="007D4C3A" w:rsidRDefault="00160679" w:rsidP="007D4C3A">
      <w:pPr>
        <w:pStyle w:val="AODocTxt"/>
        <w:numPr>
          <w:ilvl w:val="0"/>
          <w:numId w:val="18"/>
        </w:numPr>
        <w:spacing w:before="0" w:line="240" w:lineRule="auto"/>
        <w:ind w:left="426"/>
        <w:rPr>
          <w:rFonts w:ascii="Arial" w:hAnsi="Arial" w:cs="Arial"/>
          <w:highlight w:val="yellow"/>
        </w:rPr>
      </w:pPr>
      <w:r w:rsidRPr="007D4C3A">
        <w:rPr>
          <w:rFonts w:ascii="Arial" w:hAnsi="Arial" w:cs="Arial"/>
          <w:highlight w:val="yellow"/>
        </w:rPr>
        <w:t xml:space="preserve">Both (a) </w:t>
      </w:r>
      <w:r w:rsidR="00A3165E" w:rsidRPr="007D4C3A">
        <w:rPr>
          <w:rFonts w:ascii="Arial" w:hAnsi="Arial" w:cs="Arial"/>
          <w:highlight w:val="yellow"/>
        </w:rPr>
        <w:t>and</w:t>
      </w:r>
      <w:r w:rsidRPr="007D4C3A">
        <w:rPr>
          <w:rFonts w:ascii="Arial" w:hAnsi="Arial" w:cs="Arial"/>
          <w:highlight w:val="yellow"/>
        </w:rPr>
        <w:t xml:space="preserve"> (c)</w:t>
      </w:r>
      <w:r w:rsidR="00A3165E" w:rsidRPr="007D4C3A">
        <w:rPr>
          <w:rFonts w:ascii="Arial" w:hAnsi="Arial" w:cs="Arial"/>
          <w:highlight w:val="yellow"/>
        </w:rPr>
        <w:t>.</w:t>
      </w:r>
    </w:p>
    <w:p w14:paraId="4440F1A1" w14:textId="77777777" w:rsidR="007D4C3A" w:rsidRDefault="007D4C3A" w:rsidP="007D4C3A">
      <w:pPr>
        <w:pStyle w:val="AODocTxt"/>
        <w:spacing w:before="0" w:line="240" w:lineRule="auto"/>
        <w:ind w:left="426"/>
        <w:rPr>
          <w:rFonts w:ascii="Arial" w:hAnsi="Arial" w:cs="Arial"/>
        </w:rPr>
      </w:pPr>
    </w:p>
    <w:p w14:paraId="3576CAED" w14:textId="6ABEF048" w:rsidR="00160679" w:rsidRPr="007D4C3A" w:rsidRDefault="00160679" w:rsidP="007D4C3A">
      <w:pPr>
        <w:pStyle w:val="AODocTxt"/>
        <w:numPr>
          <w:ilvl w:val="0"/>
          <w:numId w:val="18"/>
        </w:numPr>
        <w:spacing w:before="0" w:line="240" w:lineRule="auto"/>
        <w:ind w:left="426"/>
        <w:rPr>
          <w:rFonts w:ascii="Arial" w:hAnsi="Arial" w:cs="Arial"/>
        </w:rPr>
      </w:pPr>
      <w:r w:rsidRPr="007D4C3A">
        <w:rPr>
          <w:rFonts w:ascii="Arial" w:hAnsi="Arial" w:cs="Arial"/>
        </w:rPr>
        <w:t xml:space="preserve">Both (b) </w:t>
      </w:r>
      <w:r w:rsidR="00A3165E" w:rsidRPr="007D4C3A">
        <w:rPr>
          <w:rFonts w:ascii="Arial" w:hAnsi="Arial" w:cs="Arial"/>
        </w:rPr>
        <w:t>and</w:t>
      </w:r>
      <w:r w:rsidRPr="007D4C3A">
        <w:rPr>
          <w:rFonts w:ascii="Arial" w:hAnsi="Arial" w:cs="Arial"/>
        </w:rPr>
        <w:t xml:space="preserve"> (c)</w:t>
      </w:r>
      <w:r w:rsidR="00A3165E" w:rsidRPr="007D4C3A">
        <w:rPr>
          <w:rFonts w:ascii="Arial" w:hAnsi="Arial" w:cs="Arial"/>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a counterparty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would obligate the counterparty to extend a loan to the debtor</w:t>
      </w:r>
      <w:r>
        <w:rPr>
          <w:rFonts w:ascii="Arial" w:hAnsi="Arial" w:cs="Arial"/>
        </w:rPr>
        <w:t>.</w:t>
      </w:r>
    </w:p>
    <w:p w14:paraId="112D6753" w14:textId="77777777" w:rsidR="006B3571" w:rsidRPr="006B3571" w:rsidRDefault="006B3571" w:rsidP="006B3571">
      <w:pPr>
        <w:pStyle w:val="AODocTxt"/>
        <w:spacing w:before="0" w:line="240" w:lineRule="auto"/>
        <w:rPr>
          <w:rFonts w:ascii="Arial" w:hAnsi="Arial" w:cs="Arial"/>
        </w:rPr>
      </w:pPr>
    </w:p>
    <w:p w14:paraId="485EB761" w14:textId="15E1935A"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is a lease of real property</w:t>
      </w:r>
      <w:r>
        <w:rPr>
          <w:rFonts w:ascii="Arial" w:hAnsi="Arial" w:cs="Arial"/>
        </w:rPr>
        <w:t>.</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Pr="00365B77" w:rsidRDefault="006B3571" w:rsidP="006B3571">
      <w:pPr>
        <w:pStyle w:val="AODocTxt"/>
        <w:numPr>
          <w:ilvl w:val="0"/>
          <w:numId w:val="20"/>
        </w:numPr>
        <w:spacing w:before="0" w:line="240" w:lineRule="auto"/>
        <w:ind w:left="426"/>
        <w:rPr>
          <w:rFonts w:ascii="Arial" w:hAnsi="Arial" w:cs="Arial"/>
          <w:highlight w:val="yellow"/>
        </w:rPr>
      </w:pPr>
      <w:r w:rsidRPr="00365B77">
        <w:rPr>
          <w:rFonts w:ascii="Arial" w:hAnsi="Arial" w:cs="Arial"/>
          <w:highlight w:val="yellow"/>
        </w:rPr>
        <w:t>The clause is triggered by the bankruptcy filing of a third party, not the debtor.</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4D3B3B" w:rsidRDefault="006B3571" w:rsidP="006B3571">
      <w:pPr>
        <w:pStyle w:val="AODocTxt"/>
        <w:numPr>
          <w:ilvl w:val="0"/>
          <w:numId w:val="20"/>
        </w:numPr>
        <w:spacing w:before="0" w:line="240" w:lineRule="auto"/>
        <w:ind w:left="426"/>
        <w:rPr>
          <w:rFonts w:ascii="Arial" w:hAnsi="Arial" w:cs="Arial"/>
        </w:rPr>
      </w:pPr>
      <w:r w:rsidRPr="004D3B3B">
        <w:rPr>
          <w:rFonts w:ascii="Arial" w:hAnsi="Arial" w:cs="Arial"/>
        </w:rPr>
        <w:t>Both (a) and (c).</w:t>
      </w:r>
    </w:p>
    <w:p w14:paraId="60F6463C" w14:textId="77777777" w:rsidR="006B3571" w:rsidRPr="006B3571" w:rsidRDefault="006B3571" w:rsidP="006B3571">
      <w:pPr>
        <w:pStyle w:val="AODocTxt"/>
        <w:spacing w:before="0" w:line="240" w:lineRule="auto"/>
        <w:rPr>
          <w:rFonts w:ascii="Arial" w:hAnsi="Arial" w:cs="Arial"/>
        </w:rPr>
      </w:pPr>
    </w:p>
    <w:p w14:paraId="4455106C" w14:textId="4DCAB056" w:rsidR="006B3571" w:rsidRP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i/>
          <w:iCs/>
        </w:rPr>
        <w:t>Ipso facto</w:t>
      </w:r>
      <w:r w:rsidRPr="006B3571">
        <w:rPr>
          <w:rFonts w:ascii="Arial" w:hAnsi="Arial" w:cs="Arial"/>
        </w:rPr>
        <w:t xml:space="preserve"> clauses are never enforceable against a debtor</w:t>
      </w:r>
      <w:r>
        <w:rPr>
          <w:rFonts w:ascii="Arial" w:hAnsi="Arial" w:cs="Arial"/>
        </w:rPr>
        <w:t>.</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4D3B3B" w:rsidRDefault="002D6789" w:rsidP="002D6789">
      <w:pPr>
        <w:pStyle w:val="AODocTxt"/>
        <w:numPr>
          <w:ilvl w:val="0"/>
          <w:numId w:val="22"/>
        </w:numPr>
        <w:spacing w:before="0" w:line="240" w:lineRule="auto"/>
        <w:ind w:left="426"/>
        <w:rPr>
          <w:rFonts w:ascii="Arial" w:hAnsi="Arial" w:cs="Arial"/>
        </w:rPr>
      </w:pPr>
      <w:r w:rsidRPr="00793A47">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w:t>
      </w:r>
      <w:proofErr w:type="spellStart"/>
      <w:r w:rsidRPr="002D78C5">
        <w:rPr>
          <w:rFonts w:ascii="Arial" w:hAnsi="Arial" w:cs="Arial"/>
        </w:rPr>
        <w:t>cramdown</w:t>
      </w:r>
      <w:proofErr w:type="spellEnd"/>
      <w:r w:rsidRPr="002D78C5">
        <w:rPr>
          <w:rFonts w:ascii="Arial" w:hAnsi="Arial" w:cs="Arial"/>
        </w:rPr>
        <w:t>”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793A47" w:rsidRDefault="002D78C5" w:rsidP="002D78C5">
      <w:pPr>
        <w:pStyle w:val="AODocTxt"/>
        <w:numPr>
          <w:ilvl w:val="0"/>
          <w:numId w:val="24"/>
        </w:numPr>
        <w:spacing w:before="0" w:line="240" w:lineRule="auto"/>
        <w:ind w:left="426"/>
        <w:rPr>
          <w:rFonts w:ascii="Arial" w:hAnsi="Arial" w:cs="Arial"/>
          <w:highlight w:val="yellow"/>
        </w:rPr>
      </w:pPr>
      <w:r w:rsidRPr="00793A47">
        <w:rPr>
          <w:rFonts w:ascii="Arial" w:hAnsi="Arial" w:cs="Arial"/>
          <w:highlight w:val="yellow"/>
        </w:rPr>
        <w:t>Acceptance of the plan by all classes of secured creditors.</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793A47" w:rsidRDefault="006245E3" w:rsidP="006245E3">
      <w:pPr>
        <w:pStyle w:val="AODocTxt"/>
        <w:numPr>
          <w:ilvl w:val="0"/>
          <w:numId w:val="26"/>
        </w:numPr>
        <w:spacing w:before="0" w:line="240" w:lineRule="auto"/>
        <w:ind w:left="426"/>
        <w:rPr>
          <w:rFonts w:ascii="Arial" w:hAnsi="Arial" w:cs="Arial"/>
          <w:highlight w:val="yellow"/>
        </w:rPr>
      </w:pPr>
      <w:r w:rsidRPr="00793A47">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8358D7" w:rsidRDefault="006245E3" w:rsidP="006245E3">
      <w:pPr>
        <w:pStyle w:val="AODocTxt"/>
        <w:numPr>
          <w:ilvl w:val="0"/>
          <w:numId w:val="26"/>
        </w:numPr>
        <w:spacing w:before="0" w:line="240" w:lineRule="auto"/>
        <w:ind w:left="426"/>
        <w:rPr>
          <w:rFonts w:ascii="Arial" w:hAnsi="Arial" w:cs="Arial"/>
        </w:rPr>
      </w:pPr>
      <w:r w:rsidRPr="008358D7">
        <w:rPr>
          <w:rFonts w:ascii="Arial" w:hAnsi="Arial" w:cs="Arial"/>
        </w:rPr>
        <w:t>The absolute priority rule cannot be deviated from.</w:t>
      </w:r>
    </w:p>
    <w:p w14:paraId="4A89722F" w14:textId="53BB4C47" w:rsidR="005B79F4" w:rsidRPr="008358D7" w:rsidRDefault="005B79F4" w:rsidP="006245E3">
      <w:pPr>
        <w:jc w:val="both"/>
        <w:rPr>
          <w:rFonts w:ascii="Arial" w:eastAsiaTheme="minorHAnsi" w:hAnsi="Arial" w:cs="Arial"/>
          <w:sz w:val="22"/>
          <w:szCs w:val="22"/>
          <w:lang w:val="en-GB"/>
        </w:rPr>
      </w:pPr>
    </w:p>
    <w:p w14:paraId="057810FC" w14:textId="77777777" w:rsidR="00E9597C" w:rsidRPr="008358D7" w:rsidRDefault="00E9597C" w:rsidP="00B9639B">
      <w:pPr>
        <w:jc w:val="both"/>
        <w:rPr>
          <w:rFonts w:ascii="Arial" w:hAnsi="Arial" w:cs="Arial"/>
          <w:sz w:val="22"/>
          <w:szCs w:val="22"/>
        </w:rPr>
      </w:pPr>
      <w:r w:rsidRPr="008358D7">
        <w:rPr>
          <w:rFonts w:ascii="Arial" w:hAnsi="Arial" w:cs="Arial"/>
          <w:b/>
          <w:bCs/>
          <w:sz w:val="22"/>
          <w:szCs w:val="22"/>
        </w:rPr>
        <w:t>Question 1.9</w:t>
      </w:r>
      <w:r w:rsidRPr="008358D7">
        <w:rPr>
          <w:rFonts w:ascii="Arial" w:hAnsi="Arial" w:cs="Arial"/>
          <w:sz w:val="22"/>
          <w:szCs w:val="22"/>
        </w:rPr>
        <w:t xml:space="preserve"> </w:t>
      </w:r>
    </w:p>
    <w:p w14:paraId="596C3F7D" w14:textId="77777777" w:rsidR="00E9597C" w:rsidRPr="008358D7"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8358D7">
        <w:rPr>
          <w:rFonts w:ascii="Arial" w:hAnsi="Arial" w:cs="Arial"/>
        </w:rPr>
        <w:t>Who may serve as a foreign representative to seek recognition of a foreign proceeding under chapter</w:t>
      </w:r>
      <w:r w:rsidRPr="000C4C5B">
        <w:rPr>
          <w:rFonts w:ascii="Arial" w:hAnsi="Arial" w:cs="Arial"/>
        </w:rPr>
        <w:t xml:space="preserve">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Pr="00B97DB2" w:rsidRDefault="000C4C5B" w:rsidP="000C4C5B">
      <w:pPr>
        <w:pStyle w:val="AODocTxt"/>
        <w:numPr>
          <w:ilvl w:val="0"/>
          <w:numId w:val="28"/>
        </w:numPr>
        <w:spacing w:before="0" w:line="240" w:lineRule="auto"/>
        <w:ind w:left="426"/>
        <w:rPr>
          <w:rFonts w:ascii="Arial" w:hAnsi="Arial" w:cs="Arial"/>
          <w:highlight w:val="yellow"/>
        </w:rPr>
      </w:pPr>
      <w:r w:rsidRPr="00B97DB2">
        <w:rPr>
          <w:rFonts w:ascii="Arial" w:hAnsi="Arial" w:cs="Arial"/>
          <w:highlight w:val="yellow"/>
        </w:rPr>
        <w:t>An insolvency professional appointed by the court overseeing the foreign proceeding.</w:t>
      </w:r>
    </w:p>
    <w:p w14:paraId="798685CF" w14:textId="77777777" w:rsidR="000C4C5B" w:rsidRPr="000C4C5B" w:rsidRDefault="000C4C5B" w:rsidP="000C4C5B">
      <w:pPr>
        <w:pStyle w:val="AODocTxt"/>
        <w:spacing w:before="0" w:line="240" w:lineRule="auto"/>
        <w:rPr>
          <w:rFonts w:ascii="Arial" w:hAnsi="Arial" w:cs="Arial"/>
        </w:rPr>
      </w:pPr>
    </w:p>
    <w:p w14:paraId="6DC55621" w14:textId="77777777" w:rsidR="00B97DB2" w:rsidRDefault="000C4C5B" w:rsidP="00B97DB2">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2216C576" w14:textId="77777777" w:rsidR="00B97DB2" w:rsidRDefault="00B97DB2" w:rsidP="00B97DB2">
      <w:pPr>
        <w:pStyle w:val="AODocTxt"/>
        <w:spacing w:before="0" w:line="240" w:lineRule="auto"/>
        <w:ind w:left="426"/>
        <w:rPr>
          <w:rFonts w:ascii="Arial" w:hAnsi="Arial" w:cs="Arial"/>
        </w:rPr>
      </w:pPr>
    </w:p>
    <w:p w14:paraId="43FE3FA4" w14:textId="46861A89" w:rsidR="000C4C5B" w:rsidRPr="00B97DB2" w:rsidRDefault="000C4C5B" w:rsidP="00B97DB2">
      <w:pPr>
        <w:pStyle w:val="AODocTxt"/>
        <w:numPr>
          <w:ilvl w:val="0"/>
          <w:numId w:val="28"/>
        </w:numPr>
        <w:spacing w:before="0" w:line="240" w:lineRule="auto"/>
        <w:ind w:left="426"/>
        <w:rPr>
          <w:rFonts w:ascii="Arial" w:hAnsi="Arial" w:cs="Arial"/>
        </w:rPr>
      </w:pPr>
      <w:r w:rsidRPr="00B97DB2">
        <w:rPr>
          <w:rFonts w:ascii="Arial" w:hAnsi="Arial" w:cs="Arial"/>
        </w:rPr>
        <w:t>All of the above.</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142D838C" w:rsidR="00DF158F" w:rsidRPr="008358D7" w:rsidRDefault="00DF158F" w:rsidP="00DF158F">
      <w:pPr>
        <w:pStyle w:val="AODocTxt"/>
        <w:numPr>
          <w:ilvl w:val="0"/>
          <w:numId w:val="30"/>
        </w:numPr>
        <w:spacing w:before="0" w:line="240" w:lineRule="auto"/>
        <w:ind w:left="426"/>
        <w:rPr>
          <w:rFonts w:ascii="Arial" w:hAnsi="Arial" w:cs="Arial"/>
          <w:highlight w:val="yellow"/>
        </w:rPr>
      </w:pPr>
      <w:r w:rsidRPr="008358D7">
        <w:rPr>
          <w:rFonts w:ascii="Arial" w:hAnsi="Arial" w:cs="Arial"/>
          <w:highlight w:val="yellow"/>
        </w:rPr>
        <w:t>Prosecution of avoidance actions pursuant to section 544 .</w:t>
      </w:r>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lastRenderedPageBreak/>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451F0203" w:rsidR="002C13C8" w:rsidRPr="005A4DE3" w:rsidRDefault="002C13C8" w:rsidP="002A37BB">
      <w:pPr>
        <w:ind w:left="720" w:hanging="720"/>
        <w:jc w:val="both"/>
        <w:rPr>
          <w:rFonts w:ascii="Arial" w:hAnsi="Arial" w:cs="Arial"/>
          <w:b/>
          <w:sz w:val="22"/>
          <w:szCs w:val="22"/>
          <w:lang w:val="en-GB"/>
        </w:rPr>
      </w:pPr>
      <w:r w:rsidRPr="005A4DE3">
        <w:rPr>
          <w:rFonts w:ascii="Arial" w:hAnsi="Arial" w:cs="Arial"/>
          <w:b/>
          <w:bCs/>
          <w:sz w:val="22"/>
          <w:szCs w:val="22"/>
          <w:lang w:val="en-GB"/>
        </w:rPr>
        <w:t xml:space="preserve">Question </w:t>
      </w:r>
      <w:r w:rsidR="00962045" w:rsidRPr="005A4DE3">
        <w:rPr>
          <w:rFonts w:ascii="Arial" w:hAnsi="Arial" w:cs="Arial"/>
          <w:b/>
          <w:bCs/>
          <w:sz w:val="22"/>
          <w:szCs w:val="22"/>
          <w:lang w:val="en-GB"/>
        </w:rPr>
        <w:t>2.1</w:t>
      </w:r>
      <w:r w:rsidR="00962045" w:rsidRPr="005A4DE3">
        <w:rPr>
          <w:rFonts w:ascii="Arial" w:hAnsi="Arial" w:cs="Arial"/>
          <w:b/>
          <w:bCs/>
          <w:sz w:val="22"/>
          <w:szCs w:val="22"/>
          <w:lang w:val="en-GB"/>
        </w:rPr>
        <w:tab/>
      </w:r>
      <w:r w:rsidR="00DE03AF" w:rsidRPr="005A4DE3">
        <w:rPr>
          <w:rFonts w:ascii="Arial" w:hAnsi="Arial" w:cs="Arial"/>
          <w:b/>
          <w:bCs/>
          <w:sz w:val="22"/>
          <w:szCs w:val="22"/>
          <w:lang w:val="en-GB"/>
        </w:rPr>
        <w:t>[</w:t>
      </w:r>
      <w:r w:rsidR="00D17FDC" w:rsidRPr="005A4DE3">
        <w:rPr>
          <w:rFonts w:ascii="Arial" w:hAnsi="Arial" w:cs="Arial"/>
          <w:b/>
          <w:bCs/>
          <w:sz w:val="22"/>
          <w:szCs w:val="22"/>
          <w:lang w:val="en-GB"/>
        </w:rPr>
        <w:t>m</w:t>
      </w:r>
      <w:r w:rsidR="00DE03AF" w:rsidRPr="005A4DE3">
        <w:rPr>
          <w:rFonts w:ascii="Arial" w:hAnsi="Arial" w:cs="Arial"/>
          <w:b/>
          <w:bCs/>
          <w:sz w:val="22"/>
          <w:szCs w:val="22"/>
          <w:lang w:val="en-GB"/>
        </w:rPr>
        <w:t xml:space="preserve">aximum </w:t>
      </w:r>
      <w:r w:rsidR="000F7FC2" w:rsidRPr="005A4DE3">
        <w:rPr>
          <w:rFonts w:ascii="Arial" w:hAnsi="Arial" w:cs="Arial"/>
          <w:b/>
          <w:bCs/>
          <w:sz w:val="22"/>
          <w:szCs w:val="22"/>
          <w:lang w:val="en-GB"/>
        </w:rPr>
        <w:t>1</w:t>
      </w:r>
      <w:r w:rsidR="00DE03AF" w:rsidRPr="005A4DE3">
        <w:rPr>
          <w:rFonts w:ascii="Arial" w:hAnsi="Arial" w:cs="Arial"/>
          <w:b/>
          <w:bCs/>
          <w:sz w:val="22"/>
          <w:szCs w:val="22"/>
          <w:lang w:val="en-GB"/>
        </w:rPr>
        <w:t xml:space="preserve"> mark]</w:t>
      </w:r>
      <w:r w:rsidR="00DE03AF" w:rsidRPr="005A4DE3">
        <w:rPr>
          <w:rFonts w:ascii="Arial" w:hAnsi="Arial" w:cs="Arial"/>
          <w:b/>
          <w:sz w:val="22"/>
          <w:szCs w:val="22"/>
          <w:lang w:val="en-GB"/>
        </w:rPr>
        <w:t xml:space="preserve"> </w:t>
      </w:r>
    </w:p>
    <w:p w14:paraId="36EB02DF" w14:textId="77777777" w:rsidR="002C13C8" w:rsidRPr="005A4DE3" w:rsidRDefault="002C13C8" w:rsidP="0092565E">
      <w:pPr>
        <w:jc w:val="both"/>
        <w:rPr>
          <w:rFonts w:ascii="Arial" w:hAnsi="Arial" w:cs="Arial"/>
          <w:b/>
          <w:sz w:val="22"/>
          <w:szCs w:val="22"/>
          <w:lang w:val="en-GB"/>
        </w:rPr>
      </w:pPr>
    </w:p>
    <w:p w14:paraId="3A9467F3" w14:textId="520F8F5C" w:rsidR="0092565E" w:rsidRPr="005A4DE3" w:rsidRDefault="0092565E" w:rsidP="0092565E">
      <w:pPr>
        <w:pStyle w:val="AODocTxt"/>
        <w:spacing w:before="0" w:line="240" w:lineRule="auto"/>
        <w:rPr>
          <w:rFonts w:ascii="Arial" w:hAnsi="Arial" w:cs="Arial"/>
          <w:b/>
        </w:rPr>
      </w:pPr>
      <w:r w:rsidRPr="005A4DE3">
        <w:rPr>
          <w:rFonts w:ascii="Arial" w:hAnsi="Arial" w:cs="Arial"/>
          <w:b/>
        </w:rPr>
        <w:t>What two alternative qualifications render a corporation eligible to be a debtor in a US chapter 7 or 11 proceeding?</w:t>
      </w:r>
    </w:p>
    <w:p w14:paraId="092B3E2C" w14:textId="77777777" w:rsidR="00241FA3" w:rsidRPr="0092565E" w:rsidRDefault="00241FA3" w:rsidP="0092565E">
      <w:pPr>
        <w:jc w:val="both"/>
        <w:rPr>
          <w:rFonts w:ascii="Arial" w:hAnsi="Arial" w:cs="Arial"/>
          <w:sz w:val="22"/>
          <w:szCs w:val="22"/>
          <w:lang w:val="en-GB"/>
        </w:rPr>
      </w:pPr>
    </w:p>
    <w:p w14:paraId="57BCFC30" w14:textId="2BE78032" w:rsidR="009B07AD" w:rsidRDefault="00D00BA8" w:rsidP="00D00BA8">
      <w:pPr>
        <w:jc w:val="both"/>
        <w:rPr>
          <w:rFonts w:ascii="Arial" w:hAnsi="Arial" w:cs="Arial"/>
          <w:sz w:val="22"/>
          <w:szCs w:val="22"/>
          <w:lang w:val="en-GB"/>
        </w:rPr>
      </w:pPr>
      <w:r w:rsidRPr="00D00BA8">
        <w:rPr>
          <w:rFonts w:ascii="Arial" w:hAnsi="Arial" w:cs="Arial"/>
          <w:sz w:val="22"/>
          <w:szCs w:val="22"/>
          <w:lang w:val="en-GB"/>
        </w:rPr>
        <w:t>The two alternative qualifications necessary in order to be eligible for US chapter 7 or 11 proceedings are:</w:t>
      </w:r>
    </w:p>
    <w:p w14:paraId="1CF6D1E6" w14:textId="01066530" w:rsidR="00D00BA8" w:rsidRDefault="00D00BA8" w:rsidP="00D00BA8">
      <w:pPr>
        <w:pStyle w:val="ListParagraph"/>
        <w:numPr>
          <w:ilvl w:val="0"/>
          <w:numId w:val="34"/>
        </w:numPr>
        <w:jc w:val="both"/>
        <w:rPr>
          <w:rFonts w:ascii="Arial" w:hAnsi="Arial" w:cs="Arial"/>
          <w:sz w:val="22"/>
          <w:szCs w:val="22"/>
          <w:lang w:val="en-GB"/>
        </w:rPr>
      </w:pPr>
      <w:r>
        <w:rPr>
          <w:rFonts w:ascii="Arial" w:hAnsi="Arial" w:cs="Arial"/>
          <w:sz w:val="22"/>
          <w:szCs w:val="22"/>
          <w:lang w:val="en-GB"/>
        </w:rPr>
        <w:t>the presence of the debtor or its place of business being in the US, or</w:t>
      </w:r>
    </w:p>
    <w:p w14:paraId="29AB4E4C" w14:textId="1D99E8B4" w:rsidR="00D00BA8" w:rsidRPr="00D00BA8" w:rsidRDefault="00D00BA8" w:rsidP="00E603C3">
      <w:pPr>
        <w:pStyle w:val="ListParagraph"/>
        <w:numPr>
          <w:ilvl w:val="0"/>
          <w:numId w:val="34"/>
        </w:numPr>
        <w:jc w:val="both"/>
        <w:rPr>
          <w:rFonts w:ascii="Arial" w:hAnsi="Arial" w:cs="Arial"/>
          <w:sz w:val="22"/>
          <w:szCs w:val="22"/>
          <w:lang w:val="en-GB"/>
        </w:rPr>
      </w:pPr>
      <w:r w:rsidRPr="00D00BA8">
        <w:rPr>
          <w:rFonts w:ascii="Arial" w:hAnsi="Arial" w:cs="Arial"/>
          <w:sz w:val="22"/>
          <w:szCs w:val="22"/>
          <w:lang w:val="en-GB"/>
        </w:rPr>
        <w:t xml:space="preserve">any of the debtor's assets being in the US (which can also include very minimal or even intangible assets such as a claim under US law). </w:t>
      </w:r>
    </w:p>
    <w:p w14:paraId="71EA1713" w14:textId="77777777" w:rsidR="00D00BA8" w:rsidRPr="005A4DE3" w:rsidRDefault="00D00BA8" w:rsidP="002A37BB">
      <w:pPr>
        <w:ind w:left="720" w:hanging="720"/>
        <w:jc w:val="both"/>
        <w:rPr>
          <w:rFonts w:ascii="Arial" w:hAnsi="Arial" w:cs="Arial"/>
          <w:b/>
          <w:color w:val="7B7B7B" w:themeColor="accent3" w:themeShade="BF"/>
          <w:sz w:val="22"/>
          <w:szCs w:val="22"/>
          <w:lang w:val="en-GB"/>
        </w:rPr>
      </w:pPr>
    </w:p>
    <w:p w14:paraId="10614297" w14:textId="1E6FCDDD" w:rsidR="00C72848" w:rsidRPr="005A4DE3" w:rsidRDefault="002C13C8" w:rsidP="002A37BB">
      <w:pPr>
        <w:ind w:left="720" w:hanging="720"/>
        <w:jc w:val="both"/>
        <w:rPr>
          <w:rFonts w:ascii="Arial" w:hAnsi="Arial" w:cs="Arial"/>
          <w:b/>
          <w:sz w:val="22"/>
          <w:szCs w:val="22"/>
        </w:rPr>
      </w:pPr>
      <w:r w:rsidRPr="005A4DE3">
        <w:rPr>
          <w:rFonts w:ascii="Arial" w:hAnsi="Arial" w:cs="Arial"/>
          <w:b/>
          <w:bCs/>
          <w:sz w:val="22"/>
          <w:szCs w:val="22"/>
        </w:rPr>
        <w:t xml:space="preserve">Question </w:t>
      </w:r>
      <w:r w:rsidR="00DE03AF" w:rsidRPr="005A4DE3">
        <w:rPr>
          <w:rFonts w:ascii="Arial" w:hAnsi="Arial" w:cs="Arial"/>
          <w:b/>
          <w:bCs/>
          <w:sz w:val="22"/>
          <w:szCs w:val="22"/>
        </w:rPr>
        <w:t>2.2</w:t>
      </w:r>
      <w:r w:rsidR="00DE03AF" w:rsidRPr="005A4DE3">
        <w:rPr>
          <w:rFonts w:ascii="Arial" w:hAnsi="Arial" w:cs="Arial"/>
          <w:b/>
          <w:bCs/>
          <w:sz w:val="22"/>
          <w:szCs w:val="22"/>
        </w:rPr>
        <w:tab/>
        <w:t>[</w:t>
      </w:r>
      <w:r w:rsidR="00D17FDC" w:rsidRPr="005A4DE3">
        <w:rPr>
          <w:rFonts w:ascii="Arial" w:hAnsi="Arial" w:cs="Arial"/>
          <w:b/>
          <w:bCs/>
          <w:sz w:val="22"/>
          <w:szCs w:val="22"/>
        </w:rPr>
        <w:t>m</w:t>
      </w:r>
      <w:r w:rsidR="00DE03AF" w:rsidRPr="005A4DE3">
        <w:rPr>
          <w:rFonts w:ascii="Arial" w:hAnsi="Arial" w:cs="Arial"/>
          <w:b/>
          <w:bCs/>
          <w:sz w:val="22"/>
          <w:szCs w:val="22"/>
        </w:rPr>
        <w:t xml:space="preserve">aximum </w:t>
      </w:r>
      <w:r w:rsidR="005A6FF2" w:rsidRPr="005A4DE3">
        <w:rPr>
          <w:rFonts w:ascii="Arial" w:hAnsi="Arial" w:cs="Arial"/>
          <w:b/>
          <w:bCs/>
          <w:sz w:val="22"/>
          <w:szCs w:val="22"/>
        </w:rPr>
        <w:t>2</w:t>
      </w:r>
      <w:r w:rsidR="00DE03AF" w:rsidRPr="005A4DE3">
        <w:rPr>
          <w:rFonts w:ascii="Arial" w:hAnsi="Arial" w:cs="Arial"/>
          <w:b/>
          <w:bCs/>
          <w:sz w:val="22"/>
          <w:szCs w:val="22"/>
        </w:rPr>
        <w:t xml:space="preserve"> marks]</w:t>
      </w:r>
      <w:r w:rsidR="00DE03AF" w:rsidRPr="005A4DE3">
        <w:rPr>
          <w:rFonts w:ascii="Arial" w:hAnsi="Arial" w:cs="Arial"/>
          <w:b/>
          <w:sz w:val="22"/>
          <w:szCs w:val="22"/>
        </w:rPr>
        <w:t xml:space="preserve"> </w:t>
      </w:r>
    </w:p>
    <w:p w14:paraId="1C61515B" w14:textId="77777777" w:rsidR="00C72848" w:rsidRPr="005A4DE3" w:rsidRDefault="00C72848" w:rsidP="00B10961">
      <w:pPr>
        <w:jc w:val="both"/>
        <w:rPr>
          <w:rFonts w:ascii="Arial" w:hAnsi="Arial" w:cs="Arial"/>
          <w:b/>
          <w:sz w:val="22"/>
          <w:szCs w:val="22"/>
        </w:rPr>
      </w:pPr>
    </w:p>
    <w:p w14:paraId="769B5A59" w14:textId="77777777" w:rsidR="00B10961" w:rsidRDefault="00B10961" w:rsidP="00B10961">
      <w:pPr>
        <w:pStyle w:val="AODocTxt"/>
        <w:spacing w:before="0" w:line="240" w:lineRule="auto"/>
        <w:rPr>
          <w:rFonts w:ascii="Arial" w:hAnsi="Arial" w:cs="Arial"/>
          <w:b/>
        </w:rPr>
      </w:pPr>
      <w:r w:rsidRPr="005A4DE3">
        <w:rPr>
          <w:rFonts w:ascii="Arial" w:hAnsi="Arial" w:cs="Arial"/>
          <w:b/>
        </w:rPr>
        <w:t>What is an executory contract?</w:t>
      </w:r>
    </w:p>
    <w:p w14:paraId="07601706" w14:textId="77777777" w:rsidR="00D00BA8" w:rsidRDefault="00D00BA8" w:rsidP="00B10961">
      <w:pPr>
        <w:pStyle w:val="AODocTxt"/>
        <w:spacing w:before="0" w:line="240" w:lineRule="auto"/>
        <w:rPr>
          <w:rFonts w:ascii="Arial" w:hAnsi="Arial" w:cs="Arial"/>
          <w:b/>
        </w:rPr>
      </w:pPr>
    </w:p>
    <w:p w14:paraId="366A4DAB" w14:textId="52CE73C2" w:rsidR="00D00BA8" w:rsidRDefault="00D00BA8" w:rsidP="00B10961">
      <w:pPr>
        <w:pStyle w:val="AODocTxt"/>
        <w:spacing w:before="0" w:line="240" w:lineRule="auto"/>
        <w:rPr>
          <w:rFonts w:ascii="Arial" w:hAnsi="Arial" w:cs="Arial"/>
        </w:rPr>
      </w:pPr>
      <w:r>
        <w:rPr>
          <w:rFonts w:ascii="Arial" w:hAnsi="Arial" w:cs="Arial"/>
        </w:rPr>
        <w:t>Executory contracts are not defined b</w:t>
      </w:r>
      <w:r w:rsidR="009F3CFE">
        <w:rPr>
          <w:rFonts w:ascii="Arial" w:hAnsi="Arial" w:cs="Arial"/>
        </w:rPr>
        <w:t>y any particular law but are a creature of case law. Simply put, an executory contract is a contract where there are material unperformed obligations by both the creditor and debtor parties. For example, if a debtor to a contract is service provider and as at the date of any petition under the Bankruptcy Code the services have only been partially provided and payment has not been made then the underlying contract between the parties will be said to be exe</w:t>
      </w:r>
      <w:r w:rsidR="00877B90">
        <w:rPr>
          <w:rFonts w:ascii="Arial" w:hAnsi="Arial" w:cs="Arial"/>
        </w:rPr>
        <w:t>cutory. This being the case, the debtor could elect to (</w:t>
      </w:r>
      <w:proofErr w:type="spellStart"/>
      <w:r w:rsidR="00877B90">
        <w:rPr>
          <w:rFonts w:ascii="Arial" w:hAnsi="Arial" w:cs="Arial"/>
        </w:rPr>
        <w:t>i</w:t>
      </w:r>
      <w:proofErr w:type="spellEnd"/>
      <w:r w:rsidR="00877B90">
        <w:rPr>
          <w:rFonts w:ascii="Arial" w:hAnsi="Arial" w:cs="Arial"/>
        </w:rPr>
        <w:t>) reject the contract, (ii) assume the contract, or (iii) assume and assign the contract.</w:t>
      </w:r>
      <w:r w:rsidR="000A6614">
        <w:rPr>
          <w:rFonts w:ascii="Arial" w:hAnsi="Arial" w:cs="Arial"/>
        </w:rPr>
        <w:t xml:space="preserve"> </w:t>
      </w:r>
    </w:p>
    <w:p w14:paraId="76B32CE6" w14:textId="77777777" w:rsidR="000A6614" w:rsidRDefault="000A6614" w:rsidP="00B10961">
      <w:pPr>
        <w:pStyle w:val="AODocTxt"/>
        <w:spacing w:before="0" w:line="240" w:lineRule="auto"/>
        <w:rPr>
          <w:rFonts w:ascii="Arial" w:hAnsi="Arial" w:cs="Arial"/>
        </w:rPr>
      </w:pPr>
    </w:p>
    <w:p w14:paraId="1A25460E" w14:textId="42005BF5" w:rsidR="000A6614" w:rsidRPr="00D00BA8" w:rsidRDefault="000A6614" w:rsidP="00B10961">
      <w:pPr>
        <w:pStyle w:val="AODocTxt"/>
        <w:spacing w:before="0" w:line="240" w:lineRule="auto"/>
        <w:rPr>
          <w:rFonts w:ascii="Arial" w:hAnsi="Arial" w:cs="Arial"/>
        </w:rPr>
      </w:pPr>
      <w:r>
        <w:rPr>
          <w:rFonts w:ascii="Arial" w:hAnsi="Arial" w:cs="Arial"/>
        </w:rPr>
        <w:t xml:space="preserve">A chapter 7 trustee has 60 days from the date of the chapter 7 petition to make a decision as to assume, assign, or reject the executory contract. In chapter 11 cases the debtor has until the confirmation of its </w:t>
      </w:r>
      <w:proofErr w:type="spellStart"/>
      <w:r>
        <w:rPr>
          <w:rFonts w:ascii="Arial" w:hAnsi="Arial" w:cs="Arial"/>
        </w:rPr>
        <w:t>reorganisation</w:t>
      </w:r>
      <w:proofErr w:type="spellEnd"/>
      <w:r>
        <w:rPr>
          <w:rFonts w:ascii="Arial" w:hAnsi="Arial" w:cs="Arial"/>
        </w:rPr>
        <w:t xml:space="preserve"> plan to make this decision, save for unexpired non-residential leases which must be decided upon within 120 days of the order for relief. </w:t>
      </w:r>
    </w:p>
    <w:p w14:paraId="292B2588" w14:textId="77777777" w:rsidR="00AA7BE3" w:rsidRPr="00717C2C" w:rsidRDefault="00AA7BE3" w:rsidP="00717C2C">
      <w:pPr>
        <w:jc w:val="both"/>
        <w:rPr>
          <w:rFonts w:ascii="Arial" w:hAnsi="Arial" w:cs="Arial"/>
          <w:sz w:val="22"/>
          <w:szCs w:val="22"/>
        </w:rPr>
      </w:pPr>
    </w:p>
    <w:p w14:paraId="34516371" w14:textId="4208DF1D" w:rsidR="00C72848" w:rsidRPr="005A4DE3" w:rsidRDefault="00C72848" w:rsidP="002A37BB">
      <w:pPr>
        <w:ind w:left="720" w:hanging="720"/>
        <w:jc w:val="both"/>
        <w:rPr>
          <w:rFonts w:ascii="Arial" w:hAnsi="Arial" w:cs="Arial"/>
          <w:b/>
          <w:bCs/>
          <w:sz w:val="22"/>
          <w:szCs w:val="22"/>
          <w:lang w:val="en-GB"/>
        </w:rPr>
      </w:pPr>
      <w:r w:rsidRPr="005A4DE3">
        <w:rPr>
          <w:rFonts w:ascii="Arial" w:hAnsi="Arial" w:cs="Arial"/>
          <w:b/>
          <w:bCs/>
          <w:sz w:val="22"/>
          <w:szCs w:val="22"/>
          <w:lang w:val="en-GB"/>
        </w:rPr>
        <w:t xml:space="preserve">Question </w:t>
      </w:r>
      <w:r w:rsidR="00E6452F" w:rsidRPr="005A4DE3">
        <w:rPr>
          <w:rFonts w:ascii="Arial" w:hAnsi="Arial" w:cs="Arial"/>
          <w:b/>
          <w:bCs/>
          <w:sz w:val="22"/>
          <w:szCs w:val="22"/>
          <w:lang w:val="en-GB"/>
        </w:rPr>
        <w:t>2.3</w:t>
      </w:r>
      <w:r w:rsidR="00E6452F" w:rsidRPr="005A4DE3">
        <w:rPr>
          <w:rFonts w:ascii="Arial" w:hAnsi="Arial" w:cs="Arial"/>
          <w:b/>
          <w:bCs/>
          <w:sz w:val="22"/>
          <w:szCs w:val="22"/>
          <w:lang w:val="en-GB"/>
        </w:rPr>
        <w:tab/>
        <w:t>[</w:t>
      </w:r>
      <w:r w:rsidR="00D17FDC" w:rsidRPr="005A4DE3">
        <w:rPr>
          <w:rFonts w:ascii="Arial" w:hAnsi="Arial" w:cs="Arial"/>
          <w:b/>
          <w:bCs/>
          <w:sz w:val="22"/>
          <w:szCs w:val="22"/>
          <w:lang w:val="en-GB"/>
        </w:rPr>
        <w:t>m</w:t>
      </w:r>
      <w:r w:rsidR="00E6452F" w:rsidRPr="005A4DE3">
        <w:rPr>
          <w:rFonts w:ascii="Arial" w:hAnsi="Arial" w:cs="Arial"/>
          <w:b/>
          <w:bCs/>
          <w:sz w:val="22"/>
          <w:szCs w:val="22"/>
          <w:lang w:val="en-GB"/>
        </w:rPr>
        <w:t xml:space="preserve">aximum </w:t>
      </w:r>
      <w:r w:rsidR="009954B2" w:rsidRPr="005A4DE3">
        <w:rPr>
          <w:rFonts w:ascii="Arial" w:hAnsi="Arial" w:cs="Arial"/>
          <w:b/>
          <w:bCs/>
          <w:sz w:val="22"/>
          <w:szCs w:val="22"/>
          <w:lang w:val="en-GB"/>
        </w:rPr>
        <w:t>2</w:t>
      </w:r>
      <w:r w:rsidR="00E6452F" w:rsidRPr="005A4DE3">
        <w:rPr>
          <w:rFonts w:ascii="Arial" w:hAnsi="Arial" w:cs="Arial"/>
          <w:b/>
          <w:bCs/>
          <w:sz w:val="22"/>
          <w:szCs w:val="22"/>
          <w:lang w:val="en-GB"/>
        </w:rPr>
        <w:t xml:space="preserve"> marks] </w:t>
      </w:r>
    </w:p>
    <w:p w14:paraId="64670543" w14:textId="77777777" w:rsidR="00C72848" w:rsidRPr="005A4DE3" w:rsidRDefault="00C72848" w:rsidP="00D21021">
      <w:pPr>
        <w:jc w:val="both"/>
        <w:rPr>
          <w:rFonts w:ascii="Arial" w:hAnsi="Arial" w:cs="Arial"/>
          <w:b/>
          <w:bCs/>
          <w:sz w:val="22"/>
          <w:szCs w:val="22"/>
          <w:lang w:val="en-GB"/>
        </w:rPr>
      </w:pPr>
    </w:p>
    <w:p w14:paraId="5FBE2BAA" w14:textId="77777777" w:rsidR="00CB6578" w:rsidRDefault="00CB6578" w:rsidP="00D21021">
      <w:pPr>
        <w:pStyle w:val="AODocTxt"/>
        <w:spacing w:before="0" w:line="240" w:lineRule="auto"/>
        <w:rPr>
          <w:rFonts w:ascii="Arial" w:hAnsi="Arial" w:cs="Arial"/>
          <w:b/>
        </w:rPr>
      </w:pPr>
      <w:r w:rsidRPr="005A4DE3">
        <w:rPr>
          <w:rFonts w:ascii="Arial" w:hAnsi="Arial" w:cs="Arial"/>
          <w:b/>
        </w:rPr>
        <w:t>What is a “priming lien” and what requirements must be met for such a lien to be granted to secure DIP financing?</w:t>
      </w:r>
    </w:p>
    <w:p w14:paraId="4A79E8D6" w14:textId="77777777" w:rsidR="00877B90" w:rsidRDefault="00877B90" w:rsidP="00D21021">
      <w:pPr>
        <w:pStyle w:val="AODocTxt"/>
        <w:spacing w:before="0" w:line="240" w:lineRule="auto"/>
        <w:rPr>
          <w:rFonts w:ascii="Arial" w:hAnsi="Arial" w:cs="Arial"/>
          <w:b/>
        </w:rPr>
      </w:pPr>
    </w:p>
    <w:p w14:paraId="4F711FED" w14:textId="4581B776" w:rsidR="00F14424" w:rsidRPr="00CF5208" w:rsidRDefault="005B08F9" w:rsidP="00F14424">
      <w:pPr>
        <w:pStyle w:val="AODocTxt"/>
        <w:spacing w:before="0" w:line="240" w:lineRule="auto"/>
        <w:rPr>
          <w:rFonts w:ascii="Arial" w:hAnsi="Arial" w:cs="Arial"/>
          <w:i/>
        </w:rPr>
      </w:pPr>
      <w:r>
        <w:rPr>
          <w:rFonts w:ascii="Arial" w:hAnsi="Arial" w:cs="Arial"/>
        </w:rPr>
        <w:t>If a debtor in possession is unable to</w:t>
      </w:r>
      <w:r w:rsidR="009839A2">
        <w:rPr>
          <w:rFonts w:ascii="Arial" w:hAnsi="Arial" w:cs="Arial"/>
        </w:rPr>
        <w:t xml:space="preserve"> obtain increased unsecured debt funding then, pursuant to section 364(d) of the Bankruptcy Code, it can also offer a priming lien, which is </w:t>
      </w:r>
      <w:r w:rsidR="00CF5208">
        <w:rPr>
          <w:rFonts w:ascii="Arial" w:hAnsi="Arial" w:cs="Arial"/>
        </w:rPr>
        <w:t xml:space="preserve">a new lien on assets which rank </w:t>
      </w:r>
      <w:r w:rsidR="009839A2">
        <w:rPr>
          <w:rFonts w:ascii="Arial" w:hAnsi="Arial" w:cs="Arial"/>
        </w:rPr>
        <w:t>senior to existing pre-petition liens on the same assets/collateral. The debt secured by the priming lien will be paid prior to payments of other debts secured by the same assets/collateral, irrespective of the fact of whether the source of the payment is the sale of the common assets/collateral. A priming lien is only available to a debtor where it can prove to the court that it ca</w:t>
      </w:r>
      <w:r w:rsidR="005A477A">
        <w:rPr>
          <w:rFonts w:ascii="Arial" w:hAnsi="Arial" w:cs="Arial"/>
        </w:rPr>
        <w:t xml:space="preserve">nnot otherwise obtain financing. Moreover, if the debtor wishes to prime assets with existing liens then it needs to obtain consent from the lenders being primed, or, rather, it needs to show to the court that the interests of the lenders being primed in the asset/collateral are being adequately protected against any kind of diminution of value from the application of a new priming lien. </w:t>
      </w:r>
      <w:r w:rsidR="000A6614">
        <w:rPr>
          <w:rFonts w:ascii="Arial" w:hAnsi="Arial" w:cs="Arial"/>
        </w:rPr>
        <w:t>Section 36</w:t>
      </w:r>
      <w:r w:rsidR="002C7761">
        <w:rPr>
          <w:rFonts w:ascii="Arial" w:hAnsi="Arial" w:cs="Arial"/>
        </w:rPr>
        <w:t xml:space="preserve">1 of the Bankruptcy Code defines what "adequate protection" requirements must be demonstrated, which may </w:t>
      </w:r>
      <w:proofErr w:type="spellStart"/>
      <w:r w:rsidR="002C7761">
        <w:rPr>
          <w:rFonts w:ascii="Arial" w:hAnsi="Arial" w:cs="Arial"/>
        </w:rPr>
        <w:t>includes</w:t>
      </w:r>
      <w:proofErr w:type="spellEnd"/>
      <w:r w:rsidR="00F14424">
        <w:rPr>
          <w:rFonts w:ascii="Arial" w:hAnsi="Arial" w:cs="Arial"/>
        </w:rPr>
        <w:t>:</w:t>
      </w:r>
      <w:r w:rsidR="002C7761">
        <w:rPr>
          <w:rFonts w:ascii="Arial" w:hAnsi="Arial" w:cs="Arial"/>
        </w:rPr>
        <w:t xml:space="preserve"> </w:t>
      </w:r>
      <w:r w:rsidR="002C7761" w:rsidRPr="00CF5208">
        <w:rPr>
          <w:rFonts w:ascii="Arial" w:hAnsi="Arial" w:cs="Arial"/>
          <w:i/>
        </w:rPr>
        <w:t>"</w:t>
      </w:r>
      <w:r w:rsidR="00F14424" w:rsidRPr="00CF5208">
        <w:rPr>
          <w:rFonts w:ascii="Arial" w:hAnsi="Arial" w:cs="Arial"/>
          <w:i/>
        </w:rPr>
        <w:t xml:space="preserve">(1)requiring the trustee to make a cash payment or periodic cash payments to such entity, to the extent that the stay under section 362 of this title, use, sale, or lease under section 363 of this title, </w:t>
      </w:r>
      <w:r w:rsidR="00F14424" w:rsidRPr="00CF5208">
        <w:rPr>
          <w:rFonts w:ascii="Arial" w:hAnsi="Arial" w:cs="Arial"/>
          <w:i/>
        </w:rPr>
        <w:lastRenderedPageBreak/>
        <w:t>or any grant of a lien under section 364 of this title results in a decrease in the value of such entity’s interest in such property; (2)providing to such entity an additional or replacement lien to the extent that such stay, use, sale, lease, or grant results in a decrease in the value of such entity’s interest in such property; or (3)granting such other relief, other than entitling such entity to compensation allowable under section 503(b)(1) of this title as an administrative expense, as will result in the realization by such entity of the indubitable equivalent of such entity’s interest in such property."</w:t>
      </w:r>
    </w:p>
    <w:p w14:paraId="5E35989A" w14:textId="492C28C8" w:rsidR="00515810" w:rsidRPr="00515810" w:rsidRDefault="00515810" w:rsidP="00515810">
      <w:pPr>
        <w:jc w:val="both"/>
        <w:rPr>
          <w:rFonts w:ascii="Arial" w:hAnsi="Arial" w:cs="Arial"/>
          <w:color w:val="7B7B7B" w:themeColor="accent3" w:themeShade="BF"/>
          <w:sz w:val="22"/>
          <w:szCs w:val="22"/>
          <w:lang w:val="en-GB"/>
        </w:rPr>
      </w:pPr>
    </w:p>
    <w:p w14:paraId="57CD06CF" w14:textId="61E8520E" w:rsidR="009954B2" w:rsidRPr="005A4DE3" w:rsidRDefault="009954B2" w:rsidP="002A37BB">
      <w:pPr>
        <w:jc w:val="both"/>
        <w:rPr>
          <w:rFonts w:ascii="Arial" w:hAnsi="Arial" w:cs="Arial"/>
          <w:b/>
          <w:bCs/>
          <w:sz w:val="22"/>
          <w:szCs w:val="22"/>
          <w:lang w:val="en-GB"/>
        </w:rPr>
      </w:pPr>
      <w:r w:rsidRPr="005A4DE3">
        <w:rPr>
          <w:rFonts w:ascii="Arial" w:hAnsi="Arial" w:cs="Arial"/>
          <w:b/>
          <w:sz w:val="22"/>
          <w:szCs w:val="22"/>
          <w:lang w:val="en-GB"/>
        </w:rPr>
        <w:t>Question 2.4</w:t>
      </w:r>
      <w:r w:rsidRPr="005A4DE3">
        <w:rPr>
          <w:rFonts w:ascii="Arial" w:hAnsi="Arial" w:cs="Arial"/>
          <w:b/>
          <w:sz w:val="22"/>
          <w:szCs w:val="22"/>
          <w:lang w:val="en-GB"/>
        </w:rPr>
        <w:tab/>
        <w:t xml:space="preserve">[maximum </w:t>
      </w:r>
      <w:r w:rsidR="005A6FF2" w:rsidRPr="005A4DE3">
        <w:rPr>
          <w:rFonts w:ascii="Arial" w:hAnsi="Arial" w:cs="Arial"/>
          <w:b/>
          <w:sz w:val="22"/>
          <w:szCs w:val="22"/>
          <w:lang w:val="en-GB"/>
        </w:rPr>
        <w:t>2</w:t>
      </w:r>
      <w:r w:rsidRPr="005A4DE3">
        <w:rPr>
          <w:rFonts w:ascii="Arial" w:hAnsi="Arial" w:cs="Arial"/>
          <w:b/>
          <w:sz w:val="22"/>
          <w:szCs w:val="22"/>
          <w:lang w:val="en-GB"/>
        </w:rPr>
        <w:t xml:space="preserve"> marks]</w:t>
      </w:r>
    </w:p>
    <w:p w14:paraId="2A3AE6C9" w14:textId="30B4825D" w:rsidR="009954B2" w:rsidRPr="005A4DE3" w:rsidRDefault="009954B2" w:rsidP="00777C53">
      <w:pPr>
        <w:jc w:val="both"/>
        <w:rPr>
          <w:rFonts w:ascii="Arial" w:hAnsi="Arial" w:cs="Arial"/>
          <w:b/>
          <w:bCs/>
          <w:sz w:val="22"/>
          <w:szCs w:val="22"/>
          <w:lang w:val="en-GB"/>
        </w:rPr>
      </w:pPr>
    </w:p>
    <w:p w14:paraId="659998BF" w14:textId="77777777" w:rsidR="00777C53" w:rsidRDefault="00777C53" w:rsidP="00777C53">
      <w:pPr>
        <w:pStyle w:val="AODocTxt"/>
        <w:spacing w:before="0" w:line="240" w:lineRule="auto"/>
        <w:rPr>
          <w:rFonts w:ascii="Arial" w:hAnsi="Arial" w:cs="Arial"/>
          <w:b/>
        </w:rPr>
      </w:pPr>
      <w:r w:rsidRPr="005A4DE3">
        <w:rPr>
          <w:rFonts w:ascii="Arial" w:hAnsi="Arial" w:cs="Arial"/>
          <w:b/>
        </w:rPr>
        <w:t>In voting on a plan of reorganization, which class(</w:t>
      </w:r>
      <w:proofErr w:type="spellStart"/>
      <w:r w:rsidRPr="005A4DE3">
        <w:rPr>
          <w:rFonts w:ascii="Arial" w:hAnsi="Arial" w:cs="Arial"/>
          <w:b/>
        </w:rPr>
        <w:t>es</w:t>
      </w:r>
      <w:proofErr w:type="spellEnd"/>
      <w:r w:rsidRPr="005A4DE3">
        <w:rPr>
          <w:rFonts w:ascii="Arial" w:hAnsi="Arial" w:cs="Arial"/>
          <w:b/>
        </w:rPr>
        <w:t>) of creditors are (</w:t>
      </w:r>
      <w:proofErr w:type="spellStart"/>
      <w:r w:rsidRPr="005A4DE3">
        <w:rPr>
          <w:rFonts w:ascii="Arial" w:hAnsi="Arial" w:cs="Arial"/>
          <w:b/>
        </w:rPr>
        <w:t>i</w:t>
      </w:r>
      <w:proofErr w:type="spellEnd"/>
      <w:r w:rsidRPr="005A4DE3">
        <w:rPr>
          <w:rFonts w:ascii="Arial" w:hAnsi="Arial" w:cs="Arial"/>
          <w:b/>
        </w:rPr>
        <w:t>) deemed to accept the plan, (ii) deemed to reject the plan and (iii) permitted to vote on the plan?  What vote is necessary for a class of creditors to accept a plan?</w:t>
      </w:r>
    </w:p>
    <w:p w14:paraId="2461BF6D" w14:textId="77777777" w:rsidR="00F14424" w:rsidRDefault="00F14424" w:rsidP="00777C53">
      <w:pPr>
        <w:pStyle w:val="AODocTxt"/>
        <w:spacing w:before="0" w:line="240" w:lineRule="auto"/>
        <w:rPr>
          <w:rFonts w:ascii="Arial" w:hAnsi="Arial" w:cs="Arial"/>
          <w:b/>
        </w:rPr>
      </w:pPr>
    </w:p>
    <w:p w14:paraId="20670FB9" w14:textId="3CF3920B" w:rsidR="00B910CE" w:rsidRDefault="00B910CE" w:rsidP="00777C53">
      <w:pPr>
        <w:pStyle w:val="AODocTxt"/>
        <w:spacing w:before="0" w:line="240" w:lineRule="auto"/>
        <w:rPr>
          <w:rFonts w:ascii="Arial" w:hAnsi="Arial" w:cs="Arial"/>
        </w:rPr>
      </w:pPr>
      <w:r>
        <w:rPr>
          <w:rFonts w:ascii="Arial" w:hAnsi="Arial" w:cs="Arial"/>
        </w:rPr>
        <w:t>Classes of creditors are said to be</w:t>
      </w:r>
      <w:r w:rsidR="00CF5208">
        <w:rPr>
          <w:rFonts w:ascii="Arial" w:hAnsi="Arial" w:cs="Arial"/>
        </w:rPr>
        <w:t xml:space="preserve"> either</w:t>
      </w:r>
      <w:r>
        <w:rPr>
          <w:rFonts w:ascii="Arial" w:hAnsi="Arial" w:cs="Arial"/>
        </w:rPr>
        <w:t xml:space="preserve"> "unimpaired" or "impaired" in a chapter 11 </w:t>
      </w:r>
      <w:proofErr w:type="spellStart"/>
      <w:r>
        <w:rPr>
          <w:rFonts w:ascii="Arial" w:hAnsi="Arial" w:cs="Arial"/>
        </w:rPr>
        <w:t>reorganisation</w:t>
      </w:r>
      <w:proofErr w:type="spellEnd"/>
      <w:r>
        <w:rPr>
          <w:rFonts w:ascii="Arial" w:hAnsi="Arial" w:cs="Arial"/>
        </w:rPr>
        <w:t xml:space="preserve">. A class is "impaired" unless the </w:t>
      </w:r>
      <w:proofErr w:type="spellStart"/>
      <w:r>
        <w:rPr>
          <w:rFonts w:ascii="Arial" w:hAnsi="Arial" w:cs="Arial"/>
        </w:rPr>
        <w:t>reorganisation</w:t>
      </w:r>
      <w:proofErr w:type="spellEnd"/>
      <w:r>
        <w:rPr>
          <w:rFonts w:ascii="Arial" w:hAnsi="Arial" w:cs="Arial"/>
        </w:rPr>
        <w:t xml:space="preserve"> plan leaves those members of the class' claims unaltered. It is only "impaired" classes that have the right to vote on the plan; "unimpaired" classes do not have the right to vote. </w:t>
      </w:r>
    </w:p>
    <w:p w14:paraId="7579BF1F" w14:textId="77777777" w:rsidR="00B910CE" w:rsidRDefault="00B910CE" w:rsidP="00777C53">
      <w:pPr>
        <w:pStyle w:val="AODocTxt"/>
        <w:spacing w:before="0" w:line="240" w:lineRule="auto"/>
        <w:rPr>
          <w:rFonts w:ascii="Arial" w:hAnsi="Arial" w:cs="Arial"/>
        </w:rPr>
      </w:pPr>
    </w:p>
    <w:p w14:paraId="169EC805" w14:textId="1164E2D7" w:rsidR="00D21170" w:rsidRDefault="00B910CE" w:rsidP="00777C53">
      <w:pPr>
        <w:pStyle w:val="AODocTxt"/>
        <w:spacing w:before="0" w:line="240" w:lineRule="auto"/>
        <w:rPr>
          <w:rFonts w:ascii="Arial" w:hAnsi="Arial" w:cs="Arial"/>
        </w:rPr>
      </w:pPr>
      <w:r>
        <w:rPr>
          <w:rFonts w:ascii="Arial" w:hAnsi="Arial" w:cs="Arial"/>
        </w:rPr>
        <w:t xml:space="preserve">A class of creditors approves the </w:t>
      </w:r>
      <w:proofErr w:type="spellStart"/>
      <w:r>
        <w:rPr>
          <w:rFonts w:ascii="Arial" w:hAnsi="Arial" w:cs="Arial"/>
        </w:rPr>
        <w:t>reorganisation</w:t>
      </w:r>
      <w:proofErr w:type="spellEnd"/>
      <w:r>
        <w:rPr>
          <w:rFonts w:ascii="Arial" w:hAnsi="Arial" w:cs="Arial"/>
        </w:rPr>
        <w:t xml:space="preserve"> plan if a simple majority of the creditors in the class holding at least two-third of value of cl</w:t>
      </w:r>
      <w:r w:rsidR="00D21170">
        <w:rPr>
          <w:rFonts w:ascii="Arial" w:hAnsi="Arial" w:cs="Arial"/>
        </w:rPr>
        <w:t xml:space="preserve">aims in the class vote in </w:t>
      </w:r>
      <w:proofErr w:type="spellStart"/>
      <w:r w:rsidR="00D21170">
        <w:rPr>
          <w:rFonts w:ascii="Arial" w:hAnsi="Arial" w:cs="Arial"/>
        </w:rPr>
        <w:t>favour</w:t>
      </w:r>
      <w:proofErr w:type="spellEnd"/>
      <w:r w:rsidR="00D21170">
        <w:rPr>
          <w:rFonts w:ascii="Arial" w:hAnsi="Arial" w:cs="Arial"/>
        </w:rPr>
        <w:t xml:space="preserve">. However, </w:t>
      </w:r>
      <w:r>
        <w:rPr>
          <w:rFonts w:ascii="Arial" w:hAnsi="Arial" w:cs="Arial"/>
        </w:rPr>
        <w:t xml:space="preserve">for </w:t>
      </w:r>
      <w:r w:rsidR="00D21170">
        <w:rPr>
          <w:rFonts w:ascii="Arial" w:hAnsi="Arial" w:cs="Arial"/>
        </w:rPr>
        <w:t>shareholders'</w:t>
      </w:r>
      <w:r>
        <w:rPr>
          <w:rFonts w:ascii="Arial" w:hAnsi="Arial" w:cs="Arial"/>
        </w:rPr>
        <w:t xml:space="preserve"> interests</w:t>
      </w:r>
      <w:r w:rsidR="00D21170">
        <w:rPr>
          <w:rFonts w:ascii="Arial" w:hAnsi="Arial" w:cs="Arial"/>
        </w:rPr>
        <w:t xml:space="preserve"> the threshold requirement is </w:t>
      </w:r>
      <w:r>
        <w:rPr>
          <w:rFonts w:ascii="Arial" w:hAnsi="Arial" w:cs="Arial"/>
        </w:rPr>
        <w:t>i</w:t>
      </w:r>
      <w:r w:rsidR="00D21170">
        <w:rPr>
          <w:rFonts w:ascii="Arial" w:hAnsi="Arial" w:cs="Arial"/>
        </w:rPr>
        <w:t xml:space="preserve">f two-thirds in amount of interests vote in </w:t>
      </w:r>
      <w:proofErr w:type="spellStart"/>
      <w:r w:rsidR="00D21170">
        <w:rPr>
          <w:rFonts w:ascii="Arial" w:hAnsi="Arial" w:cs="Arial"/>
        </w:rPr>
        <w:t>favour</w:t>
      </w:r>
      <w:proofErr w:type="spellEnd"/>
      <w:r w:rsidR="00D21170">
        <w:rPr>
          <w:rFonts w:ascii="Arial" w:hAnsi="Arial" w:cs="Arial"/>
        </w:rPr>
        <w:t xml:space="preserve">. </w:t>
      </w:r>
    </w:p>
    <w:p w14:paraId="0C216F37" w14:textId="77777777" w:rsidR="00D21170" w:rsidRDefault="00D21170" w:rsidP="00777C53">
      <w:pPr>
        <w:pStyle w:val="AODocTxt"/>
        <w:spacing w:before="0" w:line="240" w:lineRule="auto"/>
        <w:rPr>
          <w:rFonts w:ascii="Arial" w:hAnsi="Arial" w:cs="Arial"/>
        </w:rPr>
      </w:pPr>
    </w:p>
    <w:p w14:paraId="41AD3C97" w14:textId="1B28131A" w:rsidR="00F14424" w:rsidRPr="00B910CE" w:rsidRDefault="00D21170" w:rsidP="00777C53">
      <w:pPr>
        <w:pStyle w:val="AODocTxt"/>
        <w:spacing w:before="0" w:line="240" w:lineRule="auto"/>
        <w:rPr>
          <w:rFonts w:ascii="Arial" w:hAnsi="Arial" w:cs="Arial"/>
        </w:rPr>
      </w:pPr>
      <w:r>
        <w:rPr>
          <w:rFonts w:ascii="Arial" w:hAnsi="Arial" w:cs="Arial"/>
        </w:rPr>
        <w:t xml:space="preserve">Unimpaired classes do not have the right to vote and are deemed to accept the plan, whereas a class that will receive nothing under the </w:t>
      </w:r>
      <w:proofErr w:type="spellStart"/>
      <w:r w:rsidR="00194260">
        <w:rPr>
          <w:rFonts w:ascii="Arial" w:hAnsi="Arial" w:cs="Arial"/>
        </w:rPr>
        <w:t>reorganisation</w:t>
      </w:r>
      <w:proofErr w:type="spellEnd"/>
      <w:r>
        <w:rPr>
          <w:rFonts w:ascii="Arial" w:hAnsi="Arial" w:cs="Arial"/>
        </w:rPr>
        <w:t xml:space="preserve"> plan will be deemed to reject the plan. </w:t>
      </w:r>
      <w:r w:rsidR="00B910CE">
        <w:rPr>
          <w:rFonts w:ascii="Arial" w:hAnsi="Arial" w:cs="Arial"/>
        </w:rPr>
        <w:t xml:space="preserve"> </w:t>
      </w:r>
    </w:p>
    <w:p w14:paraId="47882763" w14:textId="77777777" w:rsidR="009954B2" w:rsidRPr="00777C53" w:rsidRDefault="009954B2" w:rsidP="00777C53">
      <w:pPr>
        <w:jc w:val="both"/>
        <w:rPr>
          <w:rFonts w:ascii="Arial" w:hAnsi="Arial" w:cs="Arial"/>
          <w:bCs/>
          <w:sz w:val="22"/>
          <w:szCs w:val="22"/>
          <w:lang w:val="en-GB"/>
        </w:rPr>
      </w:pPr>
    </w:p>
    <w:p w14:paraId="614F4573" w14:textId="77777777" w:rsidR="00E26E10" w:rsidRPr="00E26E10" w:rsidRDefault="00E26E10" w:rsidP="00E26E10">
      <w:pPr>
        <w:jc w:val="both"/>
        <w:rPr>
          <w:rFonts w:ascii="Arial" w:hAnsi="Arial" w:cs="Arial"/>
          <w:bCs/>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44D738ED" w14:textId="77777777" w:rsidR="00D316F2" w:rsidRPr="00194260" w:rsidRDefault="00D316F2" w:rsidP="00D316F2">
      <w:pPr>
        <w:pStyle w:val="AODocTxt"/>
        <w:spacing w:before="0" w:line="240" w:lineRule="auto"/>
        <w:rPr>
          <w:rFonts w:ascii="Arial" w:hAnsi="Arial" w:cs="Arial"/>
          <w:b/>
        </w:rPr>
      </w:pPr>
      <w:r w:rsidRPr="00194260">
        <w:rPr>
          <w:rFonts w:ascii="Arial" w:hAnsi="Arial" w:cs="Arial"/>
          <w:b/>
        </w:rPr>
        <w:t xml:space="preserve">How does the automatic stay available in chapter 15 proceedings differ from that available in chapter 11 proceedings? </w:t>
      </w:r>
    </w:p>
    <w:p w14:paraId="73A483C3" w14:textId="77777777" w:rsidR="00AC176C" w:rsidRDefault="00AC176C" w:rsidP="00194260">
      <w:pPr>
        <w:jc w:val="both"/>
        <w:rPr>
          <w:rFonts w:ascii="Arial" w:hAnsi="Arial" w:cs="Arial"/>
          <w:bCs/>
          <w:sz w:val="22"/>
          <w:szCs w:val="22"/>
          <w:lang w:val="en-GB"/>
        </w:rPr>
      </w:pPr>
    </w:p>
    <w:p w14:paraId="5EE600DB" w14:textId="3362A076" w:rsidR="00194260" w:rsidRDefault="00AC176C" w:rsidP="00194260">
      <w:pPr>
        <w:jc w:val="both"/>
        <w:rPr>
          <w:rFonts w:ascii="Arial" w:hAnsi="Arial" w:cs="Arial"/>
          <w:bCs/>
          <w:sz w:val="22"/>
          <w:szCs w:val="22"/>
          <w:lang w:val="en-GB"/>
        </w:rPr>
      </w:pPr>
      <w:r>
        <w:rPr>
          <w:rFonts w:ascii="Arial" w:hAnsi="Arial" w:cs="Arial"/>
          <w:bCs/>
          <w:sz w:val="22"/>
          <w:szCs w:val="22"/>
          <w:lang w:val="en-GB"/>
        </w:rPr>
        <w:t>The key differences between a chapter 15 stay versus a chapter 11 stay are:</w:t>
      </w:r>
    </w:p>
    <w:p w14:paraId="7AB9579A" w14:textId="77777777" w:rsidR="00AC176C" w:rsidRDefault="00AC176C" w:rsidP="00194260">
      <w:pPr>
        <w:jc w:val="both"/>
        <w:rPr>
          <w:rFonts w:ascii="Arial" w:hAnsi="Arial" w:cs="Arial"/>
          <w:bCs/>
          <w:sz w:val="22"/>
          <w:szCs w:val="22"/>
          <w:lang w:val="en-GB"/>
        </w:rPr>
      </w:pPr>
    </w:p>
    <w:p w14:paraId="3281A0E4" w14:textId="06C96174" w:rsidR="00AC176C" w:rsidRDefault="00AC176C" w:rsidP="00AC176C">
      <w:pPr>
        <w:pStyle w:val="ListParagraph"/>
        <w:numPr>
          <w:ilvl w:val="0"/>
          <w:numId w:val="35"/>
        </w:numPr>
        <w:jc w:val="both"/>
        <w:rPr>
          <w:rFonts w:ascii="Arial" w:hAnsi="Arial" w:cs="Arial"/>
          <w:bCs/>
          <w:sz w:val="22"/>
          <w:szCs w:val="22"/>
          <w:lang w:val="en-GB"/>
        </w:rPr>
      </w:pPr>
      <w:r>
        <w:rPr>
          <w:rFonts w:ascii="Arial" w:hAnsi="Arial" w:cs="Arial"/>
          <w:bCs/>
          <w:sz w:val="22"/>
          <w:szCs w:val="22"/>
          <w:lang w:val="en-GB"/>
        </w:rPr>
        <w:t xml:space="preserve">Breadth - a chapter 15 stay only applies to the debtor's property within the </w:t>
      </w:r>
      <w:r w:rsidR="00922AFA">
        <w:rPr>
          <w:rFonts w:ascii="Arial" w:hAnsi="Arial" w:cs="Arial"/>
          <w:bCs/>
          <w:sz w:val="22"/>
          <w:szCs w:val="22"/>
          <w:lang w:val="en-GB"/>
        </w:rPr>
        <w:t>jurisdiction</w:t>
      </w:r>
      <w:r>
        <w:rPr>
          <w:rFonts w:ascii="Arial" w:hAnsi="Arial" w:cs="Arial"/>
          <w:bCs/>
          <w:sz w:val="22"/>
          <w:szCs w:val="22"/>
          <w:lang w:val="en-GB"/>
        </w:rPr>
        <w:t xml:space="preserve"> of the United States whereas a chapter 11 stay has </w:t>
      </w:r>
      <w:r w:rsidR="00922AFA">
        <w:rPr>
          <w:rFonts w:ascii="Arial" w:hAnsi="Arial" w:cs="Arial"/>
          <w:bCs/>
          <w:sz w:val="22"/>
          <w:szCs w:val="22"/>
          <w:lang w:val="en-GB"/>
        </w:rPr>
        <w:t>extraterritorial</w:t>
      </w:r>
      <w:r>
        <w:rPr>
          <w:rFonts w:ascii="Arial" w:hAnsi="Arial" w:cs="Arial"/>
          <w:bCs/>
          <w:sz w:val="22"/>
          <w:szCs w:val="22"/>
          <w:lang w:val="en-GB"/>
        </w:rPr>
        <w:t xml:space="preserve"> effect</w:t>
      </w:r>
      <w:r w:rsidR="00922AFA">
        <w:rPr>
          <w:rFonts w:ascii="Arial" w:hAnsi="Arial" w:cs="Arial"/>
          <w:bCs/>
          <w:sz w:val="22"/>
          <w:szCs w:val="22"/>
          <w:lang w:val="en-GB"/>
        </w:rPr>
        <w:t xml:space="preserve"> on the debtor's assets wherever they are located</w:t>
      </w:r>
      <w:r>
        <w:rPr>
          <w:rFonts w:ascii="Arial" w:hAnsi="Arial" w:cs="Arial"/>
          <w:bCs/>
          <w:sz w:val="22"/>
          <w:szCs w:val="22"/>
          <w:lang w:val="en-GB"/>
        </w:rPr>
        <w:t xml:space="preserve">. </w:t>
      </w:r>
    </w:p>
    <w:p w14:paraId="538B996B" w14:textId="02C174E3" w:rsidR="00AC176C" w:rsidRDefault="00AC176C" w:rsidP="00AC176C">
      <w:pPr>
        <w:pStyle w:val="ListParagraph"/>
        <w:numPr>
          <w:ilvl w:val="0"/>
          <w:numId w:val="35"/>
        </w:numPr>
        <w:jc w:val="both"/>
        <w:rPr>
          <w:rFonts w:ascii="Arial" w:hAnsi="Arial" w:cs="Arial"/>
          <w:bCs/>
          <w:sz w:val="22"/>
          <w:szCs w:val="22"/>
          <w:lang w:val="en-GB"/>
        </w:rPr>
      </w:pPr>
      <w:r>
        <w:rPr>
          <w:rFonts w:ascii="Arial" w:hAnsi="Arial" w:cs="Arial"/>
          <w:bCs/>
          <w:sz w:val="22"/>
          <w:szCs w:val="22"/>
          <w:lang w:val="en-GB"/>
        </w:rPr>
        <w:t xml:space="preserve">Carve-outs - a chapter 11 stay has only a few limited number of carve outs (e.g. criminal proceedings and family matters), whereas the chapter 15 stay has a rather large carve out in that </w:t>
      </w:r>
      <w:proofErr w:type="spellStart"/>
      <w:r>
        <w:rPr>
          <w:rFonts w:ascii="Arial" w:hAnsi="Arial" w:cs="Arial"/>
          <w:bCs/>
          <w:sz w:val="22"/>
          <w:szCs w:val="22"/>
          <w:lang w:val="en-GB"/>
        </w:rPr>
        <w:t>s.1520</w:t>
      </w:r>
      <w:proofErr w:type="spellEnd"/>
      <w:r>
        <w:rPr>
          <w:rFonts w:ascii="Arial" w:hAnsi="Arial" w:cs="Arial"/>
          <w:bCs/>
          <w:sz w:val="22"/>
          <w:szCs w:val="22"/>
          <w:lang w:val="en-GB"/>
        </w:rPr>
        <w:t>(c) of Title 11 of Chapter 15 provides that the stay does not apply to the filing of a plenary US bankruptcy proceedings.</w:t>
      </w:r>
    </w:p>
    <w:p w14:paraId="57627DDB" w14:textId="753D0692" w:rsidR="00AC176C" w:rsidRPr="00AC176C" w:rsidRDefault="00AC176C" w:rsidP="00AC176C">
      <w:pPr>
        <w:pStyle w:val="ListParagraph"/>
        <w:numPr>
          <w:ilvl w:val="0"/>
          <w:numId w:val="35"/>
        </w:numPr>
        <w:jc w:val="both"/>
        <w:rPr>
          <w:rFonts w:ascii="Arial" w:hAnsi="Arial" w:cs="Arial"/>
          <w:bCs/>
          <w:sz w:val="22"/>
          <w:szCs w:val="22"/>
          <w:lang w:val="en-GB"/>
        </w:rPr>
      </w:pPr>
      <w:r>
        <w:rPr>
          <w:rFonts w:ascii="Arial" w:hAnsi="Arial" w:cs="Arial"/>
          <w:bCs/>
          <w:sz w:val="22"/>
          <w:szCs w:val="22"/>
          <w:lang w:val="en-GB"/>
        </w:rPr>
        <w:t xml:space="preserve">Discretion - </w:t>
      </w:r>
      <w:r w:rsidR="00922AFA">
        <w:rPr>
          <w:rFonts w:ascii="Arial" w:hAnsi="Arial" w:cs="Arial"/>
          <w:bCs/>
          <w:sz w:val="22"/>
          <w:szCs w:val="22"/>
          <w:lang w:val="en-GB"/>
        </w:rPr>
        <w:t xml:space="preserve">where a chapter 15 action recognises a foreign-non main proceeding then the stay relief (which is automatic in respect of the recognition of foreign main proceedings) is only granted on a discretionary basis; whereas in chapter 11 relief all the stays are automatic and can be extended to third parties on a discretionary basis. </w:t>
      </w:r>
    </w:p>
    <w:p w14:paraId="2973CF23" w14:textId="77777777" w:rsidR="00DE5357" w:rsidRPr="00DE5357" w:rsidRDefault="00DE5357" w:rsidP="00DE5357">
      <w:pPr>
        <w:jc w:val="both"/>
        <w:rPr>
          <w:rFonts w:ascii="Arial" w:hAnsi="Arial" w:cs="Arial"/>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29DDB1A4" w:rsidR="000A636A" w:rsidRDefault="000A636A" w:rsidP="000A636A">
      <w:pPr>
        <w:pStyle w:val="AODocTxt"/>
        <w:spacing w:before="0" w:line="240" w:lineRule="auto"/>
        <w:rPr>
          <w:rFonts w:ascii="Arial" w:hAnsi="Arial" w:cs="Arial"/>
          <w:b/>
        </w:rPr>
      </w:pPr>
      <w:r w:rsidRPr="00E83292">
        <w:rPr>
          <w:rFonts w:ascii="Arial" w:hAnsi="Arial" w:cs="Arial"/>
          <w:b/>
        </w:rPr>
        <w:lastRenderedPageBreak/>
        <w:t>What fiduciary duties do directors of Delaware corporations owe and to whom are the duties owed in the ordinary course of business? To whom are duties owed when the corporation is potentially or actually insolvent?</w:t>
      </w:r>
    </w:p>
    <w:p w14:paraId="26AE3A0C" w14:textId="77777777" w:rsidR="00E83292" w:rsidRDefault="00E83292" w:rsidP="000A636A">
      <w:pPr>
        <w:pStyle w:val="AODocTxt"/>
        <w:spacing w:before="0" w:line="240" w:lineRule="auto"/>
        <w:rPr>
          <w:rFonts w:ascii="Arial" w:hAnsi="Arial" w:cs="Arial"/>
          <w:b/>
        </w:rPr>
      </w:pPr>
    </w:p>
    <w:p w14:paraId="1F77B688" w14:textId="2F6A6991" w:rsidR="0024248B" w:rsidRDefault="00E83292" w:rsidP="000A636A">
      <w:pPr>
        <w:pStyle w:val="AODocTxt"/>
        <w:spacing w:before="0" w:line="240" w:lineRule="auto"/>
        <w:rPr>
          <w:rFonts w:ascii="Arial" w:hAnsi="Arial" w:cs="Arial"/>
        </w:rPr>
      </w:pPr>
      <w:r>
        <w:rPr>
          <w:rFonts w:ascii="Arial" w:hAnsi="Arial" w:cs="Arial"/>
        </w:rPr>
        <w:t xml:space="preserve">In the ordinary course of business directors of Delaware corporations owe a fiduciary duty of loyalty to their corporations best interest and a duty of care to make educated decisions. </w:t>
      </w:r>
      <w:r w:rsidR="0024248B">
        <w:rPr>
          <w:rFonts w:ascii="Arial" w:hAnsi="Arial" w:cs="Arial"/>
        </w:rPr>
        <w:t xml:space="preserve">Directors have the protections of the "business judgment rule" which provides that they are protected from liability for errors of judgment and where they are presumed to act in good faith and on the basis of reasonable information which can only be rebutted by a demonstration that a majority of the board of directors were not informed reasonably, did not honestly believe that their decisions were in the best interests of the corporation, and/or were not acting in good faith. If a corporation's certificate of incorporation excludes a director's liability for breach of duty of care then a director will not be held to that duty. </w:t>
      </w:r>
    </w:p>
    <w:p w14:paraId="674D7691" w14:textId="77777777" w:rsidR="0024248B" w:rsidRDefault="0024248B" w:rsidP="000A636A">
      <w:pPr>
        <w:pStyle w:val="AODocTxt"/>
        <w:spacing w:before="0" w:line="240" w:lineRule="auto"/>
        <w:rPr>
          <w:rFonts w:ascii="Arial" w:hAnsi="Arial" w:cs="Arial"/>
        </w:rPr>
      </w:pPr>
    </w:p>
    <w:p w14:paraId="2441F9B9" w14:textId="7078EA0A" w:rsidR="008010B8" w:rsidRPr="008010B8" w:rsidRDefault="00FE47D6" w:rsidP="008010B8">
      <w:pPr>
        <w:pStyle w:val="AODocTxt"/>
        <w:spacing w:before="0" w:line="240" w:lineRule="auto"/>
        <w:rPr>
          <w:rFonts w:ascii="Arial" w:hAnsi="Arial" w:cs="Arial"/>
        </w:rPr>
      </w:pPr>
      <w:r>
        <w:rPr>
          <w:rFonts w:ascii="Arial" w:hAnsi="Arial" w:cs="Arial"/>
        </w:rPr>
        <w:t>The duties noted above</w:t>
      </w:r>
      <w:r w:rsidR="00E83292">
        <w:rPr>
          <w:rFonts w:ascii="Arial" w:hAnsi="Arial" w:cs="Arial"/>
        </w:rPr>
        <w:t xml:space="preserve"> are owed to the corporatio</w:t>
      </w:r>
      <w:r w:rsidR="0024248B">
        <w:rPr>
          <w:rFonts w:ascii="Arial" w:hAnsi="Arial" w:cs="Arial"/>
        </w:rPr>
        <w:t>n and its shareholders even where the corporation itself is potentially insolvent</w:t>
      </w:r>
      <w:r>
        <w:rPr>
          <w:rFonts w:ascii="Arial" w:hAnsi="Arial" w:cs="Arial"/>
        </w:rPr>
        <w:t xml:space="preserve">. Indeed, in 2007 the Delaware courts in the case of </w:t>
      </w:r>
      <w:r>
        <w:rPr>
          <w:rFonts w:ascii="Arial" w:hAnsi="Arial" w:cs="Arial"/>
          <w:i/>
        </w:rPr>
        <w:t xml:space="preserve">North Am Catholic Educational Programming Foundation, </w:t>
      </w:r>
      <w:proofErr w:type="spellStart"/>
      <w:r>
        <w:rPr>
          <w:rFonts w:ascii="Arial" w:hAnsi="Arial" w:cs="Arial"/>
          <w:i/>
        </w:rPr>
        <w:t>Inc</w:t>
      </w:r>
      <w:proofErr w:type="spellEnd"/>
      <w:r>
        <w:rPr>
          <w:rFonts w:ascii="Arial" w:hAnsi="Arial" w:cs="Arial"/>
          <w:i/>
        </w:rPr>
        <w:t xml:space="preserve"> v </w:t>
      </w:r>
      <w:proofErr w:type="spellStart"/>
      <w:r>
        <w:rPr>
          <w:rFonts w:ascii="Arial" w:hAnsi="Arial" w:cs="Arial"/>
          <w:i/>
        </w:rPr>
        <w:t>Gheewalla</w:t>
      </w:r>
      <w:proofErr w:type="spellEnd"/>
      <w:r>
        <w:rPr>
          <w:rFonts w:ascii="Arial" w:hAnsi="Arial" w:cs="Arial"/>
          <w:i/>
        </w:rPr>
        <w:t xml:space="preserve">, </w:t>
      </w:r>
      <w:r>
        <w:rPr>
          <w:rFonts w:ascii="Arial" w:hAnsi="Arial" w:cs="Arial"/>
        </w:rPr>
        <w:t xml:space="preserve">930 </w:t>
      </w:r>
      <w:proofErr w:type="spellStart"/>
      <w:r>
        <w:rPr>
          <w:rFonts w:ascii="Arial" w:hAnsi="Arial" w:cs="Arial"/>
        </w:rPr>
        <w:t>A.2d</w:t>
      </w:r>
      <w:proofErr w:type="spellEnd"/>
      <w:r>
        <w:rPr>
          <w:rFonts w:ascii="Arial" w:hAnsi="Arial" w:cs="Arial"/>
        </w:rPr>
        <w:t xml:space="preserve"> 92, 103 (Del 2007) clarified that even where a company is operating "in the zone of insolvency" or is factually insolvency the directors still do not owe duties to the creditors</w:t>
      </w:r>
      <w:r w:rsidR="008010B8">
        <w:rPr>
          <w:rFonts w:ascii="Arial" w:hAnsi="Arial" w:cs="Arial"/>
        </w:rPr>
        <w:t xml:space="preserve"> given the conclusion by Chief Justice Holland "</w:t>
      </w:r>
      <w:r w:rsidR="008010B8" w:rsidRPr="00CF5208">
        <w:rPr>
          <w:rFonts w:ascii="Arial" w:hAnsi="Arial" w:cs="Arial"/>
          <w:i/>
        </w:rPr>
        <w:t>that creditors of a Delaware corporation that is either insolvent or in the zone of insolvency have no right, as a matter of law, to assert direct claims for breach of fiduciary duty against the corporation's directors</w:t>
      </w:r>
      <w:r w:rsidR="008010B8">
        <w:rPr>
          <w:rFonts w:ascii="Arial" w:hAnsi="Arial" w:cs="Arial"/>
        </w:rPr>
        <w:t>"</w:t>
      </w:r>
      <w:r w:rsidR="008010B8" w:rsidRPr="008010B8">
        <w:rPr>
          <w:rFonts w:ascii="Arial" w:hAnsi="Arial" w:cs="Arial"/>
        </w:rPr>
        <w:t xml:space="preserve">. </w:t>
      </w: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1520E6F6" w14:textId="77777777" w:rsidR="009A7122" w:rsidRPr="009A7122" w:rsidRDefault="00D14336" w:rsidP="00D14336">
      <w:pPr>
        <w:pStyle w:val="AODocTxt"/>
        <w:spacing w:before="0" w:line="240" w:lineRule="auto"/>
        <w:rPr>
          <w:rFonts w:ascii="Arial" w:hAnsi="Arial" w:cs="Arial"/>
          <w:b/>
        </w:rPr>
      </w:pPr>
      <w:r w:rsidRPr="009A7122">
        <w:rPr>
          <w:rFonts w:ascii="Arial" w:hAnsi="Arial" w:cs="Arial"/>
          <w:b/>
        </w:rPr>
        <w:t xml:space="preserve">Describe the circumstances in which a bankruptcy court may enter a final order, who reviews appeals from bankruptcy court orders and how non-final orders </w:t>
      </w:r>
      <w:r w:rsidR="00ED738F" w:rsidRPr="009A7122">
        <w:rPr>
          <w:rFonts w:ascii="Arial" w:hAnsi="Arial" w:cs="Arial"/>
          <w:b/>
        </w:rPr>
        <w:t xml:space="preserve">are </w:t>
      </w:r>
      <w:r w:rsidRPr="009A7122">
        <w:rPr>
          <w:rFonts w:ascii="Arial" w:hAnsi="Arial" w:cs="Arial"/>
          <w:b/>
        </w:rPr>
        <w:t>reviewed.</w:t>
      </w:r>
    </w:p>
    <w:p w14:paraId="4917CCB8" w14:textId="77777777" w:rsidR="009A7122" w:rsidRDefault="009A7122" w:rsidP="00D14336">
      <w:pPr>
        <w:pStyle w:val="AODocTxt"/>
        <w:spacing w:before="0" w:line="240" w:lineRule="auto"/>
        <w:rPr>
          <w:rFonts w:ascii="Arial" w:hAnsi="Arial" w:cs="Arial"/>
        </w:rPr>
      </w:pPr>
    </w:p>
    <w:p w14:paraId="14584435" w14:textId="77777777" w:rsidR="001F4D20" w:rsidRDefault="004D46AC" w:rsidP="00D14336">
      <w:pPr>
        <w:pStyle w:val="AODocTxt"/>
        <w:spacing w:before="0" w:line="240" w:lineRule="auto"/>
        <w:rPr>
          <w:rFonts w:ascii="Arial" w:hAnsi="Arial" w:cs="Arial"/>
        </w:rPr>
      </w:pPr>
      <w:r w:rsidRPr="004D46AC">
        <w:rPr>
          <w:rFonts w:ascii="Arial" w:hAnsi="Arial" w:cs="Arial"/>
        </w:rPr>
        <w:t xml:space="preserve">Section 157, of Chapter 6 of Part I of Title 28 of the USC </w:t>
      </w:r>
      <w:r w:rsidR="00C061A0">
        <w:rPr>
          <w:rFonts w:ascii="Arial" w:hAnsi="Arial" w:cs="Arial"/>
        </w:rPr>
        <w:t xml:space="preserve">distinguishes between "core" and "non-core" proceedings. </w:t>
      </w:r>
    </w:p>
    <w:p w14:paraId="77C604B0" w14:textId="77777777" w:rsidR="001F4D20" w:rsidRDefault="001F4D20" w:rsidP="00D14336">
      <w:pPr>
        <w:pStyle w:val="AODocTxt"/>
        <w:spacing w:before="0" w:line="240" w:lineRule="auto"/>
        <w:rPr>
          <w:rFonts w:ascii="Arial" w:hAnsi="Arial" w:cs="Arial"/>
        </w:rPr>
      </w:pPr>
    </w:p>
    <w:p w14:paraId="6C92B787" w14:textId="420C8F9B" w:rsidR="00C061A0" w:rsidRDefault="007405CC" w:rsidP="00D14336">
      <w:pPr>
        <w:pStyle w:val="AODocTxt"/>
        <w:spacing w:before="0" w:line="240" w:lineRule="auto"/>
        <w:rPr>
          <w:rFonts w:ascii="Arial" w:hAnsi="Arial" w:cs="Arial"/>
        </w:rPr>
      </w:pPr>
      <w:r>
        <w:rPr>
          <w:rFonts w:ascii="Arial" w:hAnsi="Arial" w:cs="Arial"/>
        </w:rPr>
        <w:t>Pursuant to section 157</w:t>
      </w:r>
      <w:r w:rsidR="00C061A0">
        <w:rPr>
          <w:rFonts w:ascii="Arial" w:hAnsi="Arial" w:cs="Arial"/>
        </w:rPr>
        <w:t xml:space="preserve">(b)(1) </w:t>
      </w:r>
      <w:r w:rsidR="00D458A7" w:rsidRPr="004D46AC">
        <w:rPr>
          <w:rFonts w:ascii="Arial" w:hAnsi="Arial" w:cs="Arial"/>
        </w:rPr>
        <w:t xml:space="preserve">of Title 28 of the USC </w:t>
      </w:r>
      <w:r w:rsidR="004D46AC" w:rsidRPr="004D46AC">
        <w:rPr>
          <w:rFonts w:ascii="Arial" w:hAnsi="Arial" w:cs="Arial"/>
        </w:rPr>
        <w:t>bankruptcy judges may "</w:t>
      </w:r>
      <w:r w:rsidR="004D46AC" w:rsidRPr="007405CC">
        <w:rPr>
          <w:rFonts w:ascii="Arial" w:hAnsi="Arial" w:cs="Arial"/>
          <w:i/>
        </w:rPr>
        <w:t>hear and determine all cases under title 11 [i.e. Bankruptcy] and all core proceedings arising under title 11…."</w:t>
      </w:r>
      <w:r w:rsidR="00C061A0" w:rsidRPr="007405CC">
        <w:rPr>
          <w:rFonts w:ascii="Arial" w:hAnsi="Arial" w:cs="Arial"/>
          <w:i/>
        </w:rPr>
        <w:t>.</w:t>
      </w:r>
      <w:r w:rsidR="00C061A0">
        <w:rPr>
          <w:rFonts w:ascii="Arial" w:hAnsi="Arial" w:cs="Arial"/>
        </w:rPr>
        <w:t xml:space="preserve"> A non-exhaustive list of "core proceedings" is outlined in section 157(b)(2) and includes such matters as:</w:t>
      </w:r>
    </w:p>
    <w:p w14:paraId="66366310" w14:textId="77777777" w:rsidR="00C061A0" w:rsidRPr="00C061A0" w:rsidRDefault="00C061A0" w:rsidP="00C061A0">
      <w:pPr>
        <w:pStyle w:val="AODocTxt"/>
        <w:spacing w:before="0" w:line="240" w:lineRule="auto"/>
        <w:ind w:left="720"/>
        <w:rPr>
          <w:rFonts w:ascii="Arial" w:hAnsi="Arial" w:cs="Arial"/>
          <w:i/>
        </w:rPr>
      </w:pPr>
    </w:p>
    <w:p w14:paraId="54B53469" w14:textId="77777777" w:rsidR="00C061A0" w:rsidRPr="00C061A0" w:rsidRDefault="00C061A0" w:rsidP="00C061A0">
      <w:pPr>
        <w:pStyle w:val="AODocTxt"/>
        <w:spacing w:before="0" w:line="240" w:lineRule="auto"/>
        <w:ind w:left="720"/>
        <w:rPr>
          <w:rFonts w:ascii="Arial" w:hAnsi="Arial" w:cs="Arial"/>
          <w:i/>
          <w:color w:val="333333"/>
          <w:shd w:val="clear" w:color="auto" w:fill="FFFFFF"/>
        </w:rPr>
      </w:pPr>
      <w:r w:rsidRPr="00C061A0">
        <w:rPr>
          <w:rFonts w:ascii="Arial" w:hAnsi="Arial" w:cs="Arial"/>
          <w:i/>
        </w:rPr>
        <w:t>"(A)</w:t>
      </w:r>
      <w:r w:rsidRPr="00C061A0">
        <w:rPr>
          <w:rFonts w:ascii="Arial" w:hAnsi="Arial" w:cs="Arial"/>
          <w:i/>
          <w:color w:val="333333"/>
          <w:shd w:val="clear" w:color="auto" w:fill="FFFFFF"/>
        </w:rPr>
        <w:t xml:space="preserve"> matters concerning the administration of the estate;</w:t>
      </w:r>
    </w:p>
    <w:p w14:paraId="3CE23848" w14:textId="46A888F8" w:rsidR="00C061A0" w:rsidRPr="00C061A0" w:rsidRDefault="00C061A0" w:rsidP="00C061A0">
      <w:pPr>
        <w:pStyle w:val="AODocTxt"/>
        <w:spacing w:before="0" w:line="240" w:lineRule="auto"/>
        <w:ind w:left="720"/>
        <w:rPr>
          <w:rFonts w:ascii="Arial" w:hAnsi="Arial" w:cs="Arial"/>
          <w:i/>
        </w:rPr>
      </w:pPr>
      <w:r w:rsidRPr="00C061A0">
        <w:rPr>
          <w:rFonts w:ascii="Arial" w:hAnsi="Arial" w:cs="Arial"/>
          <w:i/>
        </w:rPr>
        <w:t>(B) allowance or disallowance of claims against the estate or exemptions from property of the estate, and estimation of claims or interests for the purposes of confirming a plan under chapter 11, 12, or 13 of title 11 but not the liquidation or estimation of contingent or unliquidated personal injury tort or wrongful death claims against the estate for purposes of distribution in a case under title 11;</w:t>
      </w:r>
    </w:p>
    <w:p w14:paraId="4D96098F" w14:textId="1669569D" w:rsidR="00C061A0" w:rsidRPr="00C061A0" w:rsidRDefault="00C061A0" w:rsidP="00C061A0">
      <w:pPr>
        <w:ind w:left="720"/>
        <w:jc w:val="both"/>
        <w:rPr>
          <w:rFonts w:ascii="Arial" w:hAnsi="Arial" w:cs="Arial"/>
          <w:i/>
          <w:sz w:val="22"/>
          <w:szCs w:val="22"/>
        </w:rPr>
      </w:pPr>
      <w:r w:rsidRPr="00C061A0">
        <w:rPr>
          <w:rFonts w:ascii="Arial" w:hAnsi="Arial" w:cs="Arial"/>
          <w:i/>
          <w:sz w:val="22"/>
          <w:szCs w:val="22"/>
        </w:rPr>
        <w:t>(C) counterclaims by the estate against persons filing claims against the estate;</w:t>
      </w:r>
    </w:p>
    <w:p w14:paraId="0FF97FE7" w14:textId="14897F14" w:rsidR="00C061A0" w:rsidRPr="00C061A0" w:rsidRDefault="00C061A0" w:rsidP="00C061A0">
      <w:pPr>
        <w:ind w:left="720"/>
        <w:jc w:val="both"/>
        <w:rPr>
          <w:rFonts w:ascii="Arial" w:hAnsi="Arial" w:cs="Arial"/>
          <w:i/>
          <w:sz w:val="22"/>
          <w:szCs w:val="22"/>
        </w:rPr>
      </w:pPr>
      <w:r w:rsidRPr="00C061A0">
        <w:rPr>
          <w:rFonts w:ascii="Arial" w:hAnsi="Arial" w:cs="Arial"/>
          <w:i/>
          <w:sz w:val="22"/>
          <w:szCs w:val="22"/>
        </w:rPr>
        <w:t>(D) orders in respect to obtaining credit;</w:t>
      </w:r>
    </w:p>
    <w:p w14:paraId="71AC894C" w14:textId="5CD7F43C" w:rsidR="00C061A0" w:rsidRPr="00C061A0" w:rsidRDefault="00C061A0" w:rsidP="00C061A0">
      <w:pPr>
        <w:ind w:left="720"/>
        <w:jc w:val="both"/>
        <w:rPr>
          <w:rFonts w:ascii="Arial" w:hAnsi="Arial" w:cs="Arial"/>
          <w:i/>
          <w:sz w:val="22"/>
          <w:szCs w:val="22"/>
        </w:rPr>
      </w:pPr>
      <w:r w:rsidRPr="00C061A0">
        <w:rPr>
          <w:rFonts w:ascii="Arial" w:hAnsi="Arial" w:cs="Arial"/>
          <w:i/>
          <w:sz w:val="22"/>
          <w:szCs w:val="22"/>
        </w:rPr>
        <w:t>(E) orders to turn over property of the estate;</w:t>
      </w:r>
    </w:p>
    <w:p w14:paraId="031C1449" w14:textId="42954270" w:rsidR="00C061A0" w:rsidRPr="00C061A0" w:rsidRDefault="00C061A0" w:rsidP="00C061A0">
      <w:pPr>
        <w:ind w:left="720"/>
        <w:jc w:val="both"/>
        <w:rPr>
          <w:rFonts w:ascii="Arial" w:hAnsi="Arial" w:cs="Arial"/>
          <w:i/>
          <w:sz w:val="22"/>
          <w:szCs w:val="22"/>
        </w:rPr>
      </w:pPr>
      <w:r w:rsidRPr="00C061A0">
        <w:rPr>
          <w:rFonts w:ascii="Arial" w:hAnsi="Arial" w:cs="Arial"/>
          <w:i/>
          <w:sz w:val="22"/>
          <w:szCs w:val="22"/>
        </w:rPr>
        <w:t>(F) proceedings to determine, avoid, or recover preferences;</w:t>
      </w:r>
    </w:p>
    <w:p w14:paraId="6742E8BE" w14:textId="23E492CB" w:rsidR="00C061A0" w:rsidRPr="00C061A0" w:rsidRDefault="00C061A0" w:rsidP="00C061A0">
      <w:pPr>
        <w:ind w:left="720"/>
        <w:jc w:val="both"/>
        <w:rPr>
          <w:rFonts w:ascii="Arial" w:hAnsi="Arial" w:cs="Arial"/>
          <w:i/>
          <w:sz w:val="22"/>
          <w:szCs w:val="22"/>
        </w:rPr>
      </w:pPr>
      <w:r w:rsidRPr="00C061A0">
        <w:rPr>
          <w:rFonts w:ascii="Arial" w:hAnsi="Arial" w:cs="Arial"/>
          <w:i/>
          <w:sz w:val="22"/>
          <w:szCs w:val="22"/>
        </w:rPr>
        <w:t>(G) motions to terminate, annul, or modify the automatic stay;</w:t>
      </w:r>
    </w:p>
    <w:p w14:paraId="0CE7B205" w14:textId="503D7012" w:rsidR="00C061A0" w:rsidRPr="00C061A0" w:rsidRDefault="00C061A0" w:rsidP="00C061A0">
      <w:pPr>
        <w:ind w:left="720"/>
        <w:jc w:val="both"/>
        <w:rPr>
          <w:rFonts w:ascii="Arial" w:hAnsi="Arial" w:cs="Arial"/>
          <w:i/>
          <w:sz w:val="22"/>
          <w:szCs w:val="22"/>
        </w:rPr>
      </w:pPr>
      <w:r w:rsidRPr="00C061A0">
        <w:rPr>
          <w:rFonts w:ascii="Arial" w:hAnsi="Arial" w:cs="Arial"/>
          <w:i/>
          <w:sz w:val="22"/>
          <w:szCs w:val="22"/>
        </w:rPr>
        <w:t>(H) proceedings to determine, avoid, or recover fraudulent conveyances;</w:t>
      </w:r>
    </w:p>
    <w:p w14:paraId="2FA53100" w14:textId="1AC87BC2" w:rsidR="00C061A0" w:rsidRPr="00C061A0" w:rsidRDefault="00C061A0" w:rsidP="00C061A0">
      <w:pPr>
        <w:ind w:left="720"/>
        <w:jc w:val="both"/>
        <w:rPr>
          <w:rFonts w:ascii="Arial" w:hAnsi="Arial" w:cs="Arial"/>
          <w:i/>
          <w:sz w:val="22"/>
          <w:szCs w:val="22"/>
        </w:rPr>
      </w:pPr>
      <w:r w:rsidRPr="00C061A0">
        <w:rPr>
          <w:rFonts w:ascii="Arial" w:hAnsi="Arial" w:cs="Arial"/>
          <w:i/>
          <w:sz w:val="22"/>
          <w:szCs w:val="22"/>
        </w:rPr>
        <w:t xml:space="preserve">(I) determinations as to the </w:t>
      </w:r>
      <w:proofErr w:type="spellStart"/>
      <w:r w:rsidRPr="00C061A0">
        <w:rPr>
          <w:rFonts w:ascii="Arial" w:hAnsi="Arial" w:cs="Arial"/>
          <w:i/>
          <w:sz w:val="22"/>
          <w:szCs w:val="22"/>
        </w:rPr>
        <w:t>dischargeability</w:t>
      </w:r>
      <w:proofErr w:type="spellEnd"/>
      <w:r w:rsidRPr="00C061A0">
        <w:rPr>
          <w:rFonts w:ascii="Arial" w:hAnsi="Arial" w:cs="Arial"/>
          <w:i/>
          <w:sz w:val="22"/>
          <w:szCs w:val="22"/>
        </w:rPr>
        <w:t xml:space="preserve"> of particular debts;</w:t>
      </w:r>
    </w:p>
    <w:p w14:paraId="6F5595E7" w14:textId="18DA6395" w:rsidR="00C061A0" w:rsidRPr="00C061A0" w:rsidRDefault="00C061A0" w:rsidP="00C061A0">
      <w:pPr>
        <w:ind w:left="720"/>
        <w:jc w:val="both"/>
        <w:rPr>
          <w:rFonts w:ascii="Arial" w:hAnsi="Arial" w:cs="Arial"/>
          <w:i/>
          <w:sz w:val="22"/>
          <w:szCs w:val="22"/>
        </w:rPr>
      </w:pPr>
      <w:r w:rsidRPr="00C061A0">
        <w:rPr>
          <w:rFonts w:ascii="Arial" w:hAnsi="Arial" w:cs="Arial"/>
          <w:i/>
          <w:sz w:val="22"/>
          <w:szCs w:val="22"/>
        </w:rPr>
        <w:t>(J) objections to discharges;</w:t>
      </w:r>
    </w:p>
    <w:p w14:paraId="4164B501" w14:textId="19CA1F8A" w:rsidR="00C061A0" w:rsidRPr="00C061A0" w:rsidRDefault="00C061A0" w:rsidP="00C061A0">
      <w:pPr>
        <w:ind w:left="720"/>
        <w:jc w:val="both"/>
        <w:rPr>
          <w:rFonts w:ascii="Arial" w:hAnsi="Arial" w:cs="Arial"/>
          <w:i/>
          <w:sz w:val="22"/>
          <w:szCs w:val="22"/>
        </w:rPr>
      </w:pPr>
      <w:r w:rsidRPr="00C061A0">
        <w:rPr>
          <w:rFonts w:ascii="Arial" w:hAnsi="Arial" w:cs="Arial"/>
          <w:i/>
          <w:sz w:val="22"/>
          <w:szCs w:val="22"/>
        </w:rPr>
        <w:t>(K) determinations of the validity, extent, or priority of liens;</w:t>
      </w:r>
    </w:p>
    <w:p w14:paraId="4F80CB64" w14:textId="7799D0C6" w:rsidR="00C061A0" w:rsidRPr="00C061A0" w:rsidRDefault="00C061A0" w:rsidP="00C061A0">
      <w:pPr>
        <w:ind w:left="720"/>
        <w:jc w:val="both"/>
        <w:rPr>
          <w:rFonts w:ascii="Arial" w:hAnsi="Arial" w:cs="Arial"/>
          <w:i/>
          <w:sz w:val="22"/>
          <w:szCs w:val="22"/>
        </w:rPr>
      </w:pPr>
      <w:r w:rsidRPr="00C061A0">
        <w:rPr>
          <w:rFonts w:ascii="Arial" w:hAnsi="Arial" w:cs="Arial"/>
          <w:i/>
          <w:sz w:val="22"/>
          <w:szCs w:val="22"/>
        </w:rPr>
        <w:t>(L) confirmations of plans;</w:t>
      </w:r>
    </w:p>
    <w:p w14:paraId="1B07A7FA" w14:textId="11A10D48" w:rsidR="00C061A0" w:rsidRPr="00C061A0" w:rsidRDefault="00C061A0" w:rsidP="00C061A0">
      <w:pPr>
        <w:ind w:left="720"/>
        <w:jc w:val="both"/>
        <w:rPr>
          <w:rFonts w:ascii="Arial" w:hAnsi="Arial" w:cs="Arial"/>
          <w:i/>
          <w:sz w:val="22"/>
          <w:szCs w:val="22"/>
        </w:rPr>
      </w:pPr>
      <w:r w:rsidRPr="00C061A0">
        <w:rPr>
          <w:rFonts w:ascii="Arial" w:hAnsi="Arial" w:cs="Arial"/>
          <w:i/>
          <w:sz w:val="22"/>
          <w:szCs w:val="22"/>
        </w:rPr>
        <w:t>(M) orders approving the use or lease of property, including the use of cash collateral;</w:t>
      </w:r>
    </w:p>
    <w:p w14:paraId="0FC3E3D6" w14:textId="3AE08508" w:rsidR="00C061A0" w:rsidRPr="00C061A0" w:rsidRDefault="00C061A0" w:rsidP="00C061A0">
      <w:pPr>
        <w:ind w:left="720"/>
        <w:jc w:val="both"/>
        <w:rPr>
          <w:rFonts w:ascii="Arial" w:hAnsi="Arial" w:cs="Arial"/>
          <w:i/>
          <w:sz w:val="22"/>
          <w:szCs w:val="22"/>
        </w:rPr>
      </w:pPr>
      <w:r w:rsidRPr="00C061A0">
        <w:rPr>
          <w:rFonts w:ascii="Arial" w:hAnsi="Arial" w:cs="Arial"/>
          <w:i/>
          <w:sz w:val="22"/>
          <w:szCs w:val="22"/>
        </w:rPr>
        <w:t>(N) orders approving the sale of property other than property resulting from claims brought by the estate against persons who have not filed claims against the estate;</w:t>
      </w:r>
    </w:p>
    <w:p w14:paraId="69083D31" w14:textId="0033D957" w:rsidR="00C061A0" w:rsidRPr="00C061A0" w:rsidRDefault="00C061A0" w:rsidP="00C061A0">
      <w:pPr>
        <w:ind w:left="720"/>
        <w:jc w:val="both"/>
        <w:rPr>
          <w:rFonts w:ascii="Arial" w:hAnsi="Arial" w:cs="Arial"/>
          <w:i/>
          <w:sz w:val="22"/>
          <w:szCs w:val="22"/>
        </w:rPr>
      </w:pPr>
      <w:r w:rsidRPr="00C061A0">
        <w:rPr>
          <w:rFonts w:ascii="Arial" w:hAnsi="Arial" w:cs="Arial"/>
          <w:i/>
          <w:sz w:val="22"/>
          <w:szCs w:val="22"/>
        </w:rPr>
        <w:lastRenderedPageBreak/>
        <w:t>(O) other proceedings affecting the liquidation of the assets of the estate or the adjustment of the debtor-creditor or the equity security holder relationship, except personal injury tort or wrongful death claims; and</w:t>
      </w:r>
    </w:p>
    <w:p w14:paraId="225A1330" w14:textId="64074D5E" w:rsidR="00C061A0" w:rsidRDefault="00C061A0" w:rsidP="00C061A0">
      <w:pPr>
        <w:ind w:left="720"/>
        <w:jc w:val="both"/>
        <w:rPr>
          <w:rFonts w:ascii="Arial" w:hAnsi="Arial" w:cs="Arial"/>
          <w:i/>
          <w:sz w:val="22"/>
          <w:szCs w:val="22"/>
        </w:rPr>
      </w:pPr>
      <w:r w:rsidRPr="00C061A0">
        <w:rPr>
          <w:rFonts w:ascii="Arial" w:hAnsi="Arial" w:cs="Arial"/>
          <w:i/>
          <w:sz w:val="22"/>
          <w:szCs w:val="22"/>
        </w:rPr>
        <w:t>(P) recognition of foreign proceedings and other matters under chapter 15 of title 11."</w:t>
      </w:r>
    </w:p>
    <w:p w14:paraId="67DBD4E7" w14:textId="77777777" w:rsidR="00C061A0" w:rsidRDefault="00C061A0" w:rsidP="00C061A0">
      <w:pPr>
        <w:jc w:val="both"/>
        <w:rPr>
          <w:rFonts w:ascii="Arial" w:hAnsi="Arial" w:cs="Arial"/>
          <w:sz w:val="22"/>
          <w:szCs w:val="22"/>
        </w:rPr>
      </w:pPr>
    </w:p>
    <w:p w14:paraId="44AB1D65" w14:textId="1CDFCEAD" w:rsidR="00C36F94" w:rsidRPr="00C36F94" w:rsidRDefault="00C36F94" w:rsidP="00C061A0">
      <w:pPr>
        <w:jc w:val="both"/>
        <w:rPr>
          <w:rFonts w:ascii="Arial" w:hAnsi="Arial" w:cs="Arial"/>
          <w:sz w:val="22"/>
          <w:szCs w:val="22"/>
        </w:rPr>
      </w:pPr>
      <w:r>
        <w:rPr>
          <w:rFonts w:ascii="Arial" w:hAnsi="Arial" w:cs="Arial"/>
          <w:sz w:val="22"/>
          <w:szCs w:val="22"/>
        </w:rPr>
        <w:t xml:space="preserve">Additionally, in </w:t>
      </w:r>
      <w:r>
        <w:rPr>
          <w:rFonts w:ascii="Arial" w:hAnsi="Arial" w:cs="Arial"/>
          <w:i/>
          <w:sz w:val="22"/>
          <w:szCs w:val="22"/>
        </w:rPr>
        <w:t xml:space="preserve">Executive Benefits Ins Agency v </w:t>
      </w:r>
      <w:proofErr w:type="spellStart"/>
      <w:r>
        <w:rPr>
          <w:rFonts w:ascii="Arial" w:hAnsi="Arial" w:cs="Arial"/>
          <w:i/>
          <w:sz w:val="22"/>
          <w:szCs w:val="22"/>
        </w:rPr>
        <w:t>Arkinson</w:t>
      </w:r>
      <w:proofErr w:type="spellEnd"/>
      <w:r>
        <w:rPr>
          <w:rFonts w:ascii="Arial" w:hAnsi="Arial" w:cs="Arial"/>
          <w:i/>
          <w:sz w:val="22"/>
          <w:szCs w:val="22"/>
        </w:rPr>
        <w:t xml:space="preserve">, </w:t>
      </w:r>
      <w:r>
        <w:rPr>
          <w:rFonts w:ascii="Arial" w:hAnsi="Arial" w:cs="Arial"/>
          <w:sz w:val="22"/>
          <w:szCs w:val="22"/>
        </w:rPr>
        <w:t xml:space="preserve">134 S. Ct. 2165 (2014) the Supreme Court held that judges in bankruptcy courts may determine a core proceeding over which they lack constitutional authority by way of the issuances of a report to a district court. Additionally, and following the judgment in </w:t>
      </w:r>
      <w:r>
        <w:rPr>
          <w:rFonts w:ascii="Arial" w:hAnsi="Arial" w:cs="Arial"/>
          <w:i/>
          <w:sz w:val="22"/>
          <w:szCs w:val="22"/>
        </w:rPr>
        <w:t xml:space="preserve">Executive Benefits, </w:t>
      </w:r>
      <w:r>
        <w:rPr>
          <w:rFonts w:ascii="Arial" w:hAnsi="Arial" w:cs="Arial"/>
          <w:sz w:val="22"/>
          <w:szCs w:val="22"/>
        </w:rPr>
        <w:t xml:space="preserve">the Bankruptcy Rules not require that litigants state in their pleadings whether they consent to the entry of final orders by the bankruptcy court. </w:t>
      </w:r>
    </w:p>
    <w:p w14:paraId="6FC76EDE" w14:textId="77777777" w:rsidR="00C36F94" w:rsidRDefault="00C36F94" w:rsidP="00C061A0">
      <w:pPr>
        <w:jc w:val="both"/>
        <w:rPr>
          <w:rFonts w:ascii="Arial" w:hAnsi="Arial" w:cs="Arial"/>
          <w:sz w:val="22"/>
          <w:szCs w:val="22"/>
        </w:rPr>
      </w:pPr>
    </w:p>
    <w:p w14:paraId="61FEF83C" w14:textId="7CDE67B0" w:rsidR="00E93228" w:rsidRDefault="00C36F94" w:rsidP="00C061A0">
      <w:pPr>
        <w:jc w:val="both"/>
        <w:rPr>
          <w:rFonts w:ascii="Arial" w:hAnsi="Arial" w:cs="Arial"/>
          <w:sz w:val="22"/>
          <w:szCs w:val="22"/>
        </w:rPr>
      </w:pPr>
      <w:r>
        <w:rPr>
          <w:rFonts w:ascii="Arial" w:hAnsi="Arial" w:cs="Arial"/>
          <w:sz w:val="22"/>
          <w:szCs w:val="22"/>
        </w:rPr>
        <w:t xml:space="preserve">Orders of the </w:t>
      </w:r>
      <w:r w:rsidR="003229BE">
        <w:rPr>
          <w:rFonts w:ascii="Arial" w:hAnsi="Arial" w:cs="Arial"/>
          <w:sz w:val="22"/>
          <w:szCs w:val="22"/>
        </w:rPr>
        <w:t>bankruptcy</w:t>
      </w:r>
      <w:r>
        <w:rPr>
          <w:rFonts w:ascii="Arial" w:hAnsi="Arial" w:cs="Arial"/>
          <w:sz w:val="22"/>
          <w:szCs w:val="22"/>
        </w:rPr>
        <w:t xml:space="preserve"> court can be appealed by the litigants and any other party who was </w:t>
      </w:r>
      <w:r w:rsidR="003229BE">
        <w:rPr>
          <w:rFonts w:ascii="Arial" w:hAnsi="Arial" w:cs="Arial"/>
          <w:sz w:val="22"/>
          <w:szCs w:val="22"/>
        </w:rPr>
        <w:t>adversely</w:t>
      </w:r>
      <w:r>
        <w:rPr>
          <w:rFonts w:ascii="Arial" w:hAnsi="Arial" w:cs="Arial"/>
          <w:sz w:val="22"/>
          <w:szCs w:val="22"/>
        </w:rPr>
        <w:t xml:space="preserve"> affected by the order. </w:t>
      </w:r>
      <w:r w:rsidR="003229BE">
        <w:rPr>
          <w:rFonts w:ascii="Arial" w:hAnsi="Arial" w:cs="Arial"/>
          <w:sz w:val="22"/>
          <w:szCs w:val="22"/>
        </w:rPr>
        <w:t xml:space="preserve">Generally, district courts hear appeals from the bankruptcy courts in the district in which they sit but in some circuit bankruptcy order appeals are referred to a Bankruptcy Appellate Panel which is comprised of judges from the bankruptcy courts. From the district court or the Bankrupt Appellate Panel appeals are heard in the Circuit Court of Appeals. </w:t>
      </w:r>
      <w:r w:rsidR="00491E68">
        <w:rPr>
          <w:rFonts w:ascii="Arial" w:hAnsi="Arial" w:cs="Arial"/>
          <w:sz w:val="22"/>
          <w:szCs w:val="22"/>
        </w:rPr>
        <w:t>However, in some circumstances appeals from the district court of the Bank</w:t>
      </w:r>
      <w:r w:rsidR="00322878">
        <w:rPr>
          <w:rFonts w:ascii="Arial" w:hAnsi="Arial" w:cs="Arial"/>
          <w:sz w:val="22"/>
          <w:szCs w:val="22"/>
        </w:rPr>
        <w:t xml:space="preserve">rupt Appellate Panel may be heard in the court of appeals where there is a certification that the appeal raises a unique question of law or the immediate appeal will materially advance the proceedings. </w:t>
      </w:r>
    </w:p>
    <w:p w14:paraId="6210690A" w14:textId="77777777" w:rsidR="00E93228" w:rsidRDefault="00E93228" w:rsidP="00C061A0">
      <w:pPr>
        <w:jc w:val="both"/>
        <w:rPr>
          <w:rFonts w:ascii="Arial" w:hAnsi="Arial" w:cs="Arial"/>
          <w:sz w:val="22"/>
          <w:szCs w:val="22"/>
        </w:rPr>
      </w:pPr>
    </w:p>
    <w:p w14:paraId="2101ED13" w14:textId="236739A5" w:rsidR="00C061A0" w:rsidRPr="00C061A0" w:rsidRDefault="00C061A0" w:rsidP="00C061A0">
      <w:pPr>
        <w:jc w:val="both"/>
        <w:rPr>
          <w:rFonts w:ascii="Arial" w:hAnsi="Arial" w:cs="Arial"/>
          <w:sz w:val="22"/>
          <w:szCs w:val="22"/>
        </w:rPr>
      </w:pPr>
      <w:r w:rsidRPr="00322878">
        <w:rPr>
          <w:rFonts w:ascii="Arial" w:hAnsi="Arial" w:cs="Arial"/>
          <w:sz w:val="22"/>
          <w:szCs w:val="22"/>
        </w:rPr>
        <w:t xml:space="preserve">In relation to non-final orders, bankruptcy courts do not have the power to </w:t>
      </w:r>
      <w:r w:rsidR="00E93228" w:rsidRPr="00322878">
        <w:rPr>
          <w:rFonts w:ascii="Arial" w:hAnsi="Arial" w:cs="Arial"/>
          <w:sz w:val="22"/>
          <w:szCs w:val="22"/>
        </w:rPr>
        <w:t xml:space="preserve">issue final orders </w:t>
      </w:r>
      <w:r w:rsidR="001F4D20" w:rsidRPr="00322878">
        <w:rPr>
          <w:rFonts w:ascii="Arial" w:hAnsi="Arial" w:cs="Arial"/>
          <w:sz w:val="22"/>
          <w:szCs w:val="22"/>
        </w:rPr>
        <w:t xml:space="preserve">in relation to "non-core" proceedings (unless consent has been given) </w:t>
      </w:r>
      <w:r w:rsidR="00E93228" w:rsidRPr="00322878">
        <w:rPr>
          <w:rFonts w:ascii="Arial" w:hAnsi="Arial" w:cs="Arial"/>
          <w:sz w:val="22"/>
          <w:szCs w:val="22"/>
        </w:rPr>
        <w:t>but may submit a proposed finding of fact and conclusions of law to a district court for their review and final determination, but before which the parties may make submissions and objections.</w:t>
      </w:r>
      <w:r w:rsidR="00E93228">
        <w:rPr>
          <w:rFonts w:ascii="Arial" w:hAnsi="Arial" w:cs="Arial"/>
          <w:sz w:val="22"/>
          <w:szCs w:val="22"/>
        </w:rPr>
        <w:t xml:space="preserve"> </w:t>
      </w:r>
    </w:p>
    <w:p w14:paraId="081149ED" w14:textId="77777777" w:rsidR="00E653A0" w:rsidRPr="00455018" w:rsidRDefault="00E653A0" w:rsidP="00455018">
      <w:pPr>
        <w:jc w:val="both"/>
        <w:rPr>
          <w:rFonts w:ascii="Arial" w:hAnsi="Arial" w:cs="Arial"/>
          <w:color w:val="808080" w:themeColor="background1" w:themeShade="80"/>
          <w:sz w:val="22"/>
          <w:szCs w:val="22"/>
          <w:shd w:val="clear" w:color="auto" w:fill="FFFFFF"/>
        </w:rPr>
      </w:pPr>
    </w:p>
    <w:p w14:paraId="4B3595C7" w14:textId="7FFACD4A"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77777777" w:rsidR="00022E00" w:rsidRPr="008756F1" w:rsidRDefault="00022E00" w:rsidP="00022E00">
      <w:pPr>
        <w:pStyle w:val="AODocTxt"/>
        <w:spacing w:before="0" w:line="240" w:lineRule="auto"/>
        <w:rPr>
          <w:rFonts w:ascii="Arial" w:hAnsi="Arial" w:cs="Arial"/>
          <w:b/>
        </w:rPr>
      </w:pPr>
      <w:r w:rsidRPr="008756F1">
        <w:rPr>
          <w:rFonts w:ascii="Arial" w:hAnsi="Arial" w:cs="Arial"/>
          <w:b/>
        </w:rPr>
        <w:t>Describe how claims for recovery of preferences, fraudulent conveyance and constructive fraudulent conveyance differ.</w:t>
      </w:r>
    </w:p>
    <w:p w14:paraId="039E21DF" w14:textId="77777777" w:rsidR="008756F1" w:rsidRDefault="008756F1" w:rsidP="00022E00">
      <w:pPr>
        <w:pStyle w:val="AODocTxt"/>
        <w:spacing w:before="0" w:line="240" w:lineRule="auto"/>
        <w:rPr>
          <w:rFonts w:ascii="Arial" w:hAnsi="Arial" w:cs="Arial"/>
        </w:rPr>
      </w:pPr>
    </w:p>
    <w:p w14:paraId="5CC201EF" w14:textId="41306DEE" w:rsidR="00764063" w:rsidRPr="008C6E19" w:rsidRDefault="00764063" w:rsidP="00022E00">
      <w:pPr>
        <w:pStyle w:val="AODocTxt"/>
        <w:spacing w:before="0" w:line="240" w:lineRule="auto"/>
        <w:rPr>
          <w:rFonts w:ascii="Arial" w:hAnsi="Arial" w:cs="Arial"/>
        </w:rPr>
      </w:pPr>
      <w:r w:rsidRPr="008C6E19">
        <w:rPr>
          <w:rFonts w:ascii="Arial" w:hAnsi="Arial" w:cs="Arial"/>
        </w:rPr>
        <w:t>Preferences, fraudulent conveyance, and constructive fraudulent conveyance are all concerned with the re</w:t>
      </w:r>
      <w:r w:rsidR="003925AF">
        <w:rPr>
          <w:rFonts w:ascii="Arial" w:hAnsi="Arial" w:cs="Arial"/>
        </w:rPr>
        <w:t>covery of a debtor's property (p</w:t>
      </w:r>
      <w:r w:rsidRPr="008C6E19">
        <w:rPr>
          <w:rFonts w:ascii="Arial" w:hAnsi="Arial" w:cs="Arial"/>
        </w:rPr>
        <w:t>ut broadly) that was distributed prior to a petition date, but under different circumstances and across different time periods.</w:t>
      </w:r>
    </w:p>
    <w:p w14:paraId="0365BCD9" w14:textId="77777777" w:rsidR="009E2C75" w:rsidRPr="008C6E19" w:rsidRDefault="009E2C75" w:rsidP="00022E00">
      <w:pPr>
        <w:pStyle w:val="AODocTxt"/>
        <w:spacing w:before="0" w:line="240" w:lineRule="auto"/>
        <w:rPr>
          <w:rFonts w:ascii="Arial" w:hAnsi="Arial" w:cs="Arial"/>
        </w:rPr>
      </w:pPr>
    </w:p>
    <w:p w14:paraId="70D83CCC" w14:textId="43826226" w:rsidR="004044DF" w:rsidRPr="008C6E19" w:rsidRDefault="004044DF" w:rsidP="003925AF">
      <w:pPr>
        <w:pStyle w:val="AODocTxt"/>
        <w:numPr>
          <w:ilvl w:val="0"/>
          <w:numId w:val="36"/>
        </w:numPr>
        <w:spacing w:before="0" w:line="240" w:lineRule="auto"/>
        <w:rPr>
          <w:rFonts w:ascii="Arial" w:hAnsi="Arial" w:cs="Arial"/>
        </w:rPr>
      </w:pPr>
      <w:r w:rsidRPr="008C6E19">
        <w:rPr>
          <w:rFonts w:ascii="Arial" w:hAnsi="Arial" w:cs="Arial"/>
        </w:rPr>
        <w:t>Timings: A preference transaction's suspect period for transfers to third parties is 90 days prior to the petition date and, for insiders (e.g. the debtor's directors), is one year before the petition date. However, fraudulent conveyance and constructive fraudulent conveyance laws are aimed at transactions over a longer period as these laws apply to transactions within a two year period prior to the petition date.</w:t>
      </w:r>
    </w:p>
    <w:p w14:paraId="6E1C01EA" w14:textId="77777777" w:rsidR="004044DF" w:rsidRPr="008C6E19" w:rsidRDefault="004044DF" w:rsidP="00022E00">
      <w:pPr>
        <w:pStyle w:val="AODocTxt"/>
        <w:spacing w:before="0" w:line="240" w:lineRule="auto"/>
        <w:rPr>
          <w:rFonts w:ascii="Arial" w:hAnsi="Arial" w:cs="Arial"/>
        </w:rPr>
      </w:pPr>
    </w:p>
    <w:p w14:paraId="5059BEB4" w14:textId="6E7EFD06" w:rsidR="00BA7070" w:rsidRPr="008C6E19" w:rsidRDefault="00BA7070" w:rsidP="003925AF">
      <w:pPr>
        <w:pStyle w:val="AODocTxt"/>
        <w:numPr>
          <w:ilvl w:val="0"/>
          <w:numId w:val="36"/>
        </w:numPr>
        <w:spacing w:before="0" w:line="240" w:lineRule="auto"/>
        <w:rPr>
          <w:rFonts w:ascii="Arial" w:hAnsi="Arial" w:cs="Arial"/>
        </w:rPr>
      </w:pPr>
      <w:r w:rsidRPr="008C6E19">
        <w:rPr>
          <w:rFonts w:ascii="Arial" w:hAnsi="Arial" w:cs="Arial"/>
        </w:rPr>
        <w:t>Fraud: Fraudulent conveyance relates to showing that a debtor made a transfer or took on a liability "</w:t>
      </w:r>
      <w:r w:rsidRPr="003925AF">
        <w:rPr>
          <w:rFonts w:ascii="Arial" w:hAnsi="Arial" w:cs="Arial"/>
          <w:i/>
        </w:rPr>
        <w:t>with actual intent to hinder, delay, or defraud any entity to which the debtor was or became… indebted</w:t>
      </w:r>
      <w:r w:rsidRPr="008C6E19">
        <w:rPr>
          <w:rFonts w:ascii="Arial" w:hAnsi="Arial" w:cs="Arial"/>
        </w:rPr>
        <w:t>" (USC 11 section 548(a)). However, neither preference or constructive fraudulent conveyance (despite its name) requires establishing fra</w:t>
      </w:r>
      <w:r w:rsidR="006C729B" w:rsidRPr="008C6E19">
        <w:rPr>
          <w:rFonts w:ascii="Arial" w:hAnsi="Arial" w:cs="Arial"/>
        </w:rPr>
        <w:t xml:space="preserve">ud to satisfy their conditions and in a preference there is no need to show any fault of either the debtor or the recipient of the transaction whatsoever. </w:t>
      </w:r>
    </w:p>
    <w:p w14:paraId="7168C4B6" w14:textId="77777777" w:rsidR="00BA7070" w:rsidRPr="008C6E19" w:rsidRDefault="00BA7070" w:rsidP="00022E00">
      <w:pPr>
        <w:pStyle w:val="AODocTxt"/>
        <w:spacing w:before="0" w:line="240" w:lineRule="auto"/>
        <w:rPr>
          <w:rFonts w:ascii="Arial" w:hAnsi="Arial" w:cs="Arial"/>
        </w:rPr>
      </w:pPr>
    </w:p>
    <w:p w14:paraId="55C81879" w14:textId="120A9EC1" w:rsidR="00BA7070" w:rsidRPr="008C6E19" w:rsidRDefault="00BA7070" w:rsidP="003925AF">
      <w:pPr>
        <w:pStyle w:val="AODocTxt"/>
        <w:numPr>
          <w:ilvl w:val="0"/>
          <w:numId w:val="36"/>
        </w:numPr>
        <w:spacing w:before="0" w:line="240" w:lineRule="auto"/>
        <w:rPr>
          <w:rFonts w:ascii="Arial" w:hAnsi="Arial" w:cs="Arial"/>
        </w:rPr>
      </w:pPr>
      <w:r w:rsidRPr="008C6E19">
        <w:rPr>
          <w:rFonts w:ascii="Arial" w:hAnsi="Arial" w:cs="Arial"/>
        </w:rPr>
        <w:t>Value: Constructive fraudulent conveyance is established where it can be shown that a debtor received less than reasonably equivalent in value in exchange for the transfer of the property or the taking on of the liability</w:t>
      </w:r>
      <w:r w:rsidR="009E2C75" w:rsidRPr="008C6E19">
        <w:rPr>
          <w:rFonts w:ascii="Arial" w:hAnsi="Arial" w:cs="Arial"/>
        </w:rPr>
        <w:t xml:space="preserve">. However, such a test is not relevant to fraudulent conveyance which is primarily focused on the defrauding angle of any transaction and nor is it relevant to preference transactions which considers whether </w:t>
      </w:r>
      <w:r w:rsidR="009E2C75" w:rsidRPr="008C6E19">
        <w:rPr>
          <w:rFonts w:ascii="Arial" w:hAnsi="Arial" w:cs="Arial"/>
        </w:rPr>
        <w:lastRenderedPageBreak/>
        <w:t xml:space="preserve">the transaction to the party was more than that party would have received in a chapter 7 liquidation had the transfer not been made.  </w:t>
      </w:r>
    </w:p>
    <w:p w14:paraId="3C7D9610" w14:textId="77777777" w:rsidR="006C729B" w:rsidRPr="008C6E19" w:rsidRDefault="006C729B" w:rsidP="00022E00">
      <w:pPr>
        <w:pStyle w:val="AODocTxt"/>
        <w:spacing w:before="0" w:line="240" w:lineRule="auto"/>
        <w:rPr>
          <w:rFonts w:ascii="Arial" w:hAnsi="Arial" w:cs="Arial"/>
        </w:rPr>
      </w:pPr>
    </w:p>
    <w:p w14:paraId="5437EE99" w14:textId="621E4391" w:rsidR="006C729B" w:rsidRDefault="006C729B" w:rsidP="003925AF">
      <w:pPr>
        <w:pStyle w:val="AODocTxt"/>
        <w:numPr>
          <w:ilvl w:val="0"/>
          <w:numId w:val="36"/>
        </w:numPr>
        <w:spacing w:before="0" w:line="240" w:lineRule="auto"/>
        <w:rPr>
          <w:rFonts w:ascii="Arial" w:hAnsi="Arial" w:cs="Arial"/>
        </w:rPr>
      </w:pPr>
      <w:r w:rsidRPr="008C6E19">
        <w:rPr>
          <w:rFonts w:ascii="Arial" w:hAnsi="Arial" w:cs="Arial"/>
        </w:rPr>
        <w:t xml:space="preserve">Recipient: Where a preference is found a transaction is voided and returned to the estate of the debtor the recipient of the preference has an unsecured claim for the value of the voided transaction in the estate of the debtor. </w:t>
      </w:r>
      <w:r w:rsidR="00486A7A" w:rsidRPr="008C6E19">
        <w:rPr>
          <w:rFonts w:ascii="Arial" w:hAnsi="Arial" w:cs="Arial"/>
        </w:rPr>
        <w:t xml:space="preserve">However, with the recipients of actual or constructive fraudulent transfers, they may retrain the property they received (or enforced the obligations created in their </w:t>
      </w:r>
      <w:proofErr w:type="spellStart"/>
      <w:r w:rsidR="00486A7A" w:rsidRPr="008C6E19">
        <w:rPr>
          <w:rFonts w:ascii="Arial" w:hAnsi="Arial" w:cs="Arial"/>
        </w:rPr>
        <w:t>favour</w:t>
      </w:r>
      <w:proofErr w:type="spellEnd"/>
      <w:r w:rsidR="00486A7A" w:rsidRPr="008C6E19">
        <w:rPr>
          <w:rFonts w:ascii="Arial" w:hAnsi="Arial" w:cs="Arial"/>
        </w:rPr>
        <w:t>) if they took them for value and in good faith</w:t>
      </w:r>
    </w:p>
    <w:p w14:paraId="1FF31968" w14:textId="32A15CBE" w:rsidR="008756F1" w:rsidRDefault="00764063" w:rsidP="00022E00">
      <w:pPr>
        <w:pStyle w:val="AODocTxt"/>
        <w:spacing w:before="0" w:line="240" w:lineRule="auto"/>
        <w:rPr>
          <w:rFonts w:ascii="Arial" w:hAnsi="Arial" w:cs="Arial"/>
        </w:rPr>
      </w:pPr>
      <w:r>
        <w:rPr>
          <w:rFonts w:ascii="Arial" w:hAnsi="Arial" w:cs="Arial"/>
        </w:rPr>
        <w:t xml:space="preserve"> </w:t>
      </w:r>
    </w:p>
    <w:p w14:paraId="09365DB9" w14:textId="3916D92E" w:rsidR="002D299D" w:rsidRPr="00486A7A" w:rsidRDefault="002D299D" w:rsidP="002D299D">
      <w:pPr>
        <w:ind w:left="720" w:hanging="720"/>
        <w:jc w:val="both"/>
        <w:rPr>
          <w:rFonts w:ascii="Arial" w:hAnsi="Arial" w:cs="Arial"/>
          <w:b/>
          <w:sz w:val="22"/>
          <w:szCs w:val="22"/>
          <w:shd w:val="clear" w:color="auto" w:fill="FFFFFF"/>
        </w:rPr>
      </w:pPr>
      <w:r w:rsidRPr="00486A7A">
        <w:rPr>
          <w:rFonts w:ascii="Arial" w:hAnsi="Arial" w:cs="Arial"/>
          <w:b/>
          <w:bCs/>
          <w:sz w:val="22"/>
          <w:szCs w:val="22"/>
          <w:shd w:val="clear" w:color="auto" w:fill="FFFFFF"/>
        </w:rPr>
        <w:t xml:space="preserve">Question 3.4 </w:t>
      </w:r>
      <w:r w:rsidRPr="00486A7A">
        <w:rPr>
          <w:rFonts w:ascii="Arial" w:hAnsi="Arial" w:cs="Arial"/>
          <w:b/>
          <w:bCs/>
          <w:sz w:val="22"/>
          <w:szCs w:val="22"/>
          <w:lang w:val="en-GB"/>
        </w:rPr>
        <w:t>[maximum 5 marks]</w:t>
      </w:r>
    </w:p>
    <w:p w14:paraId="74BEA6E9" w14:textId="3C968936" w:rsidR="002D299D" w:rsidRPr="00486A7A" w:rsidRDefault="002D299D" w:rsidP="00583D8E">
      <w:pPr>
        <w:jc w:val="both"/>
        <w:rPr>
          <w:rFonts w:ascii="Arial" w:hAnsi="Arial" w:cs="Arial"/>
          <w:b/>
          <w:sz w:val="22"/>
          <w:szCs w:val="22"/>
          <w:lang w:val="en-GB"/>
        </w:rPr>
      </w:pPr>
    </w:p>
    <w:p w14:paraId="5D3B5BE2" w14:textId="0397FC56" w:rsidR="00583D8E" w:rsidRDefault="00583D8E" w:rsidP="00583D8E">
      <w:pPr>
        <w:pStyle w:val="AODocTxt"/>
        <w:spacing w:before="0" w:line="240" w:lineRule="auto"/>
        <w:rPr>
          <w:rFonts w:ascii="Arial" w:hAnsi="Arial" w:cs="Arial"/>
        </w:rPr>
      </w:pPr>
      <w:r w:rsidRPr="00486A7A">
        <w:rPr>
          <w:rFonts w:ascii="Arial" w:hAnsi="Arial" w:cs="Arial"/>
          <w:b/>
        </w:rPr>
        <w:t>How does a US bankruptcy court determine whether a foreign proceeding is a main or non-main proceeding under chapter 15?</w:t>
      </w:r>
    </w:p>
    <w:p w14:paraId="45E395EB" w14:textId="77777777" w:rsidR="00486A7A" w:rsidRDefault="00486A7A" w:rsidP="00583D8E">
      <w:pPr>
        <w:pStyle w:val="AODocTxt"/>
        <w:spacing w:before="0" w:line="240" w:lineRule="auto"/>
        <w:rPr>
          <w:rFonts w:ascii="Arial" w:hAnsi="Arial" w:cs="Arial"/>
        </w:rPr>
      </w:pPr>
    </w:p>
    <w:p w14:paraId="735A24EF" w14:textId="31F1D506" w:rsidR="005661CE" w:rsidRDefault="005661CE" w:rsidP="00583D8E">
      <w:pPr>
        <w:pStyle w:val="AODocTxt"/>
        <w:spacing w:before="0" w:line="240" w:lineRule="auto"/>
        <w:rPr>
          <w:rFonts w:ascii="Arial" w:hAnsi="Arial" w:cs="Arial"/>
        </w:rPr>
      </w:pPr>
      <w:r>
        <w:rPr>
          <w:rFonts w:ascii="Arial" w:hAnsi="Arial" w:cs="Arial"/>
        </w:rPr>
        <w:t xml:space="preserve">To begin, a chapter 15 petition can only be brought by the foreign representative of the debtor who is subject to foreign insolvency proceedings. Once the petition has been brought then the US court will need to ascertain whether the foreign proceedings to which the foreign representative has been appointed are "main" or "non-main" proceedings. </w:t>
      </w:r>
    </w:p>
    <w:p w14:paraId="72DD617C" w14:textId="77777777" w:rsidR="005661CE" w:rsidRDefault="005661CE" w:rsidP="00583D8E">
      <w:pPr>
        <w:pStyle w:val="AODocTxt"/>
        <w:spacing w:before="0" w:line="240" w:lineRule="auto"/>
        <w:rPr>
          <w:rFonts w:ascii="Arial" w:hAnsi="Arial" w:cs="Arial"/>
        </w:rPr>
      </w:pPr>
    </w:p>
    <w:p w14:paraId="0080DCBF" w14:textId="7F4A6759" w:rsidR="00486A7A" w:rsidRDefault="00486A7A" w:rsidP="00583D8E">
      <w:pPr>
        <w:pStyle w:val="AODocTxt"/>
        <w:spacing w:before="0" w:line="240" w:lineRule="auto"/>
        <w:rPr>
          <w:rFonts w:ascii="Arial" w:hAnsi="Arial" w:cs="Arial"/>
        </w:rPr>
      </w:pPr>
      <w:r>
        <w:rPr>
          <w:rFonts w:ascii="Arial" w:hAnsi="Arial" w:cs="Arial"/>
        </w:rPr>
        <w:t xml:space="preserve">Foreign main proceedings </w:t>
      </w:r>
      <w:r w:rsidR="00C01F71">
        <w:rPr>
          <w:rFonts w:ascii="Arial" w:hAnsi="Arial" w:cs="Arial"/>
        </w:rPr>
        <w:t xml:space="preserve">are those which are commenced in the debtor's </w:t>
      </w:r>
      <w:proofErr w:type="spellStart"/>
      <w:r w:rsidR="00C01F71">
        <w:rPr>
          <w:rFonts w:ascii="Arial" w:hAnsi="Arial" w:cs="Arial"/>
        </w:rPr>
        <w:t>centre</w:t>
      </w:r>
      <w:proofErr w:type="spellEnd"/>
      <w:r w:rsidR="00C01F71">
        <w:rPr>
          <w:rFonts w:ascii="Arial" w:hAnsi="Arial" w:cs="Arial"/>
        </w:rPr>
        <w:t xml:space="preserve"> of main interest</w:t>
      </w:r>
      <w:r w:rsidR="00FE14D4">
        <w:rPr>
          <w:rFonts w:ascii="Arial" w:hAnsi="Arial" w:cs="Arial"/>
        </w:rPr>
        <w:t xml:space="preserve">. There is a rebuttable presumption that a debtor's </w:t>
      </w:r>
      <w:proofErr w:type="spellStart"/>
      <w:r w:rsidR="00FE14D4">
        <w:rPr>
          <w:rFonts w:ascii="Arial" w:hAnsi="Arial" w:cs="Arial"/>
        </w:rPr>
        <w:t>centre</w:t>
      </w:r>
      <w:proofErr w:type="spellEnd"/>
      <w:r w:rsidR="00FE14D4">
        <w:rPr>
          <w:rFonts w:ascii="Arial" w:hAnsi="Arial" w:cs="Arial"/>
        </w:rPr>
        <w:t xml:space="preserve"> of main interest is its place of incorporation but other relevant factors include </w:t>
      </w:r>
      <w:r w:rsidR="005661CE">
        <w:rPr>
          <w:rFonts w:ascii="Arial" w:hAnsi="Arial" w:cs="Arial"/>
        </w:rPr>
        <w:t xml:space="preserve">the </w:t>
      </w:r>
      <w:r w:rsidR="00FE14D4">
        <w:rPr>
          <w:rFonts w:ascii="Arial" w:hAnsi="Arial" w:cs="Arial"/>
        </w:rPr>
        <w:t xml:space="preserve">location of </w:t>
      </w:r>
      <w:r w:rsidR="00DA2871">
        <w:rPr>
          <w:rFonts w:ascii="Arial" w:hAnsi="Arial" w:cs="Arial"/>
        </w:rPr>
        <w:t>headquarters</w:t>
      </w:r>
      <w:r w:rsidR="00FE14D4">
        <w:rPr>
          <w:rFonts w:ascii="Arial" w:hAnsi="Arial" w:cs="Arial"/>
        </w:rPr>
        <w:t xml:space="preserve">, management, main assets, creditors, jurisdiction whose law will apply to most of the debtor's disputes. </w:t>
      </w:r>
      <w:r w:rsidR="005661CE">
        <w:rPr>
          <w:rFonts w:ascii="Arial" w:hAnsi="Arial" w:cs="Arial"/>
        </w:rPr>
        <w:t xml:space="preserve">In </w:t>
      </w:r>
      <w:r w:rsidR="005661CE">
        <w:rPr>
          <w:rFonts w:ascii="Arial" w:hAnsi="Arial" w:cs="Arial"/>
          <w:i/>
        </w:rPr>
        <w:t xml:space="preserve">Morning </w:t>
      </w:r>
      <w:proofErr w:type="spellStart"/>
      <w:r w:rsidR="005661CE">
        <w:rPr>
          <w:rFonts w:ascii="Arial" w:hAnsi="Arial" w:cs="Arial"/>
          <w:i/>
        </w:rPr>
        <w:t>Mis</w:t>
      </w:r>
      <w:proofErr w:type="spellEnd"/>
      <w:r w:rsidR="005661CE">
        <w:rPr>
          <w:rFonts w:ascii="Arial" w:hAnsi="Arial" w:cs="Arial"/>
          <w:i/>
        </w:rPr>
        <w:t xml:space="preserve"> Holdings Ltd v </w:t>
      </w:r>
      <w:proofErr w:type="spellStart"/>
      <w:r w:rsidR="005661CE">
        <w:rPr>
          <w:rFonts w:ascii="Arial" w:hAnsi="Arial" w:cs="Arial"/>
          <w:i/>
        </w:rPr>
        <w:t>Krys</w:t>
      </w:r>
      <w:proofErr w:type="spellEnd"/>
      <w:r w:rsidR="005661CE">
        <w:rPr>
          <w:rFonts w:ascii="Arial" w:hAnsi="Arial" w:cs="Arial"/>
          <w:i/>
        </w:rPr>
        <w:t xml:space="preserve"> (In re Fairfield Sentry Ltd), </w:t>
      </w:r>
      <w:r w:rsidR="005661CE">
        <w:rPr>
          <w:rFonts w:ascii="Arial" w:hAnsi="Arial" w:cs="Arial"/>
        </w:rPr>
        <w:t xml:space="preserve">714 F </w:t>
      </w:r>
      <w:proofErr w:type="spellStart"/>
      <w:r w:rsidR="005661CE">
        <w:rPr>
          <w:rFonts w:ascii="Arial" w:hAnsi="Arial" w:cs="Arial"/>
        </w:rPr>
        <w:t>3d</w:t>
      </w:r>
      <w:proofErr w:type="spellEnd"/>
      <w:r w:rsidR="005661CE">
        <w:rPr>
          <w:rFonts w:ascii="Arial" w:hAnsi="Arial" w:cs="Arial"/>
        </w:rPr>
        <w:t xml:space="preserve"> 127 the courts held that a </w:t>
      </w:r>
      <w:proofErr w:type="spellStart"/>
      <w:r w:rsidR="005661CE">
        <w:rPr>
          <w:rFonts w:ascii="Arial" w:hAnsi="Arial" w:cs="Arial"/>
        </w:rPr>
        <w:t>centre</w:t>
      </w:r>
      <w:proofErr w:type="spellEnd"/>
      <w:r w:rsidR="005661CE">
        <w:rPr>
          <w:rFonts w:ascii="Arial" w:hAnsi="Arial" w:cs="Arial"/>
        </w:rPr>
        <w:t xml:space="preserve"> of main interest should be ascertainable by creditors or third parties on an objective basis. </w:t>
      </w:r>
      <w:r w:rsidR="00FE14D4">
        <w:rPr>
          <w:rFonts w:ascii="Arial" w:hAnsi="Arial" w:cs="Arial"/>
        </w:rPr>
        <w:t xml:space="preserve">The </w:t>
      </w:r>
      <w:proofErr w:type="spellStart"/>
      <w:r w:rsidR="00FE14D4">
        <w:rPr>
          <w:rFonts w:ascii="Arial" w:hAnsi="Arial" w:cs="Arial"/>
        </w:rPr>
        <w:t>centre</w:t>
      </w:r>
      <w:proofErr w:type="spellEnd"/>
      <w:r w:rsidR="00FE14D4">
        <w:rPr>
          <w:rFonts w:ascii="Arial" w:hAnsi="Arial" w:cs="Arial"/>
        </w:rPr>
        <w:t xml:space="preserve"> of main interest is assessed as at the date of the US petition, not the commencement of the foreign proceedings. </w:t>
      </w:r>
    </w:p>
    <w:p w14:paraId="5D3434AA" w14:textId="77777777" w:rsidR="005661CE" w:rsidRDefault="005661CE" w:rsidP="00583D8E">
      <w:pPr>
        <w:pStyle w:val="AODocTxt"/>
        <w:spacing w:before="0" w:line="240" w:lineRule="auto"/>
        <w:rPr>
          <w:rFonts w:ascii="Arial" w:hAnsi="Arial" w:cs="Arial"/>
        </w:rPr>
      </w:pPr>
    </w:p>
    <w:p w14:paraId="7430294E" w14:textId="57BD1BB9" w:rsidR="005661CE" w:rsidRDefault="005661CE" w:rsidP="00583D8E">
      <w:pPr>
        <w:pStyle w:val="AODocTxt"/>
        <w:spacing w:before="0" w:line="240" w:lineRule="auto"/>
        <w:rPr>
          <w:rFonts w:ascii="Arial" w:hAnsi="Arial" w:cs="Arial"/>
        </w:rPr>
      </w:pPr>
      <w:r>
        <w:rPr>
          <w:rFonts w:ascii="Arial" w:hAnsi="Arial" w:cs="Arial"/>
        </w:rPr>
        <w:t xml:space="preserve">Proceedings outside the location of the debtor's </w:t>
      </w:r>
      <w:proofErr w:type="spellStart"/>
      <w:r>
        <w:rPr>
          <w:rFonts w:ascii="Arial" w:hAnsi="Arial" w:cs="Arial"/>
        </w:rPr>
        <w:t>centre</w:t>
      </w:r>
      <w:proofErr w:type="spellEnd"/>
      <w:r>
        <w:rPr>
          <w:rFonts w:ascii="Arial" w:hAnsi="Arial" w:cs="Arial"/>
        </w:rPr>
        <w:t xml:space="preserve"> of main interest can only be classified as "non-main" if the debtor has an "establishment" in that jurisdiction. An "establishment" is said to be a place where the debtor carried on some form of non-transitory commercial/financial activity prior the chapter 15 proceedings. </w:t>
      </w:r>
    </w:p>
    <w:p w14:paraId="06412A6C" w14:textId="77777777" w:rsidR="003E03AF" w:rsidRDefault="003E03AF" w:rsidP="00583D8E">
      <w:pPr>
        <w:pStyle w:val="AODocTxt"/>
        <w:spacing w:before="0" w:line="240" w:lineRule="auto"/>
        <w:rPr>
          <w:rFonts w:ascii="Arial" w:hAnsi="Arial" w:cs="Arial"/>
        </w:rPr>
      </w:pPr>
    </w:p>
    <w:p w14:paraId="2C3C9183" w14:textId="03C36DB6" w:rsidR="003E03AF" w:rsidRPr="003F50B4" w:rsidRDefault="003E03AF" w:rsidP="00583D8E">
      <w:pPr>
        <w:pStyle w:val="AODocTxt"/>
        <w:spacing w:before="0" w:line="240" w:lineRule="auto"/>
        <w:rPr>
          <w:rFonts w:ascii="Arial" w:hAnsi="Arial" w:cs="Arial"/>
          <w:u w:val="single"/>
        </w:rPr>
      </w:pPr>
      <w:r>
        <w:rPr>
          <w:rFonts w:ascii="Arial" w:hAnsi="Arial" w:cs="Arial"/>
        </w:rPr>
        <w:t xml:space="preserve">However, in the </w:t>
      </w:r>
      <w:r w:rsidR="003F50B4">
        <w:rPr>
          <w:rFonts w:ascii="Arial" w:hAnsi="Arial" w:cs="Arial"/>
          <w:i/>
        </w:rPr>
        <w:t xml:space="preserve">Bear Stearns </w:t>
      </w:r>
      <w:r w:rsidR="003F50B4">
        <w:rPr>
          <w:rFonts w:ascii="Arial" w:hAnsi="Arial" w:cs="Arial"/>
        </w:rPr>
        <w:t>374 BR 122 (</w:t>
      </w:r>
      <w:proofErr w:type="spellStart"/>
      <w:r w:rsidR="003F50B4">
        <w:rPr>
          <w:rFonts w:ascii="Arial" w:hAnsi="Arial" w:cs="Arial"/>
        </w:rPr>
        <w:t>Bankr</w:t>
      </w:r>
      <w:proofErr w:type="spellEnd"/>
      <w:r w:rsidR="003F50B4">
        <w:rPr>
          <w:rFonts w:ascii="Arial" w:hAnsi="Arial" w:cs="Arial"/>
        </w:rPr>
        <w:t xml:space="preserve"> </w:t>
      </w:r>
      <w:proofErr w:type="spellStart"/>
      <w:r w:rsidR="003F50B4">
        <w:rPr>
          <w:rFonts w:ascii="Arial" w:hAnsi="Arial" w:cs="Arial"/>
        </w:rPr>
        <w:t>SDNY</w:t>
      </w:r>
      <w:proofErr w:type="spellEnd"/>
      <w:r w:rsidR="003F50B4">
        <w:rPr>
          <w:rFonts w:ascii="Arial" w:hAnsi="Arial" w:cs="Arial"/>
        </w:rPr>
        <w:t xml:space="preserve"> 2007) the court was faced with a situation where it could not find that liquidation proceedings of a Cayman-incorporated fund were foreign main proceedings as it could not be said that the </w:t>
      </w:r>
      <w:r w:rsidR="003925AF">
        <w:rPr>
          <w:rFonts w:ascii="Arial" w:hAnsi="Arial" w:cs="Arial"/>
        </w:rPr>
        <w:t xml:space="preserve">Fund's </w:t>
      </w:r>
      <w:proofErr w:type="spellStart"/>
      <w:r w:rsidR="003F50B4">
        <w:rPr>
          <w:rFonts w:ascii="Arial" w:hAnsi="Arial" w:cs="Arial"/>
        </w:rPr>
        <w:t>centre</w:t>
      </w:r>
      <w:proofErr w:type="spellEnd"/>
      <w:r w:rsidR="003F50B4">
        <w:rPr>
          <w:rFonts w:ascii="Arial" w:hAnsi="Arial" w:cs="Arial"/>
        </w:rPr>
        <w:t xml:space="preserve"> of main interest was in the Cayman Islands as it was set up on an "exempt" basis and also </w:t>
      </w:r>
      <w:proofErr w:type="spellStart"/>
      <w:r w:rsidR="003F50B4">
        <w:rPr>
          <w:rFonts w:ascii="Arial" w:hAnsi="Arial" w:cs="Arial"/>
        </w:rPr>
        <w:t>licenced</w:t>
      </w:r>
      <w:proofErr w:type="spellEnd"/>
      <w:r w:rsidR="003F50B4">
        <w:rPr>
          <w:rFonts w:ascii="Arial" w:hAnsi="Arial" w:cs="Arial"/>
        </w:rPr>
        <w:t xml:space="preserve"> on the basis that it had no operations within the Cayman Islands. However, the US court could also not find that the Cayman </w:t>
      </w:r>
      <w:r w:rsidR="00C5542B">
        <w:rPr>
          <w:rFonts w:ascii="Arial" w:hAnsi="Arial" w:cs="Arial"/>
        </w:rPr>
        <w:t>liquidation</w:t>
      </w:r>
      <w:r w:rsidR="003F50B4">
        <w:rPr>
          <w:rFonts w:ascii="Arial" w:hAnsi="Arial" w:cs="Arial"/>
        </w:rPr>
        <w:t xml:space="preserve"> was a fore</w:t>
      </w:r>
      <w:r w:rsidR="003925AF">
        <w:rPr>
          <w:rFonts w:ascii="Arial" w:hAnsi="Arial" w:cs="Arial"/>
        </w:rPr>
        <w:t>ign non-main proceeding as the F</w:t>
      </w:r>
      <w:r w:rsidR="003F50B4">
        <w:rPr>
          <w:rFonts w:ascii="Arial" w:hAnsi="Arial" w:cs="Arial"/>
        </w:rPr>
        <w:t xml:space="preserve">und did not have an establishment in the Cayman Islands. </w:t>
      </w:r>
      <w:r w:rsidR="00C5542B">
        <w:rPr>
          <w:rFonts w:ascii="Arial" w:hAnsi="Arial" w:cs="Arial"/>
        </w:rPr>
        <w:t xml:space="preserve">Consequentially, </w:t>
      </w:r>
      <w:r w:rsidR="00391F59">
        <w:rPr>
          <w:rFonts w:ascii="Arial" w:hAnsi="Arial" w:cs="Arial"/>
        </w:rPr>
        <w:t xml:space="preserve">a process has been developed by foreign representatives to move the </w:t>
      </w:r>
      <w:proofErr w:type="spellStart"/>
      <w:r w:rsidR="00391F59">
        <w:rPr>
          <w:rFonts w:ascii="Arial" w:hAnsi="Arial" w:cs="Arial"/>
        </w:rPr>
        <w:t>COMI</w:t>
      </w:r>
      <w:proofErr w:type="spellEnd"/>
      <w:r w:rsidR="00391F59">
        <w:rPr>
          <w:rFonts w:ascii="Arial" w:hAnsi="Arial" w:cs="Arial"/>
        </w:rPr>
        <w:t xml:space="preserve"> of such a debtor to the required/preferred jurisdiction before making a chapter 15 petition to the US courts. Despite some opprobrium by commentators the US courts have accepted </w:t>
      </w:r>
      <w:proofErr w:type="spellStart"/>
      <w:r w:rsidR="00391F59">
        <w:rPr>
          <w:rFonts w:ascii="Arial" w:hAnsi="Arial" w:cs="Arial"/>
        </w:rPr>
        <w:t>centre</w:t>
      </w:r>
      <w:proofErr w:type="spellEnd"/>
      <w:r w:rsidR="00391F59">
        <w:rPr>
          <w:rFonts w:ascii="Arial" w:hAnsi="Arial" w:cs="Arial"/>
        </w:rPr>
        <w:t xml:space="preserve"> of main interest shifting unless such a shift can be found to have been conducted in bad faith. </w:t>
      </w:r>
    </w:p>
    <w:p w14:paraId="72C0B537" w14:textId="77777777" w:rsidR="00FE14D4" w:rsidRDefault="00FE14D4" w:rsidP="00583D8E">
      <w:pPr>
        <w:pStyle w:val="AODocTxt"/>
        <w:spacing w:before="0" w:line="240" w:lineRule="auto"/>
        <w:rPr>
          <w:rFonts w:ascii="Arial" w:hAnsi="Arial" w:cs="Arial"/>
        </w:rPr>
      </w:pPr>
    </w:p>
    <w:p w14:paraId="744EF484" w14:textId="77777777" w:rsidR="004F7B99" w:rsidRPr="004F7B99" w:rsidRDefault="004F7B99" w:rsidP="004F7B99">
      <w:pPr>
        <w:jc w:val="both"/>
        <w:rPr>
          <w:rFonts w:ascii="Arial" w:hAnsi="Arial" w:cs="Arial"/>
          <w:color w:val="808080" w:themeColor="background1" w:themeShade="80"/>
          <w:sz w:val="22"/>
          <w:szCs w:val="22"/>
          <w:lang w:val="en-GB"/>
        </w:rPr>
      </w:pPr>
    </w:p>
    <w:p w14:paraId="55C402CC" w14:textId="746A48C9"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0"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69351052" w:rsidR="00FC7AC7" w:rsidRDefault="00FC7AC7" w:rsidP="00FC7AC7">
      <w:pPr>
        <w:pStyle w:val="AODocTxt"/>
        <w:spacing w:before="0" w:line="240" w:lineRule="auto"/>
        <w:rPr>
          <w:rFonts w:ascii="Arial" w:hAnsi="Arial" w:cs="Arial"/>
          <w:b/>
        </w:rPr>
      </w:pPr>
      <w:r w:rsidRPr="00EA34AF">
        <w:rPr>
          <w:rFonts w:ascii="Arial" w:hAnsi="Arial" w:cs="Arial"/>
          <w:b/>
        </w:rPr>
        <w:t xml:space="preserve">Rental Corporation is a publicly-traded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w:t>
      </w:r>
      <w:r w:rsidRPr="00EA34AF">
        <w:rPr>
          <w:rFonts w:ascii="Arial" w:hAnsi="Arial" w:cs="Arial"/>
          <w:b/>
        </w:rPr>
        <w:lastRenderedPageBreak/>
        <w:t>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w:t>
      </w:r>
      <w:proofErr w:type="spellStart"/>
      <w:r w:rsidRPr="00EA34AF">
        <w:rPr>
          <w:rFonts w:ascii="Arial" w:hAnsi="Arial" w:cs="Arial"/>
          <w:b/>
        </w:rPr>
        <w:t>i</w:t>
      </w:r>
      <w:proofErr w:type="spellEnd"/>
      <w:r w:rsidRPr="00EA34AF">
        <w:rPr>
          <w:rFonts w:ascii="Arial" w:hAnsi="Arial" w:cs="Arial"/>
          <w:b/>
        </w:rPr>
        <w:t>) the DOJ investigation, (ii) the securities class action litigation; (iii) the delinquent leases and (iv) the credit facility?</w:t>
      </w:r>
    </w:p>
    <w:p w14:paraId="349D9D6B" w14:textId="77777777" w:rsidR="00EA34AF" w:rsidRDefault="00EA34AF" w:rsidP="00FC7AC7">
      <w:pPr>
        <w:pStyle w:val="AODocTxt"/>
        <w:spacing w:before="0" w:line="240" w:lineRule="auto"/>
        <w:rPr>
          <w:rFonts w:ascii="Arial" w:hAnsi="Arial" w:cs="Arial"/>
          <w:b/>
        </w:rPr>
      </w:pPr>
    </w:p>
    <w:p w14:paraId="7DA9C478" w14:textId="497AE547" w:rsidR="007E0F46" w:rsidRDefault="0083132D" w:rsidP="003C23DC">
      <w:pPr>
        <w:pStyle w:val="AODocTxt"/>
        <w:spacing w:before="0" w:line="240" w:lineRule="auto"/>
        <w:rPr>
          <w:rFonts w:ascii="Arial" w:hAnsi="Arial" w:cs="Arial"/>
        </w:rPr>
      </w:pPr>
      <w:r>
        <w:rPr>
          <w:rFonts w:ascii="Arial" w:hAnsi="Arial" w:cs="Arial"/>
        </w:rPr>
        <w:t xml:space="preserve">In the scenario where Rental Corporation files a chapter 11 petition it will be said to have commenced this voluntarily. A voluntary petition requires no allegation of insolvency but as a voluntary petitioner Rental Corporation will, alongside its petition, need to also file a schedule which discloses is assets, which includes all property, executory contracts, unexpired leases, its personal property, and identify its secured and 20 largest unsecured claims which will become publically available. </w:t>
      </w:r>
    </w:p>
    <w:p w14:paraId="475434CE" w14:textId="77777777" w:rsidR="0083132D" w:rsidRPr="0083132D" w:rsidRDefault="0083132D" w:rsidP="003C23DC">
      <w:pPr>
        <w:pStyle w:val="AODocTxt"/>
        <w:spacing w:before="0" w:line="240" w:lineRule="auto"/>
        <w:rPr>
          <w:rFonts w:ascii="Arial" w:hAnsi="Arial" w:cs="Arial"/>
        </w:rPr>
      </w:pPr>
    </w:p>
    <w:p w14:paraId="69D16B2C" w14:textId="7DA061D8" w:rsidR="003C23DC" w:rsidRPr="003C23DC" w:rsidRDefault="003C23DC" w:rsidP="003C23DC">
      <w:pPr>
        <w:pStyle w:val="AODocTxt"/>
        <w:spacing w:before="0" w:line="240" w:lineRule="auto"/>
        <w:rPr>
          <w:rFonts w:ascii="Arial" w:hAnsi="Arial" w:cs="Arial"/>
          <w:u w:val="single"/>
        </w:rPr>
      </w:pPr>
      <w:r w:rsidRPr="003C23DC">
        <w:rPr>
          <w:rFonts w:ascii="Arial" w:hAnsi="Arial" w:cs="Arial"/>
          <w:u w:val="single"/>
        </w:rPr>
        <w:t>The DOJ investigation</w:t>
      </w:r>
    </w:p>
    <w:p w14:paraId="78442525" w14:textId="77777777" w:rsidR="003C23DC" w:rsidRDefault="003C23DC" w:rsidP="003C23DC">
      <w:pPr>
        <w:pStyle w:val="AODocTxt"/>
        <w:spacing w:before="0" w:line="240" w:lineRule="auto"/>
        <w:rPr>
          <w:rFonts w:ascii="Arial" w:hAnsi="Arial" w:cs="Arial"/>
        </w:rPr>
      </w:pPr>
    </w:p>
    <w:p w14:paraId="360F00CA" w14:textId="79E698E9" w:rsidR="00A87EB1" w:rsidRPr="003C23DC" w:rsidRDefault="00A87EB1" w:rsidP="003C23DC">
      <w:pPr>
        <w:pStyle w:val="AODocTxt"/>
        <w:spacing w:before="0" w:line="240" w:lineRule="auto"/>
        <w:rPr>
          <w:rFonts w:ascii="Arial" w:hAnsi="Arial" w:cs="Arial"/>
        </w:rPr>
      </w:pPr>
      <w:r>
        <w:rPr>
          <w:rFonts w:ascii="Arial" w:hAnsi="Arial" w:cs="Arial"/>
        </w:rPr>
        <w:t xml:space="preserve">The DOJ investigation is not impacted by the filing of a chapter 11 petition as, whilst an automatic stay does come into effect, both criminal and regulatory investigations are excluded from the stay. As such, the DOJ will be able to continue their investigations and Rental Corporations will need to </w:t>
      </w:r>
      <w:r w:rsidR="00D961A1">
        <w:rPr>
          <w:rFonts w:ascii="Arial" w:hAnsi="Arial" w:cs="Arial"/>
        </w:rPr>
        <w:t xml:space="preserve">comply with that. </w:t>
      </w:r>
    </w:p>
    <w:p w14:paraId="75396ED3" w14:textId="77777777" w:rsidR="003C23DC" w:rsidRPr="003C23DC" w:rsidRDefault="003C23DC" w:rsidP="003C23DC">
      <w:pPr>
        <w:pStyle w:val="AODocTxt"/>
        <w:spacing w:before="0" w:line="240" w:lineRule="auto"/>
        <w:rPr>
          <w:rFonts w:ascii="Arial" w:hAnsi="Arial" w:cs="Arial"/>
        </w:rPr>
      </w:pPr>
    </w:p>
    <w:p w14:paraId="04744F04" w14:textId="77777777" w:rsidR="003C23DC" w:rsidRPr="003C23DC" w:rsidRDefault="003C23DC" w:rsidP="003C23DC">
      <w:pPr>
        <w:pStyle w:val="AODocTxt"/>
        <w:spacing w:before="0" w:line="240" w:lineRule="auto"/>
        <w:rPr>
          <w:rFonts w:ascii="Arial" w:hAnsi="Arial" w:cs="Arial"/>
          <w:u w:val="single"/>
        </w:rPr>
      </w:pPr>
      <w:r w:rsidRPr="003C23DC">
        <w:rPr>
          <w:rFonts w:ascii="Arial" w:hAnsi="Arial" w:cs="Arial"/>
          <w:u w:val="single"/>
        </w:rPr>
        <w:t>The securities class action litigation</w:t>
      </w:r>
    </w:p>
    <w:p w14:paraId="49455D7F" w14:textId="77777777" w:rsidR="003C23DC" w:rsidRPr="003C23DC" w:rsidRDefault="003C23DC" w:rsidP="003C23DC">
      <w:pPr>
        <w:pStyle w:val="AODocTxt"/>
        <w:spacing w:before="0" w:line="240" w:lineRule="auto"/>
        <w:rPr>
          <w:rFonts w:ascii="Arial" w:hAnsi="Arial" w:cs="Arial"/>
        </w:rPr>
      </w:pPr>
    </w:p>
    <w:p w14:paraId="04A4DCC1" w14:textId="667EEA56" w:rsidR="007E0F46" w:rsidRDefault="007E0F46" w:rsidP="007E0F46">
      <w:pPr>
        <w:jc w:val="both"/>
        <w:rPr>
          <w:rFonts w:ascii="Arial" w:hAnsi="Arial" w:cs="Arial"/>
          <w:sz w:val="22"/>
          <w:szCs w:val="22"/>
          <w:lang w:val="en-GB"/>
        </w:rPr>
      </w:pPr>
      <w:r>
        <w:rPr>
          <w:rFonts w:ascii="Arial" w:hAnsi="Arial" w:cs="Arial"/>
          <w:sz w:val="22"/>
          <w:szCs w:val="22"/>
          <w:lang w:val="en-GB"/>
        </w:rPr>
        <w:t>Upon filing a chapter 11 petition an estate is created over all of Rental Corporation's assets as of the petition date and an automatic stay comes into effect immediately upon filing. The stay cover</w:t>
      </w:r>
      <w:r w:rsidR="00D023F0">
        <w:rPr>
          <w:rFonts w:ascii="Arial" w:hAnsi="Arial" w:cs="Arial"/>
          <w:sz w:val="22"/>
          <w:szCs w:val="22"/>
          <w:lang w:val="en-GB"/>
        </w:rPr>
        <w:t>s</w:t>
      </w:r>
      <w:r>
        <w:rPr>
          <w:rFonts w:ascii="Arial" w:hAnsi="Arial" w:cs="Arial"/>
          <w:sz w:val="22"/>
          <w:szCs w:val="22"/>
          <w:lang w:val="en-GB"/>
        </w:rPr>
        <w:t xml:space="preserve"> all </w:t>
      </w:r>
      <w:r w:rsidR="00D023F0">
        <w:rPr>
          <w:rFonts w:ascii="Arial" w:hAnsi="Arial" w:cs="Arial"/>
          <w:sz w:val="22"/>
          <w:szCs w:val="22"/>
          <w:lang w:val="en-GB"/>
        </w:rPr>
        <w:t>litigation</w:t>
      </w:r>
      <w:r>
        <w:rPr>
          <w:rFonts w:ascii="Arial" w:hAnsi="Arial" w:cs="Arial"/>
          <w:sz w:val="22"/>
          <w:szCs w:val="22"/>
          <w:lang w:val="en-GB"/>
        </w:rPr>
        <w:t xml:space="preserve"> and prevent</w:t>
      </w:r>
      <w:r w:rsidR="00D023F0">
        <w:rPr>
          <w:rFonts w:ascii="Arial" w:hAnsi="Arial" w:cs="Arial"/>
          <w:sz w:val="22"/>
          <w:szCs w:val="22"/>
          <w:lang w:val="en-GB"/>
        </w:rPr>
        <w:t>s</w:t>
      </w:r>
      <w:r>
        <w:rPr>
          <w:rFonts w:ascii="Arial" w:hAnsi="Arial" w:cs="Arial"/>
          <w:sz w:val="22"/>
          <w:szCs w:val="22"/>
          <w:lang w:val="en-GB"/>
        </w:rPr>
        <w:t xml:space="preserve"> the enforcement</w:t>
      </w:r>
      <w:r w:rsidR="00DA2871">
        <w:rPr>
          <w:rFonts w:ascii="Arial" w:hAnsi="Arial" w:cs="Arial"/>
          <w:sz w:val="22"/>
          <w:szCs w:val="22"/>
          <w:lang w:val="en-GB"/>
        </w:rPr>
        <w:t xml:space="preserve"> of</w:t>
      </w:r>
      <w:r>
        <w:rPr>
          <w:rFonts w:ascii="Arial" w:hAnsi="Arial" w:cs="Arial"/>
          <w:sz w:val="22"/>
          <w:szCs w:val="22"/>
          <w:lang w:val="en-GB"/>
        </w:rPr>
        <w:t xml:space="preserve"> judgments and of security without the leave of the court. As such, given that the stay includes staying the continuation of any existing actions that were commenced prior to filing the securities class action litigation will be stayed and any party that takes action in violation of the stay will be in contempt of court. The plaintiffs in the securities class action may make motions to lift or modify the stay in an attempt to enable them to continue with their litigation. If they do make such a motion then the stay will </w:t>
      </w:r>
      <w:r w:rsidR="00FA2874">
        <w:rPr>
          <w:rFonts w:ascii="Arial" w:hAnsi="Arial" w:cs="Arial"/>
          <w:sz w:val="22"/>
          <w:szCs w:val="22"/>
          <w:lang w:val="en-GB"/>
        </w:rPr>
        <w:t>expire</w:t>
      </w:r>
      <w:r>
        <w:rPr>
          <w:rFonts w:ascii="Arial" w:hAnsi="Arial" w:cs="Arial"/>
          <w:sz w:val="22"/>
          <w:szCs w:val="22"/>
          <w:lang w:val="en-GB"/>
        </w:rPr>
        <w:t xml:space="preserve"> within 30 days unless the court intervenes pending a final hearing. </w:t>
      </w:r>
    </w:p>
    <w:p w14:paraId="26158DEF" w14:textId="77777777" w:rsidR="007E0F46" w:rsidRDefault="007E0F46" w:rsidP="007E0F46">
      <w:pPr>
        <w:jc w:val="both"/>
        <w:rPr>
          <w:rFonts w:ascii="Arial" w:hAnsi="Arial" w:cs="Arial"/>
          <w:sz w:val="22"/>
          <w:szCs w:val="22"/>
          <w:lang w:val="en-GB"/>
        </w:rPr>
      </w:pPr>
    </w:p>
    <w:p w14:paraId="783FE026" w14:textId="77777777" w:rsidR="003C23DC" w:rsidRPr="00BE0229" w:rsidRDefault="003C23DC" w:rsidP="003C23DC">
      <w:pPr>
        <w:pStyle w:val="AODocTxt"/>
        <w:spacing w:before="0" w:line="240" w:lineRule="auto"/>
        <w:rPr>
          <w:rFonts w:ascii="Arial" w:hAnsi="Arial" w:cs="Arial"/>
          <w:u w:val="single"/>
        </w:rPr>
      </w:pPr>
      <w:r w:rsidRPr="00BE0229">
        <w:rPr>
          <w:rFonts w:ascii="Arial" w:hAnsi="Arial" w:cs="Arial"/>
          <w:u w:val="single"/>
        </w:rPr>
        <w:t xml:space="preserve">The delinquent leases </w:t>
      </w:r>
    </w:p>
    <w:p w14:paraId="5C6B06ED" w14:textId="77777777" w:rsidR="00D023F0" w:rsidRPr="00BE0229" w:rsidRDefault="00D023F0" w:rsidP="003C23DC">
      <w:pPr>
        <w:pStyle w:val="AODocTxt"/>
        <w:spacing w:before="0" w:line="240" w:lineRule="auto"/>
        <w:rPr>
          <w:rFonts w:ascii="Arial" w:hAnsi="Arial" w:cs="Arial"/>
          <w:u w:val="single"/>
        </w:rPr>
      </w:pPr>
    </w:p>
    <w:p w14:paraId="2610243A" w14:textId="1B2A9122" w:rsidR="00D023F0" w:rsidRPr="00BE0229" w:rsidRDefault="00D023F0" w:rsidP="003C23DC">
      <w:pPr>
        <w:pStyle w:val="AODocTxt"/>
        <w:spacing w:before="0" w:line="240" w:lineRule="auto"/>
        <w:rPr>
          <w:rFonts w:ascii="Arial" w:hAnsi="Arial" w:cs="Arial"/>
        </w:rPr>
      </w:pPr>
      <w:r w:rsidRPr="00BE0229">
        <w:rPr>
          <w:rFonts w:ascii="Arial" w:hAnsi="Arial" w:cs="Arial"/>
        </w:rPr>
        <w:t xml:space="preserve">Under section 365 of the </w:t>
      </w:r>
      <w:r w:rsidR="00482F53" w:rsidRPr="00BE0229">
        <w:rPr>
          <w:rFonts w:ascii="Arial" w:hAnsi="Arial" w:cs="Arial"/>
        </w:rPr>
        <w:t>Bankruptcy</w:t>
      </w:r>
      <w:r w:rsidRPr="00BE0229">
        <w:rPr>
          <w:rFonts w:ascii="Arial" w:hAnsi="Arial" w:cs="Arial"/>
        </w:rPr>
        <w:t xml:space="preserve"> Code a debtor may assume or reject any </w:t>
      </w:r>
      <w:r w:rsidR="00482F53" w:rsidRPr="00BE0229">
        <w:rPr>
          <w:rFonts w:ascii="Arial" w:hAnsi="Arial" w:cs="Arial"/>
        </w:rPr>
        <w:t>"</w:t>
      </w:r>
      <w:r w:rsidRPr="00BE0229">
        <w:rPr>
          <w:rFonts w:ascii="Arial" w:hAnsi="Arial" w:cs="Arial"/>
        </w:rPr>
        <w:t>unexpired leases</w:t>
      </w:r>
      <w:r w:rsidR="00482F53" w:rsidRPr="00BE0229">
        <w:rPr>
          <w:rFonts w:ascii="Arial" w:hAnsi="Arial" w:cs="Arial"/>
        </w:rPr>
        <w:t>"</w:t>
      </w:r>
      <w:r w:rsidRPr="00BE0229">
        <w:rPr>
          <w:rFonts w:ascii="Arial" w:hAnsi="Arial" w:cs="Arial"/>
        </w:rPr>
        <w:t xml:space="preserve">, subject to court approval, </w:t>
      </w:r>
      <w:r w:rsidR="00482F53" w:rsidRPr="00BE0229">
        <w:rPr>
          <w:rFonts w:ascii="Arial" w:hAnsi="Arial" w:cs="Arial"/>
        </w:rPr>
        <w:t>following the filing of a chapter 11 petition. If Rental Corporation assume the leases they will retain the leases and if they reject the leases they will terminate the leases. If Rental Corporation terminate</w:t>
      </w:r>
      <w:r w:rsidR="00C62C7C">
        <w:rPr>
          <w:rFonts w:ascii="Arial" w:hAnsi="Arial" w:cs="Arial"/>
        </w:rPr>
        <w:t>s</w:t>
      </w:r>
      <w:r w:rsidR="00482F53" w:rsidRPr="00BE0229">
        <w:rPr>
          <w:rFonts w:ascii="Arial" w:hAnsi="Arial" w:cs="Arial"/>
        </w:rPr>
        <w:t xml:space="preserve"> the leases then the landlord may assert a</w:t>
      </w:r>
      <w:r w:rsidR="00C62C7C">
        <w:rPr>
          <w:rFonts w:ascii="Arial" w:hAnsi="Arial" w:cs="Arial"/>
        </w:rPr>
        <w:t>n unsecure pre-petition claim in damages</w:t>
      </w:r>
      <w:r w:rsidR="00482F53" w:rsidRPr="00BE0229">
        <w:rPr>
          <w:rFonts w:ascii="Arial" w:hAnsi="Arial" w:cs="Arial"/>
        </w:rPr>
        <w:t>. As Rental Corporation was in default as at the time of the chapter 11 filing then it may not assume the lease unless it can cure the defaults and provide adequate assurance of future performance under the terms of the least</w:t>
      </w:r>
      <w:r w:rsidR="00C62C7C">
        <w:rPr>
          <w:rFonts w:ascii="Arial" w:hAnsi="Arial" w:cs="Arial"/>
        </w:rPr>
        <w:t xml:space="preserve"> (section 356(b) USC 11)</w:t>
      </w:r>
      <w:r w:rsidR="00482F53" w:rsidRPr="00BE0229">
        <w:rPr>
          <w:rFonts w:ascii="Arial" w:hAnsi="Arial" w:cs="Arial"/>
        </w:rPr>
        <w:t xml:space="preserve">. Rental Corporation has </w:t>
      </w:r>
      <w:r w:rsidR="00BE0229">
        <w:rPr>
          <w:rFonts w:ascii="Arial" w:hAnsi="Arial" w:cs="Arial"/>
        </w:rPr>
        <w:t>120</w:t>
      </w:r>
      <w:r w:rsidR="00482F53" w:rsidRPr="00BE0229">
        <w:rPr>
          <w:rFonts w:ascii="Arial" w:hAnsi="Arial" w:cs="Arial"/>
        </w:rPr>
        <w:t xml:space="preserve"> days after the voluntary petition date to elect between assuming or rejecting the leases (on the basis that it could assume them and cure the defaults). If Renta</w:t>
      </w:r>
      <w:r w:rsidR="00BE0229" w:rsidRPr="00BE0229">
        <w:rPr>
          <w:rFonts w:ascii="Arial" w:hAnsi="Arial" w:cs="Arial"/>
        </w:rPr>
        <w:t xml:space="preserve">l Corporation does not elect then it will be deemed to have rejected the leases. However, if </w:t>
      </w:r>
      <w:r w:rsidR="00BE0229">
        <w:rPr>
          <w:rFonts w:ascii="Arial" w:hAnsi="Arial" w:cs="Arial"/>
        </w:rPr>
        <w:t>120</w:t>
      </w:r>
      <w:r w:rsidR="00BE0229" w:rsidRPr="00BE0229">
        <w:rPr>
          <w:rFonts w:ascii="Arial" w:hAnsi="Arial" w:cs="Arial"/>
        </w:rPr>
        <w:t xml:space="preserve"> days is not long enough to make a decision then Rental Corporation can apply to the court for </w:t>
      </w:r>
      <w:r w:rsidR="00C62C7C">
        <w:rPr>
          <w:rFonts w:ascii="Arial" w:hAnsi="Arial" w:cs="Arial"/>
        </w:rPr>
        <w:t>an additional 90 days for cause</w:t>
      </w:r>
      <w:r w:rsidR="00BE0229" w:rsidRPr="00BE0229">
        <w:rPr>
          <w:rFonts w:ascii="Arial" w:hAnsi="Arial" w:cs="Arial"/>
        </w:rPr>
        <w:t xml:space="preserve"> to make the decision. </w:t>
      </w:r>
      <w:r w:rsidR="00482F53" w:rsidRPr="00BE0229">
        <w:rPr>
          <w:rFonts w:ascii="Arial" w:hAnsi="Arial" w:cs="Arial"/>
        </w:rPr>
        <w:t xml:space="preserve"> </w:t>
      </w:r>
      <w:r w:rsidRPr="00BE0229">
        <w:rPr>
          <w:rFonts w:ascii="Arial" w:hAnsi="Arial" w:cs="Arial"/>
        </w:rPr>
        <w:t xml:space="preserve"> </w:t>
      </w:r>
    </w:p>
    <w:p w14:paraId="6CF4672E" w14:textId="77777777" w:rsidR="003C23DC" w:rsidRPr="00BE0229" w:rsidRDefault="003C23DC" w:rsidP="003C23DC">
      <w:pPr>
        <w:pStyle w:val="AODocTxt"/>
        <w:spacing w:before="0" w:line="240" w:lineRule="auto"/>
        <w:rPr>
          <w:rFonts w:ascii="Arial" w:hAnsi="Arial" w:cs="Arial"/>
        </w:rPr>
      </w:pPr>
    </w:p>
    <w:p w14:paraId="492708FD" w14:textId="39D5E982" w:rsidR="003C23DC" w:rsidRPr="003C23DC" w:rsidRDefault="003C23DC" w:rsidP="003C23DC">
      <w:pPr>
        <w:pStyle w:val="AODocTxt"/>
        <w:spacing w:before="0" w:line="240" w:lineRule="auto"/>
        <w:rPr>
          <w:rFonts w:ascii="Arial" w:hAnsi="Arial" w:cs="Arial"/>
          <w:u w:val="single"/>
        </w:rPr>
      </w:pPr>
      <w:r w:rsidRPr="00BE0229">
        <w:rPr>
          <w:rFonts w:ascii="Arial" w:hAnsi="Arial" w:cs="Arial"/>
          <w:u w:val="single"/>
        </w:rPr>
        <w:t>The credit facility</w:t>
      </w:r>
    </w:p>
    <w:p w14:paraId="13A822C2" w14:textId="77777777" w:rsidR="00EA34AF" w:rsidRPr="003C23DC" w:rsidRDefault="00EA34AF" w:rsidP="00FC7AC7">
      <w:pPr>
        <w:pStyle w:val="AODocTxt"/>
        <w:spacing w:before="0" w:line="240" w:lineRule="auto"/>
        <w:rPr>
          <w:rFonts w:ascii="Arial" w:hAnsi="Arial" w:cs="Arial"/>
        </w:rPr>
      </w:pPr>
    </w:p>
    <w:p w14:paraId="2293FD27" w14:textId="738647DC" w:rsidR="00A87EB1" w:rsidRDefault="00625A95" w:rsidP="00FC7AC7">
      <w:pPr>
        <w:jc w:val="both"/>
        <w:rPr>
          <w:rFonts w:ascii="Arial" w:hAnsi="Arial" w:cs="Arial"/>
          <w:sz w:val="22"/>
          <w:szCs w:val="22"/>
          <w:lang w:val="en-GB"/>
        </w:rPr>
      </w:pPr>
      <w:r>
        <w:rPr>
          <w:rFonts w:ascii="Arial" w:hAnsi="Arial" w:cs="Arial"/>
          <w:sz w:val="22"/>
          <w:szCs w:val="22"/>
          <w:lang w:val="en-GB"/>
        </w:rPr>
        <w:t xml:space="preserve">Upon filing a chapter 11 plenary bankruptcy petition an estate is created over all of Rental Corporation's assets as of the petition date and an automatic stay comes into effect immediately upon filing. As such, whilst Rental Corporation has defaulted on its quarterly payment on it credit facility, the Lender of the credit facility will be prevented from initiating </w:t>
      </w:r>
      <w:r>
        <w:rPr>
          <w:rFonts w:ascii="Arial" w:hAnsi="Arial" w:cs="Arial"/>
          <w:sz w:val="22"/>
          <w:szCs w:val="22"/>
          <w:lang w:val="en-GB"/>
        </w:rPr>
        <w:lastRenderedPageBreak/>
        <w:t xml:space="preserve">litigation on this default as it represents a pre-petition claim. Additionally, the Lender will be prevented from enforcing security, liens, or initiating setoff of any pre-petition debt and is also </w:t>
      </w:r>
      <w:r w:rsidR="00A87EB1">
        <w:rPr>
          <w:rFonts w:ascii="Arial" w:hAnsi="Arial" w:cs="Arial"/>
          <w:sz w:val="22"/>
          <w:szCs w:val="22"/>
          <w:lang w:val="en-GB"/>
        </w:rPr>
        <w:t>prohibited</w:t>
      </w:r>
      <w:r>
        <w:rPr>
          <w:rFonts w:ascii="Arial" w:hAnsi="Arial" w:cs="Arial"/>
          <w:sz w:val="22"/>
          <w:szCs w:val="22"/>
          <w:lang w:val="en-GB"/>
        </w:rPr>
        <w:t xml:space="preserve"> from any attempt to colle</w:t>
      </w:r>
      <w:r w:rsidR="00DA2871">
        <w:rPr>
          <w:rFonts w:ascii="Arial" w:hAnsi="Arial" w:cs="Arial"/>
          <w:sz w:val="22"/>
          <w:szCs w:val="22"/>
          <w:lang w:val="en-GB"/>
        </w:rPr>
        <w:t xml:space="preserve">ct on pre-petition claims. </w:t>
      </w:r>
    </w:p>
    <w:p w14:paraId="6C8C0F6A" w14:textId="226391F1" w:rsidR="002F75A3" w:rsidRDefault="00625A95" w:rsidP="00FC7AC7">
      <w:pPr>
        <w:jc w:val="both"/>
        <w:rPr>
          <w:rFonts w:ascii="Arial" w:hAnsi="Arial" w:cs="Arial"/>
          <w:sz w:val="22"/>
          <w:szCs w:val="22"/>
          <w:lang w:val="en-GB"/>
        </w:rPr>
      </w:pPr>
      <w:r>
        <w:rPr>
          <w:rFonts w:ascii="Arial" w:hAnsi="Arial" w:cs="Arial"/>
          <w:sz w:val="22"/>
          <w:szCs w:val="22"/>
          <w:lang w:val="en-GB"/>
        </w:rPr>
        <w:t xml:space="preserve"> </w:t>
      </w:r>
    </w:p>
    <w:p w14:paraId="5F5882E9" w14:textId="77777777" w:rsidR="003C23DC" w:rsidRPr="00FC7AC7" w:rsidRDefault="003C23DC" w:rsidP="00FC7AC7">
      <w:pPr>
        <w:jc w:val="both"/>
        <w:rPr>
          <w:rFonts w:ascii="Arial" w:hAnsi="Arial" w:cs="Arial"/>
          <w:sz w:val="22"/>
          <w:szCs w:val="22"/>
          <w:lang w:val="en-GB"/>
        </w:rPr>
      </w:pPr>
    </w:p>
    <w:p w14:paraId="40921E31" w14:textId="237103D2"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t>Question 4.2</w:t>
      </w:r>
      <w:r w:rsidR="004E5AF5">
        <w:rPr>
          <w:rFonts w:ascii="Arial" w:hAnsi="Arial" w:cs="Arial"/>
          <w:b/>
          <w:bCs/>
          <w:sz w:val="22"/>
          <w:szCs w:val="22"/>
          <w:lang w:val="en-GB"/>
        </w:rPr>
        <w:t xml:space="preserve"> [maximum 5 marks]</w:t>
      </w:r>
    </w:p>
    <w:p w14:paraId="6433B0AC" w14:textId="77777777" w:rsidR="002F75A3" w:rsidRPr="004E5AF5" w:rsidRDefault="002F75A3" w:rsidP="004E5AF5">
      <w:pPr>
        <w:jc w:val="both"/>
        <w:rPr>
          <w:rFonts w:ascii="Arial" w:hAnsi="Arial" w:cs="Arial"/>
          <w:b/>
          <w:bCs/>
          <w:sz w:val="22"/>
          <w:szCs w:val="22"/>
          <w:lang w:val="en-GB"/>
        </w:rPr>
      </w:pPr>
    </w:p>
    <w:p w14:paraId="3419731F" w14:textId="53169031" w:rsidR="004E5AF5" w:rsidRPr="00EA34AF" w:rsidRDefault="004E5AF5" w:rsidP="004E5AF5">
      <w:pPr>
        <w:pStyle w:val="AODocTxt"/>
        <w:spacing w:before="0" w:line="240" w:lineRule="auto"/>
        <w:rPr>
          <w:rFonts w:ascii="Arial" w:hAnsi="Arial" w:cs="Arial"/>
          <w:b/>
        </w:rPr>
      </w:pPr>
      <w:r w:rsidRPr="00EA34AF">
        <w:rPr>
          <w:rFonts w:ascii="Arial" w:hAnsi="Arial" w:cs="Arial"/>
          <w:b/>
        </w:rPr>
        <w:t>Considering the facts set forth in Question 4.1, what protections does the Bankruptcy Code provide to lessors of office space to Rental Corporation?</w:t>
      </w:r>
    </w:p>
    <w:p w14:paraId="23A695CC" w14:textId="48CD7F76" w:rsidR="0012224B" w:rsidRDefault="0012224B" w:rsidP="004E5AF5">
      <w:pPr>
        <w:pStyle w:val="AODocTxt"/>
        <w:spacing w:before="0" w:line="240" w:lineRule="auto"/>
        <w:rPr>
          <w:rFonts w:ascii="Arial" w:hAnsi="Arial" w:cs="Arial"/>
        </w:rPr>
      </w:pPr>
    </w:p>
    <w:p w14:paraId="5C7C0778" w14:textId="3DCBCD4C" w:rsidR="00BD4A58" w:rsidRPr="006B38FD" w:rsidRDefault="00C62C7C" w:rsidP="006B38FD">
      <w:pPr>
        <w:rPr>
          <w:rFonts w:ascii="Arial" w:hAnsi="Arial" w:cs="Arial"/>
          <w:sz w:val="22"/>
          <w:szCs w:val="22"/>
        </w:rPr>
      </w:pPr>
      <w:r w:rsidRPr="006B38FD">
        <w:rPr>
          <w:rFonts w:ascii="Arial" w:hAnsi="Arial" w:cs="Arial"/>
          <w:sz w:val="22"/>
          <w:szCs w:val="22"/>
        </w:rPr>
        <w:t xml:space="preserve">Pursuant to </w:t>
      </w:r>
      <w:r w:rsidR="00530E80" w:rsidRPr="006B38FD">
        <w:rPr>
          <w:rFonts w:ascii="Arial" w:hAnsi="Arial" w:cs="Arial"/>
          <w:sz w:val="22"/>
          <w:szCs w:val="22"/>
        </w:rPr>
        <w:t xml:space="preserve">section 365(b) of USC 11 the landlord of office space to Rental Corporation do have protections as </w:t>
      </w:r>
      <w:r w:rsidR="00C83073" w:rsidRPr="006B38FD">
        <w:rPr>
          <w:rFonts w:ascii="Arial" w:hAnsi="Arial" w:cs="Arial"/>
          <w:sz w:val="22"/>
          <w:szCs w:val="22"/>
        </w:rPr>
        <w:t xml:space="preserve">Rental Corporation may only assume the lease if it is able to cure or provide adequate assurance that it will promptly cure any monetary and non-monetary defaults with the lease and provides </w:t>
      </w:r>
      <w:r w:rsidR="00E603C3" w:rsidRPr="006B38FD">
        <w:rPr>
          <w:rFonts w:ascii="Arial" w:hAnsi="Arial" w:cs="Arial"/>
          <w:sz w:val="22"/>
          <w:szCs w:val="22"/>
        </w:rPr>
        <w:t>adequate</w:t>
      </w:r>
      <w:r w:rsidR="00C83073" w:rsidRPr="006B38FD">
        <w:rPr>
          <w:rFonts w:ascii="Arial" w:hAnsi="Arial" w:cs="Arial"/>
          <w:sz w:val="22"/>
          <w:szCs w:val="22"/>
        </w:rPr>
        <w:t xml:space="preserve"> assurance of future performance under the lease</w:t>
      </w:r>
      <w:r w:rsidR="007162C4">
        <w:rPr>
          <w:rFonts w:ascii="Arial" w:hAnsi="Arial" w:cs="Arial"/>
          <w:sz w:val="22"/>
          <w:szCs w:val="22"/>
        </w:rPr>
        <w:t xml:space="preserve">, as well as give the lessors of the office space to Rental Corporation sufficient assurances as to its future </w:t>
      </w:r>
      <w:proofErr w:type="spellStart"/>
      <w:r w:rsidR="007162C4">
        <w:rPr>
          <w:rFonts w:ascii="Arial" w:hAnsi="Arial" w:cs="Arial"/>
          <w:sz w:val="22"/>
          <w:szCs w:val="22"/>
        </w:rPr>
        <w:t>performace</w:t>
      </w:r>
      <w:proofErr w:type="spellEnd"/>
      <w:r w:rsidR="00C83073" w:rsidRPr="006B38FD">
        <w:rPr>
          <w:rFonts w:ascii="Arial" w:hAnsi="Arial" w:cs="Arial"/>
          <w:sz w:val="22"/>
          <w:szCs w:val="22"/>
        </w:rPr>
        <w:t xml:space="preserve">. </w:t>
      </w:r>
    </w:p>
    <w:p w14:paraId="7EF5D2C8" w14:textId="280DD6AD" w:rsidR="00E653A0" w:rsidRPr="006B38FD" w:rsidRDefault="00E653A0" w:rsidP="006B38FD">
      <w:pPr>
        <w:rPr>
          <w:rFonts w:ascii="Arial" w:hAnsi="Arial" w:cs="Arial"/>
          <w:sz w:val="22"/>
          <w:szCs w:val="22"/>
        </w:rPr>
      </w:pPr>
    </w:p>
    <w:p w14:paraId="35F17BD9" w14:textId="72AAA9A5" w:rsidR="00E653A0" w:rsidRPr="006B38FD" w:rsidRDefault="009726D3" w:rsidP="006B38FD">
      <w:pPr>
        <w:rPr>
          <w:rFonts w:ascii="Arial" w:hAnsi="Arial" w:cs="Arial"/>
          <w:sz w:val="22"/>
          <w:szCs w:val="22"/>
        </w:rPr>
      </w:pPr>
      <w:r w:rsidRPr="006B38FD">
        <w:rPr>
          <w:rFonts w:ascii="Arial" w:hAnsi="Arial" w:cs="Arial"/>
          <w:sz w:val="22"/>
          <w:szCs w:val="22"/>
        </w:rPr>
        <w:t>If Rental Corporation assumes the lease then Rental Corporation may remain in possession of the property, but the lease becomes a post-petition liability, with all its conditions, and the landlord has</w:t>
      </w:r>
      <w:r w:rsidR="007162C4">
        <w:rPr>
          <w:rFonts w:ascii="Arial" w:hAnsi="Arial" w:cs="Arial"/>
          <w:sz w:val="22"/>
          <w:szCs w:val="22"/>
        </w:rPr>
        <w:t>, effectively, a</w:t>
      </w:r>
      <w:r w:rsidRPr="006B38FD">
        <w:rPr>
          <w:rFonts w:ascii="Arial" w:hAnsi="Arial" w:cs="Arial"/>
          <w:sz w:val="22"/>
          <w:szCs w:val="22"/>
        </w:rPr>
        <w:t xml:space="preserve"> first-priority claim over Rental Corporation.</w:t>
      </w:r>
      <w:r w:rsidR="00C24260" w:rsidRPr="006B38FD">
        <w:rPr>
          <w:rFonts w:ascii="Arial" w:hAnsi="Arial" w:cs="Arial"/>
          <w:sz w:val="22"/>
          <w:szCs w:val="22"/>
        </w:rPr>
        <w:t xml:space="preserve"> Also, if Rental Corporation assumes the lease then it must remedy all outstanding defaults it owed to the lessor. The promptness of this remedy depends on the circumstances of the case but typically it is immediate. Further, if Rental Corporation assumes the lease and then subsequently defaults then no statutory caps on damages will apply</w:t>
      </w:r>
      <w:r w:rsidR="007162C4">
        <w:rPr>
          <w:rFonts w:ascii="Arial" w:hAnsi="Arial" w:cs="Arial"/>
          <w:sz w:val="22"/>
          <w:szCs w:val="22"/>
        </w:rPr>
        <w:t xml:space="preserve"> (contrary to where it rejects the lease; see below)</w:t>
      </w:r>
      <w:r w:rsidR="00C24260" w:rsidRPr="006B38FD">
        <w:rPr>
          <w:rFonts w:ascii="Arial" w:hAnsi="Arial" w:cs="Arial"/>
          <w:sz w:val="22"/>
          <w:szCs w:val="22"/>
        </w:rPr>
        <w:t xml:space="preserve">. </w:t>
      </w:r>
    </w:p>
    <w:p w14:paraId="4B2E0402" w14:textId="77777777" w:rsidR="00E603C3" w:rsidRPr="006B38FD" w:rsidRDefault="00E603C3" w:rsidP="006B38FD">
      <w:pPr>
        <w:rPr>
          <w:rFonts w:ascii="Arial" w:hAnsi="Arial" w:cs="Arial"/>
          <w:sz w:val="22"/>
          <w:szCs w:val="22"/>
        </w:rPr>
      </w:pPr>
    </w:p>
    <w:p w14:paraId="2CA873B6" w14:textId="77777777" w:rsidR="007162C4" w:rsidRDefault="00E603C3" w:rsidP="006B38FD">
      <w:pPr>
        <w:rPr>
          <w:rFonts w:ascii="Arial" w:hAnsi="Arial" w:cs="Arial"/>
          <w:sz w:val="22"/>
          <w:szCs w:val="22"/>
        </w:rPr>
      </w:pPr>
      <w:r w:rsidRPr="006B38FD">
        <w:rPr>
          <w:rFonts w:ascii="Arial" w:hAnsi="Arial" w:cs="Arial"/>
          <w:sz w:val="22"/>
          <w:szCs w:val="22"/>
        </w:rPr>
        <w:t>If Rental Corporation rejects the lease</w:t>
      </w:r>
      <w:r w:rsidR="00C24260" w:rsidRPr="006B38FD">
        <w:rPr>
          <w:rFonts w:ascii="Arial" w:hAnsi="Arial" w:cs="Arial"/>
          <w:sz w:val="22"/>
          <w:szCs w:val="22"/>
        </w:rPr>
        <w:t xml:space="preserve"> then it will be in breach of the least of the date the lease is rejected. Rental Corporation</w:t>
      </w:r>
      <w:r w:rsidRPr="006B38FD">
        <w:rPr>
          <w:rFonts w:ascii="Arial" w:hAnsi="Arial" w:cs="Arial"/>
          <w:sz w:val="22"/>
          <w:szCs w:val="22"/>
        </w:rPr>
        <w:t xml:space="preserve"> must vacate the space </w:t>
      </w:r>
      <w:r w:rsidR="006B38FD" w:rsidRPr="006B38FD">
        <w:rPr>
          <w:rFonts w:ascii="Arial" w:hAnsi="Arial" w:cs="Arial"/>
          <w:sz w:val="22"/>
          <w:szCs w:val="22"/>
        </w:rPr>
        <w:t>and</w:t>
      </w:r>
      <w:r w:rsidRPr="006B38FD">
        <w:rPr>
          <w:rFonts w:ascii="Arial" w:hAnsi="Arial" w:cs="Arial"/>
          <w:sz w:val="22"/>
          <w:szCs w:val="22"/>
        </w:rPr>
        <w:t xml:space="preserve"> the lessors of the space can asset a "rejection damage" claim which will be a pre-petition unsecured claim sharing pro rata with other unsecured creditors. However, pursuant to section 502(b) of USC 11 the lessors' claim for future unpaid will be capped at one year's rent or 15% of the rent not to exceed three years; but, of course, it will be able to claim for the full amount of any unpaid pre-petition amount and any unpaid post-petition amount for rent would be an administrative priority claim. </w:t>
      </w:r>
      <w:r w:rsidR="006B38FD" w:rsidRPr="006B38FD">
        <w:rPr>
          <w:rFonts w:ascii="Arial" w:hAnsi="Arial" w:cs="Arial"/>
          <w:sz w:val="22"/>
          <w:szCs w:val="22"/>
        </w:rPr>
        <w:t xml:space="preserve"> </w:t>
      </w:r>
    </w:p>
    <w:p w14:paraId="353CB90C" w14:textId="77777777" w:rsidR="007162C4" w:rsidRDefault="007162C4" w:rsidP="006B38FD">
      <w:pPr>
        <w:rPr>
          <w:rFonts w:ascii="Arial" w:hAnsi="Arial" w:cs="Arial"/>
          <w:sz w:val="22"/>
          <w:szCs w:val="22"/>
        </w:rPr>
      </w:pPr>
    </w:p>
    <w:p w14:paraId="6966E9C2" w14:textId="556BDA11" w:rsidR="006B38FD" w:rsidRPr="006B38FD" w:rsidRDefault="006B38FD" w:rsidP="006B38FD">
      <w:pPr>
        <w:rPr>
          <w:rFonts w:ascii="Arial" w:hAnsi="Arial" w:cs="Arial"/>
          <w:sz w:val="22"/>
          <w:szCs w:val="22"/>
        </w:rPr>
      </w:pPr>
      <w:r w:rsidRPr="006B38FD">
        <w:rPr>
          <w:rFonts w:ascii="Arial" w:hAnsi="Arial" w:cs="Arial"/>
          <w:sz w:val="22"/>
          <w:szCs w:val="22"/>
        </w:rPr>
        <w:t>If Rental Corporation does not vacate after rejection or post-assumption, and then it defaults on the rent, then the lessors are able to seek a stay of the Chapter 11 proceedings from the bankruptcy court which can then allow the lessors to pursue an unlawful detainer action to regain possession of the property.</w:t>
      </w:r>
    </w:p>
    <w:p w14:paraId="58F6E8EF" w14:textId="232F1C23" w:rsidR="00E603C3" w:rsidRPr="009726D3" w:rsidRDefault="00E603C3" w:rsidP="009726D3">
      <w:pPr>
        <w:rPr>
          <w:rFonts w:ascii="Arial" w:hAnsi="Arial" w:cs="Arial"/>
          <w:sz w:val="22"/>
          <w:szCs w:val="22"/>
        </w:rPr>
      </w:pPr>
    </w:p>
    <w:p w14:paraId="1A46DBF7" w14:textId="77777777" w:rsidR="00E653A0" w:rsidRPr="00BD4A58" w:rsidRDefault="00E653A0"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7AFF8488" w14:textId="7D7AEA6A" w:rsidR="00097B45" w:rsidRPr="00C83073" w:rsidRDefault="00097B45" w:rsidP="00097B45">
      <w:pPr>
        <w:pStyle w:val="AODocTxt"/>
        <w:spacing w:before="0" w:line="240" w:lineRule="auto"/>
        <w:rPr>
          <w:rFonts w:ascii="Arial" w:hAnsi="Arial" w:cs="Arial"/>
          <w:b/>
        </w:rPr>
      </w:pPr>
      <w:r w:rsidRPr="00C83073">
        <w:rPr>
          <w:rFonts w:ascii="Arial" w:hAnsi="Arial" w:cs="Arial"/>
          <w:b/>
        </w:rPr>
        <w:t>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business, but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14:paraId="67BB985E" w14:textId="6662414A" w:rsidR="009B0723" w:rsidRPr="00227079" w:rsidRDefault="009B0723" w:rsidP="00097B45">
      <w:pPr>
        <w:autoSpaceDE w:val="0"/>
        <w:autoSpaceDN w:val="0"/>
        <w:adjustRightInd w:val="0"/>
        <w:jc w:val="both"/>
        <w:rPr>
          <w:rFonts w:ascii="Arial" w:hAnsi="Arial" w:cs="Arial"/>
          <w:sz w:val="22"/>
          <w:szCs w:val="22"/>
          <w:lang w:val="en-GB"/>
        </w:rPr>
      </w:pPr>
    </w:p>
    <w:p w14:paraId="06EDE554" w14:textId="68D69EC6" w:rsidR="00C159F0" w:rsidRPr="00D23690" w:rsidRDefault="00C159F0" w:rsidP="00BD4A58">
      <w:pPr>
        <w:autoSpaceDE w:val="0"/>
        <w:autoSpaceDN w:val="0"/>
        <w:adjustRightInd w:val="0"/>
        <w:jc w:val="both"/>
        <w:rPr>
          <w:rFonts w:ascii="Arial" w:hAnsi="Arial" w:cs="Arial"/>
          <w:sz w:val="22"/>
          <w:szCs w:val="22"/>
        </w:rPr>
      </w:pPr>
      <w:r>
        <w:rPr>
          <w:rFonts w:ascii="Arial" w:hAnsi="Arial" w:cs="Arial"/>
          <w:sz w:val="22"/>
          <w:szCs w:val="22"/>
          <w:lang w:val="en-GB"/>
        </w:rPr>
        <w:lastRenderedPageBreak/>
        <w:t>Whilst in</w:t>
      </w:r>
      <w:r w:rsidRPr="00C159F0">
        <w:rPr>
          <w:rFonts w:ascii="Arial" w:hAnsi="Arial" w:cs="Arial"/>
          <w:sz w:val="22"/>
          <w:szCs w:val="22"/>
          <w:lang w:val="en-GB"/>
        </w:rPr>
        <w:t xml:space="preserve"> most cases, Paint Corporation could deal with it property in the ordinary course of business and without the need for the court's consent or creditor input</w:t>
      </w:r>
      <w:r>
        <w:rPr>
          <w:rFonts w:ascii="Arial" w:hAnsi="Arial" w:cs="Arial"/>
          <w:sz w:val="22"/>
          <w:szCs w:val="22"/>
          <w:lang w:val="en-GB"/>
        </w:rPr>
        <w:t xml:space="preserve"> in a chapter 11 process, pursuant to</w:t>
      </w:r>
      <w:r w:rsidR="00227079" w:rsidRPr="00C159F0">
        <w:rPr>
          <w:rFonts w:ascii="Arial" w:hAnsi="Arial" w:cs="Arial"/>
          <w:sz w:val="22"/>
          <w:szCs w:val="22"/>
          <w:lang w:val="en-GB"/>
        </w:rPr>
        <w:t xml:space="preserve"> section 363(b)</w:t>
      </w:r>
      <w:r w:rsidR="00A94D40">
        <w:rPr>
          <w:rFonts w:ascii="Arial" w:hAnsi="Arial" w:cs="Arial"/>
          <w:sz w:val="22"/>
          <w:szCs w:val="22"/>
          <w:lang w:val="en-GB"/>
        </w:rPr>
        <w:t>(1)</w:t>
      </w:r>
      <w:r w:rsidR="00227079" w:rsidRPr="00C159F0">
        <w:rPr>
          <w:rFonts w:ascii="Arial" w:hAnsi="Arial" w:cs="Arial"/>
          <w:sz w:val="22"/>
          <w:szCs w:val="22"/>
          <w:lang w:val="en-GB"/>
        </w:rPr>
        <w:t xml:space="preserve"> </w:t>
      </w:r>
      <w:r>
        <w:rPr>
          <w:rFonts w:ascii="Arial" w:hAnsi="Arial" w:cs="Arial"/>
          <w:sz w:val="22"/>
          <w:szCs w:val="22"/>
          <w:lang w:val="en-GB"/>
        </w:rPr>
        <w:t>of</w:t>
      </w:r>
      <w:r w:rsidR="00227079" w:rsidRPr="00C159F0">
        <w:rPr>
          <w:rFonts w:ascii="Arial" w:hAnsi="Arial" w:cs="Arial"/>
          <w:sz w:val="22"/>
          <w:szCs w:val="22"/>
          <w:lang w:val="en-GB"/>
        </w:rPr>
        <w:t xml:space="preserve"> the Bankruptcy Code </w:t>
      </w:r>
      <w:r>
        <w:rPr>
          <w:rFonts w:ascii="Arial" w:hAnsi="Arial" w:cs="Arial"/>
          <w:sz w:val="22"/>
          <w:szCs w:val="22"/>
          <w:lang w:val="en-GB"/>
        </w:rPr>
        <w:t>it will also be allowed</w:t>
      </w:r>
      <w:r w:rsidR="00652202" w:rsidRPr="00C159F0">
        <w:rPr>
          <w:rFonts w:ascii="Arial" w:hAnsi="Arial" w:cs="Arial"/>
          <w:sz w:val="22"/>
          <w:szCs w:val="22"/>
          <w:lang w:val="en-GB"/>
        </w:rPr>
        <w:t>, with the benefit of a mandatory stay,</w:t>
      </w:r>
      <w:r w:rsidR="00227079" w:rsidRPr="00C159F0">
        <w:rPr>
          <w:rFonts w:ascii="Arial" w:hAnsi="Arial" w:cs="Arial"/>
          <w:sz w:val="22"/>
          <w:szCs w:val="22"/>
          <w:lang w:val="en-GB"/>
        </w:rPr>
        <w:t xml:space="preserve"> to sell</w:t>
      </w:r>
      <w:r w:rsidR="00A94D40">
        <w:rPr>
          <w:rFonts w:ascii="Arial" w:hAnsi="Arial" w:cs="Arial"/>
          <w:sz w:val="22"/>
          <w:szCs w:val="22"/>
          <w:lang w:val="en-GB"/>
        </w:rPr>
        <w:t xml:space="preserve"> all, or substantially all, of</w:t>
      </w:r>
      <w:r w:rsidR="00227079" w:rsidRPr="00C159F0">
        <w:rPr>
          <w:rFonts w:ascii="Arial" w:hAnsi="Arial" w:cs="Arial"/>
          <w:sz w:val="22"/>
          <w:szCs w:val="22"/>
          <w:lang w:val="en-GB"/>
        </w:rPr>
        <w:t xml:space="preserve"> its assets </w:t>
      </w:r>
      <w:r>
        <w:rPr>
          <w:rFonts w:ascii="Arial" w:hAnsi="Arial" w:cs="Arial"/>
          <w:sz w:val="22"/>
          <w:szCs w:val="22"/>
          <w:lang w:val="en-GB"/>
        </w:rPr>
        <w:t>with the sanction</w:t>
      </w:r>
      <w:r w:rsidR="00227079" w:rsidRPr="00C159F0">
        <w:rPr>
          <w:rFonts w:ascii="Arial" w:hAnsi="Arial" w:cs="Arial"/>
          <w:sz w:val="22"/>
          <w:szCs w:val="22"/>
          <w:lang w:val="en-GB"/>
        </w:rPr>
        <w:t xml:space="preserve"> of the court during chapter 11 bankruptcy </w:t>
      </w:r>
      <w:r w:rsidR="00227079" w:rsidRPr="00D23690">
        <w:rPr>
          <w:rFonts w:ascii="Arial" w:hAnsi="Arial" w:cs="Arial"/>
          <w:sz w:val="22"/>
          <w:szCs w:val="22"/>
          <w:lang w:val="en-GB"/>
        </w:rPr>
        <w:t>proceeding</w:t>
      </w:r>
      <w:r w:rsidR="00227079" w:rsidRPr="00D23690">
        <w:rPr>
          <w:rFonts w:ascii="Arial" w:hAnsi="Arial" w:cs="Arial"/>
          <w:sz w:val="22"/>
          <w:szCs w:val="22"/>
        </w:rPr>
        <w:t xml:space="preserve">s. </w:t>
      </w:r>
    </w:p>
    <w:p w14:paraId="531C1950" w14:textId="77777777" w:rsidR="00275CF4" w:rsidRPr="00D23690" w:rsidRDefault="00275CF4" w:rsidP="00BD4A58">
      <w:pPr>
        <w:autoSpaceDE w:val="0"/>
        <w:autoSpaceDN w:val="0"/>
        <w:adjustRightInd w:val="0"/>
        <w:jc w:val="both"/>
        <w:rPr>
          <w:rFonts w:ascii="Arial" w:hAnsi="Arial" w:cs="Arial"/>
          <w:sz w:val="22"/>
          <w:szCs w:val="22"/>
        </w:rPr>
      </w:pPr>
    </w:p>
    <w:p w14:paraId="18F03E91" w14:textId="5F08C6AB" w:rsidR="00DE2930" w:rsidRPr="00D23690" w:rsidRDefault="00C159F0" w:rsidP="000E58FE">
      <w:pPr>
        <w:autoSpaceDE w:val="0"/>
        <w:autoSpaceDN w:val="0"/>
        <w:adjustRightInd w:val="0"/>
        <w:jc w:val="both"/>
        <w:rPr>
          <w:rFonts w:ascii="Arial" w:hAnsi="Arial" w:cs="Arial"/>
          <w:sz w:val="22"/>
          <w:szCs w:val="22"/>
          <w:lang w:val="en-GB"/>
        </w:rPr>
      </w:pPr>
      <w:r w:rsidRPr="00D23690">
        <w:rPr>
          <w:rFonts w:ascii="Arial" w:hAnsi="Arial" w:cs="Arial"/>
          <w:sz w:val="22"/>
          <w:szCs w:val="22"/>
          <w:lang w:val="en-GB"/>
        </w:rPr>
        <w:t xml:space="preserve">Pursuant to section 363(b) of </w:t>
      </w:r>
      <w:proofErr w:type="spellStart"/>
      <w:r w:rsidRPr="00D23690">
        <w:rPr>
          <w:rFonts w:ascii="Arial" w:hAnsi="Arial" w:cs="Arial"/>
          <w:sz w:val="22"/>
          <w:szCs w:val="22"/>
          <w:lang w:val="en-GB"/>
        </w:rPr>
        <w:t>Chpt</w:t>
      </w:r>
      <w:proofErr w:type="spellEnd"/>
      <w:r w:rsidRPr="00D23690">
        <w:rPr>
          <w:rFonts w:ascii="Arial" w:hAnsi="Arial" w:cs="Arial"/>
          <w:sz w:val="22"/>
          <w:szCs w:val="22"/>
          <w:lang w:val="en-GB"/>
        </w:rPr>
        <w:t xml:space="preserve"> 11, </w:t>
      </w:r>
      <w:r w:rsidR="00227079" w:rsidRPr="00D23690">
        <w:rPr>
          <w:rFonts w:ascii="Arial" w:hAnsi="Arial" w:cs="Arial"/>
          <w:sz w:val="22"/>
          <w:szCs w:val="22"/>
          <w:lang w:val="en-GB"/>
        </w:rPr>
        <w:t>Paint Corporation could apply for approval from the bankruptcy court to approve the sale</w:t>
      </w:r>
      <w:r w:rsidR="00830A96" w:rsidRPr="00D23690">
        <w:rPr>
          <w:rFonts w:ascii="Arial" w:hAnsi="Arial" w:cs="Arial"/>
          <w:sz w:val="22"/>
          <w:szCs w:val="22"/>
          <w:lang w:val="en-GB"/>
        </w:rPr>
        <w:t xml:space="preserve"> </w:t>
      </w:r>
      <w:r w:rsidR="00525820" w:rsidRPr="00D23690">
        <w:rPr>
          <w:rFonts w:ascii="Arial" w:hAnsi="Arial" w:cs="Arial"/>
          <w:sz w:val="22"/>
          <w:szCs w:val="22"/>
          <w:lang w:val="en-GB"/>
        </w:rPr>
        <w:t>of its business bar the potentially contaminated property to Home Corporation.</w:t>
      </w:r>
      <w:r w:rsidR="000E58FE" w:rsidRPr="00D23690">
        <w:rPr>
          <w:rFonts w:ascii="Arial" w:hAnsi="Arial" w:cs="Arial"/>
          <w:sz w:val="22"/>
          <w:szCs w:val="22"/>
          <w:lang w:val="en-GB"/>
        </w:rPr>
        <w:t xml:space="preserve"> </w:t>
      </w:r>
      <w:r w:rsidR="00275CF4" w:rsidRPr="00D23690">
        <w:rPr>
          <w:rFonts w:ascii="Arial" w:hAnsi="Arial" w:cs="Arial"/>
          <w:sz w:val="22"/>
          <w:szCs w:val="22"/>
        </w:rPr>
        <w:t>The section 363 sale from Paint Corporation to Home Corporation must be carried out after at least 21 days' notice to creditors (including the US Environmental Protection Agency), and is subject to a court scrutiny and sanction. </w:t>
      </w:r>
    </w:p>
    <w:p w14:paraId="3D3538AE" w14:textId="77777777" w:rsidR="00DE2930" w:rsidRPr="00D23690" w:rsidRDefault="00DE2930" w:rsidP="000E58FE">
      <w:pPr>
        <w:autoSpaceDE w:val="0"/>
        <w:autoSpaceDN w:val="0"/>
        <w:adjustRightInd w:val="0"/>
        <w:jc w:val="both"/>
        <w:rPr>
          <w:rFonts w:ascii="Arial" w:hAnsi="Arial" w:cs="Arial"/>
          <w:sz w:val="22"/>
          <w:szCs w:val="22"/>
          <w:lang w:val="en-GB"/>
        </w:rPr>
      </w:pPr>
    </w:p>
    <w:p w14:paraId="0D79C271" w14:textId="6C97BEA5" w:rsidR="000E58FE" w:rsidRPr="00D23690" w:rsidRDefault="00275CF4" w:rsidP="000E58FE">
      <w:pPr>
        <w:autoSpaceDE w:val="0"/>
        <w:autoSpaceDN w:val="0"/>
        <w:adjustRightInd w:val="0"/>
        <w:jc w:val="both"/>
        <w:rPr>
          <w:rFonts w:ascii="Arial" w:hAnsi="Arial" w:cs="Arial"/>
          <w:sz w:val="22"/>
          <w:szCs w:val="22"/>
          <w:lang w:val="en-GB"/>
        </w:rPr>
      </w:pPr>
      <w:r w:rsidRPr="00D23690">
        <w:rPr>
          <w:rFonts w:ascii="Arial" w:hAnsi="Arial" w:cs="Arial"/>
          <w:sz w:val="22"/>
          <w:szCs w:val="22"/>
          <w:lang w:val="en-GB"/>
        </w:rPr>
        <w:t xml:space="preserve">Importantly, </w:t>
      </w:r>
      <w:r w:rsidR="000E58FE" w:rsidRPr="00D23690">
        <w:rPr>
          <w:rFonts w:ascii="Arial" w:hAnsi="Arial" w:cs="Arial"/>
          <w:sz w:val="22"/>
          <w:szCs w:val="22"/>
          <w:lang w:val="en-GB"/>
        </w:rPr>
        <w:t>Paint Corporation's creditor</w:t>
      </w:r>
      <w:r w:rsidR="00652202" w:rsidRPr="00D23690">
        <w:rPr>
          <w:rFonts w:ascii="Arial" w:hAnsi="Arial" w:cs="Arial"/>
          <w:sz w:val="22"/>
          <w:szCs w:val="22"/>
          <w:lang w:val="en-GB"/>
        </w:rPr>
        <w:t>s</w:t>
      </w:r>
      <w:r w:rsidR="000E58FE" w:rsidRPr="00D23690">
        <w:rPr>
          <w:rFonts w:ascii="Arial" w:hAnsi="Arial" w:cs="Arial"/>
          <w:sz w:val="22"/>
          <w:szCs w:val="22"/>
          <w:lang w:val="en-GB"/>
        </w:rPr>
        <w:t xml:space="preserve">' approval is not necessary for the court to approve the sale, but they would have the right to object to the sale. The court considers the "Lionel factors" when determining whether to approve a </w:t>
      </w:r>
      <w:proofErr w:type="spellStart"/>
      <w:r w:rsidR="000E58FE" w:rsidRPr="00D23690">
        <w:rPr>
          <w:rFonts w:ascii="Arial" w:hAnsi="Arial" w:cs="Arial"/>
          <w:sz w:val="22"/>
          <w:szCs w:val="22"/>
          <w:lang w:val="en-GB"/>
        </w:rPr>
        <w:t>s.363</w:t>
      </w:r>
      <w:proofErr w:type="spellEnd"/>
      <w:r w:rsidR="000E58FE" w:rsidRPr="00D23690">
        <w:rPr>
          <w:rFonts w:ascii="Arial" w:hAnsi="Arial" w:cs="Arial"/>
          <w:sz w:val="22"/>
          <w:szCs w:val="22"/>
          <w:lang w:val="en-GB"/>
        </w:rPr>
        <w:t xml:space="preserve"> sale which includes, amongst other things, (</w:t>
      </w:r>
      <w:proofErr w:type="spellStart"/>
      <w:r w:rsidR="000E58FE" w:rsidRPr="00D23690">
        <w:rPr>
          <w:rFonts w:ascii="Arial" w:hAnsi="Arial" w:cs="Arial"/>
          <w:sz w:val="22"/>
          <w:szCs w:val="22"/>
          <w:lang w:val="en-GB"/>
        </w:rPr>
        <w:t>i</w:t>
      </w:r>
      <w:proofErr w:type="spellEnd"/>
      <w:r w:rsidR="000E58FE" w:rsidRPr="00D23690">
        <w:rPr>
          <w:rFonts w:ascii="Arial" w:hAnsi="Arial" w:cs="Arial"/>
          <w:sz w:val="22"/>
          <w:szCs w:val="22"/>
          <w:lang w:val="en-GB"/>
        </w:rPr>
        <w:t xml:space="preserve">) </w:t>
      </w:r>
      <w:r w:rsidR="000E58FE" w:rsidRPr="00D23690">
        <w:rPr>
          <w:rFonts w:ascii="Arial" w:hAnsi="Arial" w:cs="Arial"/>
          <w:sz w:val="22"/>
          <w:szCs w:val="22"/>
        </w:rPr>
        <w:t>the proportionate value of the assets to the estate as a whole, (ii) the elapsed time since the bankruptcy filing, and (iii) whether the asset is increasing or decreasing in value.</w:t>
      </w:r>
      <w:r w:rsidR="00DE2930" w:rsidRPr="00D23690">
        <w:rPr>
          <w:rFonts w:ascii="Arial" w:hAnsi="Arial" w:cs="Arial"/>
          <w:sz w:val="22"/>
          <w:szCs w:val="22"/>
        </w:rPr>
        <w:t xml:space="preserve"> Additionally, applying section 363(e), it may be the case that the court, exercising its discretion, may prohibit or condition the sale to Home Corporation "as is necessary to provide adequate protection" of any interests by any parties, including the US Environmental Protection Agency. </w:t>
      </w:r>
    </w:p>
    <w:p w14:paraId="12190C8A" w14:textId="77777777" w:rsidR="000E58FE" w:rsidRPr="00D23690" w:rsidRDefault="000E58FE" w:rsidP="00BD4A58">
      <w:pPr>
        <w:autoSpaceDE w:val="0"/>
        <w:autoSpaceDN w:val="0"/>
        <w:adjustRightInd w:val="0"/>
        <w:jc w:val="both"/>
        <w:rPr>
          <w:rFonts w:ascii="Arial" w:hAnsi="Arial" w:cs="Arial"/>
          <w:sz w:val="22"/>
          <w:szCs w:val="22"/>
          <w:lang w:val="en-GB"/>
        </w:rPr>
      </w:pPr>
    </w:p>
    <w:p w14:paraId="62CEA19D" w14:textId="2C5D21A4" w:rsidR="00D23690" w:rsidRPr="00D23690" w:rsidRDefault="00DE2930" w:rsidP="00BD4A58">
      <w:pPr>
        <w:autoSpaceDE w:val="0"/>
        <w:autoSpaceDN w:val="0"/>
        <w:adjustRightInd w:val="0"/>
        <w:jc w:val="both"/>
        <w:rPr>
          <w:rFonts w:ascii="Arial" w:hAnsi="Arial" w:cs="Arial"/>
          <w:sz w:val="22"/>
          <w:szCs w:val="22"/>
          <w:lang w:val="en-GB"/>
        </w:rPr>
      </w:pPr>
      <w:r w:rsidRPr="00D23690">
        <w:rPr>
          <w:rFonts w:ascii="Arial" w:hAnsi="Arial" w:cs="Arial"/>
          <w:sz w:val="22"/>
          <w:szCs w:val="22"/>
          <w:lang w:val="en-GB"/>
        </w:rPr>
        <w:t xml:space="preserve">Pursuant to section 363(f) of </w:t>
      </w:r>
      <w:proofErr w:type="spellStart"/>
      <w:r w:rsidRPr="00D23690">
        <w:rPr>
          <w:rFonts w:ascii="Arial" w:hAnsi="Arial" w:cs="Arial"/>
          <w:sz w:val="22"/>
          <w:szCs w:val="22"/>
          <w:lang w:val="en-GB"/>
        </w:rPr>
        <w:t>Chpt</w:t>
      </w:r>
      <w:proofErr w:type="spellEnd"/>
      <w:r w:rsidRPr="00D23690">
        <w:rPr>
          <w:rFonts w:ascii="Arial" w:hAnsi="Arial" w:cs="Arial"/>
          <w:sz w:val="22"/>
          <w:szCs w:val="22"/>
          <w:lang w:val="en-GB"/>
        </w:rPr>
        <w:t xml:space="preserve"> 11, Paint Corporation may sell part of its business</w:t>
      </w:r>
      <w:r w:rsidR="00D23690" w:rsidRPr="00D23690">
        <w:rPr>
          <w:rFonts w:ascii="Arial" w:hAnsi="Arial" w:cs="Arial"/>
          <w:sz w:val="22"/>
          <w:szCs w:val="22"/>
          <w:lang w:val="en-GB"/>
        </w:rPr>
        <w:t xml:space="preserve"> (i.e. all the business bar the property)</w:t>
      </w:r>
      <w:r w:rsidRPr="00D23690">
        <w:rPr>
          <w:rFonts w:ascii="Arial" w:hAnsi="Arial" w:cs="Arial"/>
          <w:sz w:val="22"/>
          <w:szCs w:val="22"/>
          <w:lang w:val="en-GB"/>
        </w:rPr>
        <w:t xml:space="preserve"> </w:t>
      </w:r>
      <w:r w:rsidR="00275CF4" w:rsidRPr="00D23690">
        <w:rPr>
          <w:rFonts w:ascii="Arial" w:hAnsi="Arial" w:cs="Arial"/>
          <w:sz w:val="22"/>
          <w:szCs w:val="22"/>
          <w:shd w:val="clear" w:color="auto" w:fill="FFFFFF"/>
        </w:rPr>
        <w:t>and the sale, which is of key importance to Home Corporation, will be, pursuant to section 363(m), free of all</w:t>
      </w:r>
      <w:r w:rsidR="00275CF4" w:rsidRPr="00D23690">
        <w:rPr>
          <w:rFonts w:ascii="Arial" w:hAnsi="Arial" w:cs="Arial"/>
          <w:sz w:val="22"/>
          <w:szCs w:val="22"/>
          <w:shd w:val="clear" w:color="auto" w:fill="FFFFFF"/>
        </w:rPr>
        <w:t xml:space="preserve"> third parties' claims to the </w:t>
      </w:r>
      <w:r w:rsidR="00275CF4" w:rsidRPr="00D23690">
        <w:rPr>
          <w:rStyle w:val="cohidesearchterm"/>
          <w:rFonts w:ascii="Arial" w:hAnsi="Arial" w:cs="Arial"/>
          <w:sz w:val="22"/>
          <w:szCs w:val="22"/>
          <w:bdr w:val="none" w:sz="0" w:space="0" w:color="auto" w:frame="1"/>
          <w:shd w:val="clear" w:color="auto" w:fill="FFFFFF"/>
        </w:rPr>
        <w:t>sale</w:t>
      </w:r>
      <w:r w:rsidR="00275CF4" w:rsidRPr="00D23690">
        <w:rPr>
          <w:rFonts w:ascii="Arial" w:hAnsi="Arial" w:cs="Arial"/>
          <w:sz w:val="22"/>
          <w:szCs w:val="22"/>
          <w:shd w:val="clear" w:color="auto" w:fill="FFFFFF"/>
        </w:rPr>
        <w:t xml:space="preserve"> assets </w:t>
      </w:r>
      <w:r w:rsidR="00275CF4" w:rsidRPr="00D23690">
        <w:rPr>
          <w:rFonts w:ascii="Arial" w:hAnsi="Arial" w:cs="Arial"/>
          <w:sz w:val="22"/>
          <w:szCs w:val="22"/>
          <w:shd w:val="clear" w:color="auto" w:fill="FFFFFF"/>
        </w:rPr>
        <w:t xml:space="preserve">if it is a good faith purchaser. Additionally, the sale of part of the business to Home Corporation can include the assignment of executory contract and unexpired leases between Paint </w:t>
      </w:r>
      <w:r w:rsidR="004A2C73" w:rsidRPr="00D23690">
        <w:rPr>
          <w:rFonts w:ascii="Arial" w:hAnsi="Arial" w:cs="Arial"/>
          <w:sz w:val="22"/>
          <w:szCs w:val="22"/>
          <w:shd w:val="clear" w:color="auto" w:fill="FFFFFF"/>
        </w:rPr>
        <w:t>Corporation</w:t>
      </w:r>
      <w:bookmarkStart w:id="1" w:name="_GoBack"/>
      <w:bookmarkEnd w:id="1"/>
      <w:r w:rsidR="00275CF4" w:rsidRPr="00D23690">
        <w:rPr>
          <w:rFonts w:ascii="Arial" w:hAnsi="Arial" w:cs="Arial"/>
          <w:sz w:val="22"/>
          <w:szCs w:val="22"/>
          <w:shd w:val="clear" w:color="auto" w:fill="FFFFFF"/>
        </w:rPr>
        <w:t xml:space="preserve"> and third parties, even if these contracts </w:t>
      </w:r>
      <w:r w:rsidR="00D23690" w:rsidRPr="00D23690">
        <w:rPr>
          <w:rFonts w:ascii="Arial" w:hAnsi="Arial" w:cs="Arial"/>
          <w:sz w:val="22"/>
          <w:szCs w:val="22"/>
          <w:shd w:val="clear" w:color="auto" w:fill="FFFFFF"/>
        </w:rPr>
        <w:t>contain ipso facto clau</w:t>
      </w:r>
      <w:r w:rsidR="00D23690" w:rsidRPr="00D23690">
        <w:rPr>
          <w:rFonts w:ascii="Arial" w:hAnsi="Arial" w:cs="Arial"/>
          <w:i/>
          <w:sz w:val="22"/>
          <w:szCs w:val="22"/>
          <w:shd w:val="clear" w:color="auto" w:fill="FFFFFF"/>
        </w:rPr>
        <w:t xml:space="preserve">ses </w:t>
      </w:r>
      <w:r w:rsidR="00D23690" w:rsidRPr="00D23690">
        <w:rPr>
          <w:rFonts w:ascii="Arial" w:hAnsi="Arial" w:cs="Arial"/>
          <w:sz w:val="22"/>
          <w:szCs w:val="22"/>
          <w:shd w:val="clear" w:color="auto" w:fill="FFFFFF"/>
        </w:rPr>
        <w:t>or even covenants against assignment (pursuant to sections</w:t>
      </w:r>
      <w:r w:rsidR="00D23690" w:rsidRPr="00D23690">
        <w:rPr>
          <w:rFonts w:ascii="Arial" w:hAnsi="Arial" w:cs="Arial"/>
          <w:i/>
          <w:sz w:val="22"/>
          <w:szCs w:val="22"/>
          <w:shd w:val="clear" w:color="auto" w:fill="FFFFFF"/>
        </w:rPr>
        <w:t xml:space="preserve"> </w:t>
      </w:r>
      <w:r w:rsidR="00D23690" w:rsidRPr="00D23690">
        <w:rPr>
          <w:rStyle w:val="Emphasis"/>
          <w:rFonts w:ascii="Arial" w:hAnsi="Arial" w:cs="Arial"/>
          <w:i w:val="0"/>
          <w:sz w:val="22"/>
          <w:szCs w:val="22"/>
          <w:bdr w:val="none" w:sz="0" w:space="0" w:color="auto" w:frame="1"/>
          <w:shd w:val="clear" w:color="auto" w:fill="FFFFFF"/>
        </w:rPr>
        <w:t>365(b)(2)(A) and 365(f)(1)</w:t>
      </w:r>
      <w:r w:rsidR="00D23690" w:rsidRPr="00D23690">
        <w:rPr>
          <w:rFonts w:ascii="Arial" w:hAnsi="Arial" w:cs="Arial"/>
          <w:i/>
          <w:sz w:val="22"/>
          <w:szCs w:val="22"/>
          <w:shd w:val="clear" w:color="auto" w:fill="FFFFFF"/>
        </w:rPr>
        <w:t>).</w:t>
      </w:r>
    </w:p>
    <w:p w14:paraId="7BC00623" w14:textId="77777777" w:rsidR="00275CF4" w:rsidRPr="00D23690" w:rsidRDefault="00275CF4" w:rsidP="00BD4A58">
      <w:pPr>
        <w:autoSpaceDE w:val="0"/>
        <w:autoSpaceDN w:val="0"/>
        <w:adjustRightInd w:val="0"/>
        <w:jc w:val="both"/>
        <w:rPr>
          <w:rFonts w:ascii="Arial" w:hAnsi="Arial" w:cs="Arial"/>
          <w:sz w:val="22"/>
          <w:szCs w:val="22"/>
          <w:lang w:val="en-GB"/>
        </w:rPr>
      </w:pPr>
    </w:p>
    <w:p w14:paraId="40985EC4" w14:textId="7D3C266F" w:rsidR="00525820" w:rsidRPr="003136F8" w:rsidRDefault="00D23690" w:rsidP="00BD4A58">
      <w:pPr>
        <w:autoSpaceDE w:val="0"/>
        <w:autoSpaceDN w:val="0"/>
        <w:adjustRightInd w:val="0"/>
        <w:jc w:val="both"/>
        <w:rPr>
          <w:rFonts w:ascii="Arial" w:hAnsi="Arial" w:cs="Arial"/>
          <w:sz w:val="22"/>
          <w:szCs w:val="22"/>
          <w:lang w:val="en-GB"/>
        </w:rPr>
      </w:pPr>
      <w:r w:rsidRPr="00D23690">
        <w:rPr>
          <w:rFonts w:ascii="Arial" w:hAnsi="Arial" w:cs="Arial"/>
          <w:sz w:val="22"/>
          <w:szCs w:val="22"/>
          <w:lang w:val="en-GB"/>
        </w:rPr>
        <w:t>Also, i</w:t>
      </w:r>
      <w:r w:rsidR="00830A96" w:rsidRPr="00D23690">
        <w:rPr>
          <w:rFonts w:ascii="Arial" w:hAnsi="Arial" w:cs="Arial"/>
          <w:sz w:val="22"/>
          <w:szCs w:val="22"/>
          <w:lang w:val="en-GB"/>
        </w:rPr>
        <w:t>f approved</w:t>
      </w:r>
      <w:r w:rsidR="00525820" w:rsidRPr="00D23690">
        <w:rPr>
          <w:rFonts w:ascii="Arial" w:hAnsi="Arial" w:cs="Arial"/>
          <w:sz w:val="22"/>
          <w:szCs w:val="22"/>
          <w:lang w:val="en-GB"/>
        </w:rPr>
        <w:t xml:space="preserve"> by the bankruptcy court</w:t>
      </w:r>
      <w:r w:rsidR="00830A96" w:rsidRPr="00D23690">
        <w:rPr>
          <w:rFonts w:ascii="Arial" w:hAnsi="Arial" w:cs="Arial"/>
          <w:sz w:val="22"/>
          <w:szCs w:val="22"/>
          <w:lang w:val="en-GB"/>
        </w:rPr>
        <w:t xml:space="preserve">, it could sell the business </w:t>
      </w:r>
      <w:r w:rsidR="00525820" w:rsidRPr="00D23690">
        <w:rPr>
          <w:rFonts w:ascii="Arial" w:hAnsi="Arial" w:cs="Arial"/>
          <w:sz w:val="22"/>
          <w:szCs w:val="22"/>
          <w:lang w:val="en-GB"/>
        </w:rPr>
        <w:t xml:space="preserve">bar the potentially contaminated property </w:t>
      </w:r>
      <w:r w:rsidR="00830A96" w:rsidRPr="00D23690">
        <w:rPr>
          <w:rFonts w:ascii="Arial" w:hAnsi="Arial" w:cs="Arial"/>
          <w:sz w:val="22"/>
          <w:szCs w:val="22"/>
          <w:lang w:val="en-GB"/>
        </w:rPr>
        <w:t xml:space="preserve">to Home Corporation </w:t>
      </w:r>
      <w:r w:rsidR="000E58FE" w:rsidRPr="00D23690">
        <w:rPr>
          <w:rFonts w:ascii="Arial" w:hAnsi="Arial" w:cs="Arial"/>
          <w:sz w:val="22"/>
          <w:szCs w:val="22"/>
          <w:lang w:val="en-GB"/>
        </w:rPr>
        <w:t xml:space="preserve">pursuant to section 363(f) of the Bankruptcy Code </w:t>
      </w:r>
      <w:r w:rsidR="00830A96" w:rsidRPr="00D23690">
        <w:rPr>
          <w:rFonts w:ascii="Arial" w:hAnsi="Arial" w:cs="Arial"/>
          <w:sz w:val="22"/>
          <w:szCs w:val="22"/>
          <w:lang w:val="en-GB"/>
        </w:rPr>
        <w:t xml:space="preserve">free and clear of any security interest or liens. </w:t>
      </w:r>
      <w:r w:rsidR="001849A5" w:rsidRPr="00D23690">
        <w:rPr>
          <w:rFonts w:ascii="Arial" w:hAnsi="Arial" w:cs="Arial"/>
          <w:sz w:val="22"/>
          <w:szCs w:val="22"/>
          <w:lang w:val="en-GB"/>
        </w:rPr>
        <w:t>In this way Paint Corporation could sell its business to Home Corporation and use the proceeds of that sale to settle any debts it may have to the US Environmental Protection Age</w:t>
      </w:r>
      <w:r w:rsidR="001849A5" w:rsidRPr="003136F8">
        <w:rPr>
          <w:rFonts w:ascii="Arial" w:hAnsi="Arial" w:cs="Arial"/>
          <w:sz w:val="22"/>
          <w:szCs w:val="22"/>
          <w:lang w:val="en-GB"/>
        </w:rPr>
        <w:t xml:space="preserve">ncy. </w:t>
      </w:r>
    </w:p>
    <w:p w14:paraId="27ABB6E4" w14:textId="77777777" w:rsidR="00525820" w:rsidRPr="003136F8" w:rsidRDefault="00525820" w:rsidP="00BD4A58">
      <w:pPr>
        <w:autoSpaceDE w:val="0"/>
        <w:autoSpaceDN w:val="0"/>
        <w:adjustRightInd w:val="0"/>
        <w:jc w:val="both"/>
        <w:rPr>
          <w:rFonts w:ascii="Arial" w:hAnsi="Arial" w:cs="Arial"/>
          <w:sz w:val="22"/>
          <w:szCs w:val="22"/>
          <w:lang w:val="en-GB"/>
        </w:rPr>
      </w:pPr>
    </w:p>
    <w:p w14:paraId="1388A141" w14:textId="23824688" w:rsidR="00DD265C" w:rsidRDefault="00DD265C" w:rsidP="00BD4A58">
      <w:pPr>
        <w:autoSpaceDE w:val="0"/>
        <w:autoSpaceDN w:val="0"/>
        <w:adjustRightInd w:val="0"/>
        <w:jc w:val="both"/>
        <w:rPr>
          <w:rFonts w:ascii="Arial" w:hAnsi="Arial" w:cs="Arial"/>
          <w:sz w:val="22"/>
          <w:szCs w:val="22"/>
          <w:lang w:val="en-GB"/>
        </w:rPr>
      </w:pPr>
      <w:r w:rsidRPr="003136F8">
        <w:rPr>
          <w:rFonts w:ascii="Arial" w:hAnsi="Arial" w:cs="Arial"/>
          <w:sz w:val="22"/>
          <w:szCs w:val="22"/>
          <w:lang w:val="en-GB"/>
        </w:rPr>
        <w:t xml:space="preserve">It should also be noted that whilst there is no defined procedure for section 363 sales, it is the case that a practice has developed to conduct an auction with "stalking horse" bidders. In this case, Paint Corporation will need to market the asset it wishes to sell (i.e. the business without the property) and then will need to invite parties to consider purchasing this. If Paint Corporation are happy with Home Corporation's offer then it can seek to agree sale documents and have those </w:t>
      </w:r>
      <w:r w:rsidR="003136F8" w:rsidRPr="003136F8">
        <w:rPr>
          <w:rFonts w:ascii="Arial" w:hAnsi="Arial" w:cs="Arial"/>
          <w:sz w:val="22"/>
          <w:szCs w:val="22"/>
          <w:lang w:val="en-GB"/>
        </w:rPr>
        <w:t>approved</w:t>
      </w:r>
      <w:r w:rsidRPr="003136F8">
        <w:rPr>
          <w:rFonts w:ascii="Arial" w:hAnsi="Arial" w:cs="Arial"/>
          <w:sz w:val="22"/>
          <w:szCs w:val="22"/>
          <w:lang w:val="en-GB"/>
        </w:rPr>
        <w:t xml:space="preserve"> by the court</w:t>
      </w:r>
      <w:r w:rsidR="003136F8" w:rsidRPr="003136F8">
        <w:rPr>
          <w:rFonts w:ascii="Arial" w:hAnsi="Arial" w:cs="Arial"/>
          <w:sz w:val="22"/>
          <w:szCs w:val="22"/>
          <w:lang w:val="en-GB"/>
        </w:rPr>
        <w:t>. If the court approves, the Home Corporation's bid will become the "stalking horse" for an auction which any other offer must beat</w:t>
      </w:r>
      <w:r w:rsidR="00A94D40">
        <w:rPr>
          <w:rFonts w:ascii="Arial" w:hAnsi="Arial" w:cs="Arial"/>
          <w:sz w:val="22"/>
          <w:szCs w:val="22"/>
          <w:lang w:val="en-GB"/>
        </w:rPr>
        <w:t xml:space="preserve"> in order to be selected. If another bid is accepted then it will likely be that Home Corporation will be paid a "break fee" but if no other bids beat Home Corporation's offer then the auction will be cancelled and its bid will be accepted. </w:t>
      </w:r>
    </w:p>
    <w:p w14:paraId="3E5F7193" w14:textId="77777777" w:rsidR="00D35FF6" w:rsidRDefault="00D35FF6" w:rsidP="00BD4A58">
      <w:pPr>
        <w:autoSpaceDE w:val="0"/>
        <w:autoSpaceDN w:val="0"/>
        <w:adjustRightInd w:val="0"/>
        <w:jc w:val="both"/>
        <w:rPr>
          <w:rFonts w:ascii="Arial" w:hAnsi="Arial" w:cs="Arial"/>
          <w:sz w:val="22"/>
          <w:szCs w:val="22"/>
          <w:lang w:val="en-GB"/>
        </w:rPr>
      </w:pPr>
    </w:p>
    <w:p w14:paraId="69C7FC68" w14:textId="68DAC80E" w:rsidR="00D35FF6" w:rsidRPr="00D35FF6" w:rsidRDefault="00D35FF6" w:rsidP="00BD4A58">
      <w:pPr>
        <w:autoSpaceDE w:val="0"/>
        <w:autoSpaceDN w:val="0"/>
        <w:adjustRightInd w:val="0"/>
        <w:jc w:val="both"/>
        <w:rPr>
          <w:rFonts w:ascii="Arial" w:hAnsi="Arial" w:cs="Arial"/>
          <w:sz w:val="22"/>
          <w:szCs w:val="22"/>
          <w:highlight w:val="green"/>
          <w:lang w:val="en-GB"/>
        </w:rPr>
      </w:pPr>
      <w:r>
        <w:rPr>
          <w:rFonts w:ascii="Arial" w:hAnsi="Arial" w:cs="Arial"/>
          <w:sz w:val="22"/>
          <w:szCs w:val="22"/>
          <w:lang w:val="en-GB"/>
        </w:rPr>
        <w:t xml:space="preserve">Additionally, Paint Corporation should be way that its sale of substantially all of its assets to Home Corporation does not fall foul of the rule in </w:t>
      </w:r>
      <w:r>
        <w:rPr>
          <w:rFonts w:ascii="Arial" w:hAnsi="Arial" w:cs="Arial"/>
          <w:i/>
          <w:sz w:val="22"/>
          <w:szCs w:val="22"/>
          <w:lang w:val="en-GB"/>
        </w:rPr>
        <w:t xml:space="preserve">In </w:t>
      </w:r>
      <w:proofErr w:type="spellStart"/>
      <w:r>
        <w:rPr>
          <w:rFonts w:ascii="Arial" w:hAnsi="Arial" w:cs="Arial"/>
          <w:i/>
          <w:sz w:val="22"/>
          <w:szCs w:val="22"/>
          <w:lang w:val="en-GB"/>
        </w:rPr>
        <w:t>Braniff</w:t>
      </w:r>
      <w:proofErr w:type="spellEnd"/>
      <w:r>
        <w:rPr>
          <w:rFonts w:ascii="Arial" w:hAnsi="Arial" w:cs="Arial"/>
          <w:i/>
          <w:sz w:val="22"/>
          <w:szCs w:val="22"/>
          <w:lang w:val="en-GB"/>
        </w:rPr>
        <w:t xml:space="preserve"> </w:t>
      </w:r>
      <w:proofErr w:type="spellStart"/>
      <w:r>
        <w:rPr>
          <w:rFonts w:ascii="Arial" w:hAnsi="Arial" w:cs="Arial"/>
          <w:i/>
          <w:sz w:val="22"/>
          <w:szCs w:val="22"/>
          <w:lang w:val="en-GB"/>
        </w:rPr>
        <w:t>Airwas</w:t>
      </w:r>
      <w:proofErr w:type="spellEnd"/>
      <w:r>
        <w:rPr>
          <w:rFonts w:ascii="Arial" w:hAnsi="Arial" w:cs="Arial"/>
          <w:i/>
          <w:sz w:val="22"/>
          <w:szCs w:val="22"/>
          <w:lang w:val="en-GB"/>
        </w:rPr>
        <w:t>, Inc.,</w:t>
      </w:r>
      <w:r>
        <w:rPr>
          <w:rFonts w:ascii="Arial" w:hAnsi="Arial" w:cs="Arial"/>
          <w:sz w:val="22"/>
          <w:szCs w:val="22"/>
          <w:lang w:val="en-GB"/>
        </w:rPr>
        <w:t xml:space="preserve"> in which it was held that the court will not approve any asset sales where such a sale is seen as an attempt to short-circuit the requirements of chapter 11 for the </w:t>
      </w:r>
      <w:proofErr w:type="spellStart"/>
      <w:r>
        <w:rPr>
          <w:rFonts w:ascii="Arial" w:hAnsi="Arial" w:cs="Arial"/>
          <w:sz w:val="22"/>
          <w:szCs w:val="22"/>
          <w:lang w:val="en-GB"/>
        </w:rPr>
        <w:t>confirmaiton</w:t>
      </w:r>
      <w:proofErr w:type="spellEnd"/>
      <w:r>
        <w:rPr>
          <w:rFonts w:ascii="Arial" w:hAnsi="Arial" w:cs="Arial"/>
          <w:sz w:val="22"/>
          <w:szCs w:val="22"/>
          <w:lang w:val="en-GB"/>
        </w:rPr>
        <w:t xml:space="preserve"> of a reorganisation plan generally. As such, Paint Corporation will need to consider what other elements of its business will remain after the sale to Home Corporation and be able to put forward a positive reorganisation case regarding them.</w:t>
      </w:r>
    </w:p>
    <w:p w14:paraId="4C0FEB60" w14:textId="77777777" w:rsidR="00DD265C" w:rsidRPr="00CC1731" w:rsidRDefault="00DD265C" w:rsidP="00BD4A58">
      <w:pPr>
        <w:autoSpaceDE w:val="0"/>
        <w:autoSpaceDN w:val="0"/>
        <w:adjustRightInd w:val="0"/>
        <w:jc w:val="both"/>
        <w:rPr>
          <w:rFonts w:ascii="Arial" w:hAnsi="Arial" w:cs="Arial"/>
          <w:sz w:val="22"/>
          <w:szCs w:val="22"/>
          <w:highlight w:val="green"/>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lastRenderedPageBreak/>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55FA1" w14:textId="77777777" w:rsidR="00CC4420" w:rsidRDefault="00CC4420" w:rsidP="00241B44">
      <w:r>
        <w:separator/>
      </w:r>
    </w:p>
  </w:endnote>
  <w:endnote w:type="continuationSeparator" w:id="0">
    <w:p w14:paraId="47301AD0" w14:textId="77777777" w:rsidR="00CC4420" w:rsidRDefault="00CC442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603C3" w:rsidRPr="00FC7B47" w:rsidRDefault="00E603C3"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603C3" w:rsidRPr="00FC7B47" w:rsidRDefault="00E603C3"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1E0E21D6" w:rsidR="00E603C3" w:rsidRPr="009B4976" w:rsidRDefault="00E603C3" w:rsidP="00E603C3">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6B0039">
          <w:rPr>
            <w:rStyle w:val="PageNumber"/>
            <w:rFonts w:ascii="Arial" w:hAnsi="Arial" w:cs="Arial"/>
            <w:noProof/>
            <w:sz w:val="18"/>
            <w:szCs w:val="18"/>
          </w:rPr>
          <w:t>13</w:t>
        </w:r>
        <w:r w:rsidRPr="009B4976">
          <w:rPr>
            <w:rStyle w:val="PageNumber"/>
            <w:rFonts w:ascii="Arial" w:hAnsi="Arial" w:cs="Arial"/>
            <w:sz w:val="18"/>
            <w:szCs w:val="18"/>
          </w:rPr>
          <w:fldChar w:fldCharType="end"/>
        </w:r>
      </w:p>
    </w:sdtContent>
  </w:sdt>
  <w:p w14:paraId="30F05E79" w14:textId="1FCFB237" w:rsidR="00E603C3" w:rsidRPr="009B4976" w:rsidRDefault="001D6880" w:rsidP="009B4976">
    <w:pPr>
      <w:pStyle w:val="Footer"/>
      <w:ind w:right="360"/>
      <w:rPr>
        <w:rFonts w:ascii="Arial" w:hAnsi="Arial" w:cs="Arial"/>
        <w:sz w:val="18"/>
        <w:szCs w:val="18"/>
        <w:lang w:val="en-GB"/>
      </w:rPr>
    </w:pPr>
    <w:proofErr w:type="spellStart"/>
    <w:r>
      <w:rPr>
        <w:rFonts w:ascii="Arial" w:hAnsi="Arial" w:cs="Arial"/>
        <w:sz w:val="18"/>
        <w:szCs w:val="18"/>
        <w:lang w:val="en-GB"/>
      </w:rPr>
      <w:t>202021IFU-224</w:t>
    </w:r>
    <w:r w:rsidR="00E603C3" w:rsidRPr="009B4976">
      <w:rPr>
        <w:rFonts w:ascii="Arial" w:hAnsi="Arial" w:cs="Arial"/>
        <w:sz w:val="18"/>
        <w:szCs w:val="18"/>
        <w:lang w:val="en-GB"/>
      </w:rPr>
      <w:t>.assessment</w:t>
    </w:r>
    <w:r w:rsidR="00E603C3">
      <w:rPr>
        <w:rFonts w:ascii="Arial" w:hAnsi="Arial" w:cs="Arial"/>
        <w:sz w:val="18"/>
        <w:szCs w:val="18"/>
        <w:lang w:val="en-GB"/>
      </w:rPr>
      <w:t>3A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2EFB" w14:textId="77777777" w:rsidR="00CC4420" w:rsidRDefault="00CC4420" w:rsidP="00241B44">
      <w:r>
        <w:separator/>
      </w:r>
    </w:p>
  </w:footnote>
  <w:footnote w:type="continuationSeparator" w:id="0">
    <w:p w14:paraId="7E9AD7C6" w14:textId="77777777" w:rsidR="00CC4420" w:rsidRDefault="00CC442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0152A"/>
    <w:multiLevelType w:val="hybridMultilevel"/>
    <w:tmpl w:val="6054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1020E6"/>
    <w:multiLevelType w:val="hybridMultilevel"/>
    <w:tmpl w:val="A3B4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F75B10"/>
    <w:multiLevelType w:val="hybridMultilevel"/>
    <w:tmpl w:val="97A07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23"/>
  </w:num>
  <w:num w:numId="5">
    <w:abstractNumId w:val="16"/>
  </w:num>
  <w:num w:numId="6">
    <w:abstractNumId w:val="0"/>
  </w:num>
  <w:num w:numId="7">
    <w:abstractNumId w:val="11"/>
  </w:num>
  <w:num w:numId="8">
    <w:abstractNumId w:val="1"/>
  </w:num>
  <w:num w:numId="9">
    <w:abstractNumId w:val="5"/>
  </w:num>
  <w:num w:numId="10">
    <w:abstractNumId w:val="6"/>
  </w:num>
  <w:num w:numId="11">
    <w:abstractNumId w:val="17"/>
  </w:num>
  <w:num w:numId="12">
    <w:abstractNumId w:val="27"/>
  </w:num>
  <w:num w:numId="13">
    <w:abstractNumId w:val="34"/>
  </w:num>
  <w:num w:numId="14">
    <w:abstractNumId w:val="7"/>
  </w:num>
  <w:num w:numId="15">
    <w:abstractNumId w:val="8"/>
  </w:num>
  <w:num w:numId="16">
    <w:abstractNumId w:val="12"/>
  </w:num>
  <w:num w:numId="17">
    <w:abstractNumId w:val="33"/>
  </w:num>
  <w:num w:numId="18">
    <w:abstractNumId w:val="20"/>
  </w:num>
  <w:num w:numId="19">
    <w:abstractNumId w:val="25"/>
  </w:num>
  <w:num w:numId="20">
    <w:abstractNumId w:val="4"/>
  </w:num>
  <w:num w:numId="21">
    <w:abstractNumId w:val="10"/>
  </w:num>
  <w:num w:numId="22">
    <w:abstractNumId w:val="28"/>
  </w:num>
  <w:num w:numId="23">
    <w:abstractNumId w:val="2"/>
  </w:num>
  <w:num w:numId="24">
    <w:abstractNumId w:val="22"/>
  </w:num>
  <w:num w:numId="25">
    <w:abstractNumId w:val="3"/>
  </w:num>
  <w:num w:numId="26">
    <w:abstractNumId w:val="15"/>
  </w:num>
  <w:num w:numId="27">
    <w:abstractNumId w:val="24"/>
  </w:num>
  <w:num w:numId="28">
    <w:abstractNumId w:val="21"/>
  </w:num>
  <w:num w:numId="29">
    <w:abstractNumId w:val="14"/>
  </w:num>
  <w:num w:numId="30">
    <w:abstractNumId w:val="35"/>
  </w:num>
  <w:num w:numId="31">
    <w:abstractNumId w:val="9"/>
  </w:num>
  <w:num w:numId="32">
    <w:abstractNumId w:val="32"/>
  </w:num>
  <w:num w:numId="33">
    <w:abstractNumId w:val="19"/>
  </w:num>
  <w:num w:numId="34">
    <w:abstractNumId w:val="30"/>
  </w:num>
  <w:num w:numId="35">
    <w:abstractNumId w:val="13"/>
  </w:num>
  <w:num w:numId="3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2E00"/>
    <w:rsid w:val="000250C7"/>
    <w:rsid w:val="00026F16"/>
    <w:rsid w:val="00032B6E"/>
    <w:rsid w:val="00037621"/>
    <w:rsid w:val="00037671"/>
    <w:rsid w:val="00044D46"/>
    <w:rsid w:val="00045088"/>
    <w:rsid w:val="000458B6"/>
    <w:rsid w:val="00045904"/>
    <w:rsid w:val="000502FD"/>
    <w:rsid w:val="00065166"/>
    <w:rsid w:val="00082609"/>
    <w:rsid w:val="000851CC"/>
    <w:rsid w:val="00091960"/>
    <w:rsid w:val="00093BE8"/>
    <w:rsid w:val="00097B45"/>
    <w:rsid w:val="000A407B"/>
    <w:rsid w:val="000A636A"/>
    <w:rsid w:val="000A6614"/>
    <w:rsid w:val="000A68ED"/>
    <w:rsid w:val="000B5FF1"/>
    <w:rsid w:val="000B609F"/>
    <w:rsid w:val="000C4C5B"/>
    <w:rsid w:val="000D55A8"/>
    <w:rsid w:val="000E4841"/>
    <w:rsid w:val="000E58FE"/>
    <w:rsid w:val="000F1677"/>
    <w:rsid w:val="000F3D6C"/>
    <w:rsid w:val="000F7FC2"/>
    <w:rsid w:val="00101707"/>
    <w:rsid w:val="00102CC9"/>
    <w:rsid w:val="0011473D"/>
    <w:rsid w:val="00115C85"/>
    <w:rsid w:val="0012224B"/>
    <w:rsid w:val="00123855"/>
    <w:rsid w:val="00126A4D"/>
    <w:rsid w:val="0014171F"/>
    <w:rsid w:val="0014622C"/>
    <w:rsid w:val="001466A6"/>
    <w:rsid w:val="00152348"/>
    <w:rsid w:val="0015456D"/>
    <w:rsid w:val="00155FA2"/>
    <w:rsid w:val="00160679"/>
    <w:rsid w:val="00161F1B"/>
    <w:rsid w:val="00162829"/>
    <w:rsid w:val="001734F7"/>
    <w:rsid w:val="00180548"/>
    <w:rsid w:val="00180AC4"/>
    <w:rsid w:val="00180CCE"/>
    <w:rsid w:val="0018267A"/>
    <w:rsid w:val="00182779"/>
    <w:rsid w:val="001830DF"/>
    <w:rsid w:val="001849A5"/>
    <w:rsid w:val="00194260"/>
    <w:rsid w:val="001966D9"/>
    <w:rsid w:val="001A049C"/>
    <w:rsid w:val="001A7E9A"/>
    <w:rsid w:val="001B0F70"/>
    <w:rsid w:val="001B5016"/>
    <w:rsid w:val="001C45FC"/>
    <w:rsid w:val="001D0469"/>
    <w:rsid w:val="001D4862"/>
    <w:rsid w:val="001D64E9"/>
    <w:rsid w:val="001D6880"/>
    <w:rsid w:val="001E25B9"/>
    <w:rsid w:val="001E49E0"/>
    <w:rsid w:val="001E7B5A"/>
    <w:rsid w:val="001F4D20"/>
    <w:rsid w:val="001F7412"/>
    <w:rsid w:val="00202DFE"/>
    <w:rsid w:val="0020725B"/>
    <w:rsid w:val="002110F1"/>
    <w:rsid w:val="00223917"/>
    <w:rsid w:val="00227079"/>
    <w:rsid w:val="0024116D"/>
    <w:rsid w:val="00241B44"/>
    <w:rsid w:val="00241FA3"/>
    <w:rsid w:val="0024248B"/>
    <w:rsid w:val="00245EFB"/>
    <w:rsid w:val="0025386E"/>
    <w:rsid w:val="00256B74"/>
    <w:rsid w:val="002638B0"/>
    <w:rsid w:val="0026647A"/>
    <w:rsid w:val="002668D3"/>
    <w:rsid w:val="002669F7"/>
    <w:rsid w:val="0027299F"/>
    <w:rsid w:val="00275CF4"/>
    <w:rsid w:val="00284EBE"/>
    <w:rsid w:val="002903A7"/>
    <w:rsid w:val="0029433F"/>
    <w:rsid w:val="00294829"/>
    <w:rsid w:val="0029690F"/>
    <w:rsid w:val="00297C8A"/>
    <w:rsid w:val="002A2A60"/>
    <w:rsid w:val="002A37BB"/>
    <w:rsid w:val="002B1C45"/>
    <w:rsid w:val="002C13C8"/>
    <w:rsid w:val="002C3547"/>
    <w:rsid w:val="002C7761"/>
    <w:rsid w:val="002D0021"/>
    <w:rsid w:val="002D299D"/>
    <w:rsid w:val="002D3473"/>
    <w:rsid w:val="002D6789"/>
    <w:rsid w:val="002D78C5"/>
    <w:rsid w:val="002F1956"/>
    <w:rsid w:val="002F3440"/>
    <w:rsid w:val="002F75A3"/>
    <w:rsid w:val="00301D2B"/>
    <w:rsid w:val="00303C2F"/>
    <w:rsid w:val="003136F8"/>
    <w:rsid w:val="003144EF"/>
    <w:rsid w:val="00322878"/>
    <w:rsid w:val="003229BE"/>
    <w:rsid w:val="00326292"/>
    <w:rsid w:val="00326415"/>
    <w:rsid w:val="00330937"/>
    <w:rsid w:val="00330F31"/>
    <w:rsid w:val="00331593"/>
    <w:rsid w:val="00334648"/>
    <w:rsid w:val="0033768C"/>
    <w:rsid w:val="00337938"/>
    <w:rsid w:val="00340769"/>
    <w:rsid w:val="00341AA6"/>
    <w:rsid w:val="003502EB"/>
    <w:rsid w:val="00356AF5"/>
    <w:rsid w:val="00361A0A"/>
    <w:rsid w:val="00364836"/>
    <w:rsid w:val="0036565C"/>
    <w:rsid w:val="00365B77"/>
    <w:rsid w:val="0036625E"/>
    <w:rsid w:val="0037465A"/>
    <w:rsid w:val="003805D7"/>
    <w:rsid w:val="00382C98"/>
    <w:rsid w:val="0038533C"/>
    <w:rsid w:val="00386568"/>
    <w:rsid w:val="00390B57"/>
    <w:rsid w:val="00391F59"/>
    <w:rsid w:val="003925AF"/>
    <w:rsid w:val="003948D5"/>
    <w:rsid w:val="00396821"/>
    <w:rsid w:val="00397D3A"/>
    <w:rsid w:val="003A051E"/>
    <w:rsid w:val="003B170F"/>
    <w:rsid w:val="003B3C5F"/>
    <w:rsid w:val="003C23DC"/>
    <w:rsid w:val="003C4471"/>
    <w:rsid w:val="003C53FE"/>
    <w:rsid w:val="003D0A6D"/>
    <w:rsid w:val="003E03AF"/>
    <w:rsid w:val="003E0B16"/>
    <w:rsid w:val="003E67D1"/>
    <w:rsid w:val="003F50B4"/>
    <w:rsid w:val="00404329"/>
    <w:rsid w:val="004044DF"/>
    <w:rsid w:val="00405DC1"/>
    <w:rsid w:val="00415F1F"/>
    <w:rsid w:val="00415F4C"/>
    <w:rsid w:val="0042108F"/>
    <w:rsid w:val="004248F6"/>
    <w:rsid w:val="004273B0"/>
    <w:rsid w:val="00430FED"/>
    <w:rsid w:val="00434A8C"/>
    <w:rsid w:val="00437297"/>
    <w:rsid w:val="00444284"/>
    <w:rsid w:val="00445CE6"/>
    <w:rsid w:val="004534C2"/>
    <w:rsid w:val="0045446F"/>
    <w:rsid w:val="00455018"/>
    <w:rsid w:val="0045683E"/>
    <w:rsid w:val="00477C72"/>
    <w:rsid w:val="00482F53"/>
    <w:rsid w:val="00486A7A"/>
    <w:rsid w:val="00491675"/>
    <w:rsid w:val="00491E68"/>
    <w:rsid w:val="00493855"/>
    <w:rsid w:val="00495E79"/>
    <w:rsid w:val="004A2C73"/>
    <w:rsid w:val="004A57DD"/>
    <w:rsid w:val="004A7B51"/>
    <w:rsid w:val="004A7D71"/>
    <w:rsid w:val="004A7EF3"/>
    <w:rsid w:val="004B11FD"/>
    <w:rsid w:val="004B23A2"/>
    <w:rsid w:val="004D1A5A"/>
    <w:rsid w:val="004D2FFF"/>
    <w:rsid w:val="004D3721"/>
    <w:rsid w:val="004D3B3B"/>
    <w:rsid w:val="004D46AC"/>
    <w:rsid w:val="004D64F9"/>
    <w:rsid w:val="004E3A6B"/>
    <w:rsid w:val="004E5AF5"/>
    <w:rsid w:val="004E622C"/>
    <w:rsid w:val="004F5FDF"/>
    <w:rsid w:val="004F7B99"/>
    <w:rsid w:val="00515810"/>
    <w:rsid w:val="005177FE"/>
    <w:rsid w:val="0052263B"/>
    <w:rsid w:val="00524728"/>
    <w:rsid w:val="00525820"/>
    <w:rsid w:val="00530E80"/>
    <w:rsid w:val="005331CA"/>
    <w:rsid w:val="00537970"/>
    <w:rsid w:val="00540E3A"/>
    <w:rsid w:val="00544127"/>
    <w:rsid w:val="00545528"/>
    <w:rsid w:val="005463A9"/>
    <w:rsid w:val="00553EB2"/>
    <w:rsid w:val="00560534"/>
    <w:rsid w:val="0056391B"/>
    <w:rsid w:val="005650E2"/>
    <w:rsid w:val="00565632"/>
    <w:rsid w:val="005661CE"/>
    <w:rsid w:val="00567AD7"/>
    <w:rsid w:val="00575B2D"/>
    <w:rsid w:val="005827C7"/>
    <w:rsid w:val="005833D0"/>
    <w:rsid w:val="00583D8E"/>
    <w:rsid w:val="005846F3"/>
    <w:rsid w:val="0058622F"/>
    <w:rsid w:val="00587019"/>
    <w:rsid w:val="00592F82"/>
    <w:rsid w:val="005A0CCA"/>
    <w:rsid w:val="005A477A"/>
    <w:rsid w:val="005A4DE3"/>
    <w:rsid w:val="005A6FF2"/>
    <w:rsid w:val="005A726D"/>
    <w:rsid w:val="005B08F9"/>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5A95"/>
    <w:rsid w:val="00627CC9"/>
    <w:rsid w:val="00627E7B"/>
    <w:rsid w:val="00630542"/>
    <w:rsid w:val="00632E44"/>
    <w:rsid w:val="00634622"/>
    <w:rsid w:val="00636808"/>
    <w:rsid w:val="00641515"/>
    <w:rsid w:val="00652202"/>
    <w:rsid w:val="00654C2F"/>
    <w:rsid w:val="00657087"/>
    <w:rsid w:val="006639DB"/>
    <w:rsid w:val="006661EF"/>
    <w:rsid w:val="00677AEB"/>
    <w:rsid w:val="00680EF2"/>
    <w:rsid w:val="00687A1D"/>
    <w:rsid w:val="006938B0"/>
    <w:rsid w:val="00697EA1"/>
    <w:rsid w:val="006A2646"/>
    <w:rsid w:val="006A6530"/>
    <w:rsid w:val="006B0039"/>
    <w:rsid w:val="006B2C78"/>
    <w:rsid w:val="006B3571"/>
    <w:rsid w:val="006B38FD"/>
    <w:rsid w:val="006B435A"/>
    <w:rsid w:val="006B4C64"/>
    <w:rsid w:val="006C729B"/>
    <w:rsid w:val="006D6BD5"/>
    <w:rsid w:val="006E481A"/>
    <w:rsid w:val="006E5298"/>
    <w:rsid w:val="006F4A78"/>
    <w:rsid w:val="006F734A"/>
    <w:rsid w:val="00700D83"/>
    <w:rsid w:val="00704852"/>
    <w:rsid w:val="007074E9"/>
    <w:rsid w:val="007077BD"/>
    <w:rsid w:val="00713DA4"/>
    <w:rsid w:val="00714BF1"/>
    <w:rsid w:val="007162C4"/>
    <w:rsid w:val="00717C2C"/>
    <w:rsid w:val="00721383"/>
    <w:rsid w:val="0073158B"/>
    <w:rsid w:val="007333CC"/>
    <w:rsid w:val="0073399A"/>
    <w:rsid w:val="00734A59"/>
    <w:rsid w:val="007405CC"/>
    <w:rsid w:val="007603F5"/>
    <w:rsid w:val="00764063"/>
    <w:rsid w:val="00764DB0"/>
    <w:rsid w:val="0076764D"/>
    <w:rsid w:val="0077498C"/>
    <w:rsid w:val="00777C53"/>
    <w:rsid w:val="007809BC"/>
    <w:rsid w:val="00784128"/>
    <w:rsid w:val="00787BCC"/>
    <w:rsid w:val="00793173"/>
    <w:rsid w:val="00793A47"/>
    <w:rsid w:val="007A2A33"/>
    <w:rsid w:val="007B5C89"/>
    <w:rsid w:val="007C1FCC"/>
    <w:rsid w:val="007C6201"/>
    <w:rsid w:val="007D054B"/>
    <w:rsid w:val="007D4C3A"/>
    <w:rsid w:val="007D7C92"/>
    <w:rsid w:val="007E0F46"/>
    <w:rsid w:val="007E1154"/>
    <w:rsid w:val="007E6BA4"/>
    <w:rsid w:val="007F12AB"/>
    <w:rsid w:val="007F41F8"/>
    <w:rsid w:val="007F659B"/>
    <w:rsid w:val="008010B8"/>
    <w:rsid w:val="0080454E"/>
    <w:rsid w:val="00804C32"/>
    <w:rsid w:val="00805305"/>
    <w:rsid w:val="00806302"/>
    <w:rsid w:val="00807119"/>
    <w:rsid w:val="0082483F"/>
    <w:rsid w:val="008279C0"/>
    <w:rsid w:val="00830A96"/>
    <w:rsid w:val="0083132D"/>
    <w:rsid w:val="008358D7"/>
    <w:rsid w:val="0086247A"/>
    <w:rsid w:val="008723F3"/>
    <w:rsid w:val="008736FB"/>
    <w:rsid w:val="008756F1"/>
    <w:rsid w:val="00877B90"/>
    <w:rsid w:val="00881DE6"/>
    <w:rsid w:val="008837A6"/>
    <w:rsid w:val="0089145D"/>
    <w:rsid w:val="008A4DF2"/>
    <w:rsid w:val="008A6CFE"/>
    <w:rsid w:val="008B5333"/>
    <w:rsid w:val="008B6223"/>
    <w:rsid w:val="008C66E0"/>
    <w:rsid w:val="008C6E19"/>
    <w:rsid w:val="008E3339"/>
    <w:rsid w:val="008F20FC"/>
    <w:rsid w:val="008F5FFE"/>
    <w:rsid w:val="00902FA7"/>
    <w:rsid w:val="00905A43"/>
    <w:rsid w:val="00912C79"/>
    <w:rsid w:val="00921B8C"/>
    <w:rsid w:val="00922AFA"/>
    <w:rsid w:val="0092565E"/>
    <w:rsid w:val="0093467C"/>
    <w:rsid w:val="00942123"/>
    <w:rsid w:val="0095207B"/>
    <w:rsid w:val="00962045"/>
    <w:rsid w:val="009726D3"/>
    <w:rsid w:val="00980E61"/>
    <w:rsid w:val="009839A2"/>
    <w:rsid w:val="00991428"/>
    <w:rsid w:val="00992676"/>
    <w:rsid w:val="009954B2"/>
    <w:rsid w:val="00996691"/>
    <w:rsid w:val="009A7122"/>
    <w:rsid w:val="009B0723"/>
    <w:rsid w:val="009B07AD"/>
    <w:rsid w:val="009B0883"/>
    <w:rsid w:val="009B15E2"/>
    <w:rsid w:val="009B4976"/>
    <w:rsid w:val="009C0B8E"/>
    <w:rsid w:val="009C1BC8"/>
    <w:rsid w:val="009C2442"/>
    <w:rsid w:val="009D0811"/>
    <w:rsid w:val="009D0EE1"/>
    <w:rsid w:val="009E2AEB"/>
    <w:rsid w:val="009E2C75"/>
    <w:rsid w:val="009E2E27"/>
    <w:rsid w:val="009E45DF"/>
    <w:rsid w:val="009E4DE3"/>
    <w:rsid w:val="009F275E"/>
    <w:rsid w:val="009F3CFE"/>
    <w:rsid w:val="00A024E7"/>
    <w:rsid w:val="00A047EE"/>
    <w:rsid w:val="00A2274A"/>
    <w:rsid w:val="00A235B7"/>
    <w:rsid w:val="00A27A7A"/>
    <w:rsid w:val="00A3165E"/>
    <w:rsid w:val="00A34ABE"/>
    <w:rsid w:val="00A40736"/>
    <w:rsid w:val="00A407EF"/>
    <w:rsid w:val="00A46B4C"/>
    <w:rsid w:val="00A5117B"/>
    <w:rsid w:val="00A56D34"/>
    <w:rsid w:val="00A60074"/>
    <w:rsid w:val="00A6627C"/>
    <w:rsid w:val="00A71019"/>
    <w:rsid w:val="00A748A8"/>
    <w:rsid w:val="00A81029"/>
    <w:rsid w:val="00A81CF2"/>
    <w:rsid w:val="00A87EB1"/>
    <w:rsid w:val="00A94D40"/>
    <w:rsid w:val="00A95463"/>
    <w:rsid w:val="00A96489"/>
    <w:rsid w:val="00AA7BE3"/>
    <w:rsid w:val="00AB1B65"/>
    <w:rsid w:val="00AB2425"/>
    <w:rsid w:val="00AB685C"/>
    <w:rsid w:val="00AB6C2D"/>
    <w:rsid w:val="00AC08F7"/>
    <w:rsid w:val="00AC1635"/>
    <w:rsid w:val="00AC176C"/>
    <w:rsid w:val="00AC3839"/>
    <w:rsid w:val="00AC7082"/>
    <w:rsid w:val="00AD4BE8"/>
    <w:rsid w:val="00AF228E"/>
    <w:rsid w:val="00B016A8"/>
    <w:rsid w:val="00B10961"/>
    <w:rsid w:val="00B12612"/>
    <w:rsid w:val="00B14819"/>
    <w:rsid w:val="00B15E2F"/>
    <w:rsid w:val="00B17AA9"/>
    <w:rsid w:val="00B27E6E"/>
    <w:rsid w:val="00B370F8"/>
    <w:rsid w:val="00B44713"/>
    <w:rsid w:val="00B56103"/>
    <w:rsid w:val="00B64929"/>
    <w:rsid w:val="00B736DF"/>
    <w:rsid w:val="00B743D6"/>
    <w:rsid w:val="00B74FBD"/>
    <w:rsid w:val="00B77F46"/>
    <w:rsid w:val="00B82586"/>
    <w:rsid w:val="00B829A3"/>
    <w:rsid w:val="00B86DB1"/>
    <w:rsid w:val="00B87869"/>
    <w:rsid w:val="00B910CE"/>
    <w:rsid w:val="00B9639B"/>
    <w:rsid w:val="00B97DB2"/>
    <w:rsid w:val="00BA7070"/>
    <w:rsid w:val="00BB0F2B"/>
    <w:rsid w:val="00BD3507"/>
    <w:rsid w:val="00BD4A58"/>
    <w:rsid w:val="00BD7337"/>
    <w:rsid w:val="00BE0229"/>
    <w:rsid w:val="00BE4FF3"/>
    <w:rsid w:val="00BF50F7"/>
    <w:rsid w:val="00BF596F"/>
    <w:rsid w:val="00C01F71"/>
    <w:rsid w:val="00C02F29"/>
    <w:rsid w:val="00C061A0"/>
    <w:rsid w:val="00C159F0"/>
    <w:rsid w:val="00C20AFE"/>
    <w:rsid w:val="00C22A25"/>
    <w:rsid w:val="00C24260"/>
    <w:rsid w:val="00C35671"/>
    <w:rsid w:val="00C35B77"/>
    <w:rsid w:val="00C362AA"/>
    <w:rsid w:val="00C36F94"/>
    <w:rsid w:val="00C376EB"/>
    <w:rsid w:val="00C46A92"/>
    <w:rsid w:val="00C46EC1"/>
    <w:rsid w:val="00C52796"/>
    <w:rsid w:val="00C53E2C"/>
    <w:rsid w:val="00C550C8"/>
    <w:rsid w:val="00C5542B"/>
    <w:rsid w:val="00C56B61"/>
    <w:rsid w:val="00C606C3"/>
    <w:rsid w:val="00C620F4"/>
    <w:rsid w:val="00C62C7C"/>
    <w:rsid w:val="00C651D6"/>
    <w:rsid w:val="00C72848"/>
    <w:rsid w:val="00C7736C"/>
    <w:rsid w:val="00C82D87"/>
    <w:rsid w:val="00C83073"/>
    <w:rsid w:val="00C8712A"/>
    <w:rsid w:val="00C87E0A"/>
    <w:rsid w:val="00C902C8"/>
    <w:rsid w:val="00C919D1"/>
    <w:rsid w:val="00C963D3"/>
    <w:rsid w:val="00CB1983"/>
    <w:rsid w:val="00CB2CBB"/>
    <w:rsid w:val="00CB6578"/>
    <w:rsid w:val="00CB7CAC"/>
    <w:rsid w:val="00CC1731"/>
    <w:rsid w:val="00CC4420"/>
    <w:rsid w:val="00CC4818"/>
    <w:rsid w:val="00CC5335"/>
    <w:rsid w:val="00CC5BA4"/>
    <w:rsid w:val="00CD4998"/>
    <w:rsid w:val="00CE1035"/>
    <w:rsid w:val="00CE6E50"/>
    <w:rsid w:val="00CF2819"/>
    <w:rsid w:val="00CF4F9D"/>
    <w:rsid w:val="00CF5208"/>
    <w:rsid w:val="00CF70DC"/>
    <w:rsid w:val="00D00BA8"/>
    <w:rsid w:val="00D00F54"/>
    <w:rsid w:val="00D023F0"/>
    <w:rsid w:val="00D041E0"/>
    <w:rsid w:val="00D04542"/>
    <w:rsid w:val="00D14336"/>
    <w:rsid w:val="00D148DC"/>
    <w:rsid w:val="00D17FDC"/>
    <w:rsid w:val="00D21021"/>
    <w:rsid w:val="00D21170"/>
    <w:rsid w:val="00D21D8C"/>
    <w:rsid w:val="00D23690"/>
    <w:rsid w:val="00D316F2"/>
    <w:rsid w:val="00D35345"/>
    <w:rsid w:val="00D35FF6"/>
    <w:rsid w:val="00D458A7"/>
    <w:rsid w:val="00D53719"/>
    <w:rsid w:val="00D63EFD"/>
    <w:rsid w:val="00D84752"/>
    <w:rsid w:val="00D86B3B"/>
    <w:rsid w:val="00D8748A"/>
    <w:rsid w:val="00D93196"/>
    <w:rsid w:val="00D961A1"/>
    <w:rsid w:val="00DA0DC0"/>
    <w:rsid w:val="00DA1D45"/>
    <w:rsid w:val="00DA2871"/>
    <w:rsid w:val="00DB243C"/>
    <w:rsid w:val="00DB482A"/>
    <w:rsid w:val="00DB50FB"/>
    <w:rsid w:val="00DB56F2"/>
    <w:rsid w:val="00DB6EF5"/>
    <w:rsid w:val="00DC3089"/>
    <w:rsid w:val="00DC4420"/>
    <w:rsid w:val="00DD0802"/>
    <w:rsid w:val="00DD265C"/>
    <w:rsid w:val="00DD2E11"/>
    <w:rsid w:val="00DE03AF"/>
    <w:rsid w:val="00DE121C"/>
    <w:rsid w:val="00DE2930"/>
    <w:rsid w:val="00DE5357"/>
    <w:rsid w:val="00DE6633"/>
    <w:rsid w:val="00DF158F"/>
    <w:rsid w:val="00DF75F8"/>
    <w:rsid w:val="00DF7A3A"/>
    <w:rsid w:val="00E00C00"/>
    <w:rsid w:val="00E07C5A"/>
    <w:rsid w:val="00E15BA9"/>
    <w:rsid w:val="00E26E10"/>
    <w:rsid w:val="00E26E19"/>
    <w:rsid w:val="00E31DF3"/>
    <w:rsid w:val="00E450A4"/>
    <w:rsid w:val="00E506BE"/>
    <w:rsid w:val="00E55547"/>
    <w:rsid w:val="00E603C3"/>
    <w:rsid w:val="00E62F7F"/>
    <w:rsid w:val="00E6302B"/>
    <w:rsid w:val="00E6452F"/>
    <w:rsid w:val="00E64F45"/>
    <w:rsid w:val="00E653A0"/>
    <w:rsid w:val="00E6742D"/>
    <w:rsid w:val="00E71CB0"/>
    <w:rsid w:val="00E77C3D"/>
    <w:rsid w:val="00E83292"/>
    <w:rsid w:val="00E90991"/>
    <w:rsid w:val="00E909F0"/>
    <w:rsid w:val="00E90D47"/>
    <w:rsid w:val="00E93228"/>
    <w:rsid w:val="00E93993"/>
    <w:rsid w:val="00E9597C"/>
    <w:rsid w:val="00EA0913"/>
    <w:rsid w:val="00EA34AF"/>
    <w:rsid w:val="00EA5B00"/>
    <w:rsid w:val="00EB146B"/>
    <w:rsid w:val="00EB45AC"/>
    <w:rsid w:val="00EC441F"/>
    <w:rsid w:val="00EC4755"/>
    <w:rsid w:val="00EC6021"/>
    <w:rsid w:val="00ED0BC4"/>
    <w:rsid w:val="00ED447D"/>
    <w:rsid w:val="00ED738F"/>
    <w:rsid w:val="00ED74BC"/>
    <w:rsid w:val="00EE4971"/>
    <w:rsid w:val="00EF090E"/>
    <w:rsid w:val="00EF5572"/>
    <w:rsid w:val="00F033DA"/>
    <w:rsid w:val="00F13691"/>
    <w:rsid w:val="00F13FB1"/>
    <w:rsid w:val="00F14424"/>
    <w:rsid w:val="00F27CD8"/>
    <w:rsid w:val="00F30351"/>
    <w:rsid w:val="00F3323E"/>
    <w:rsid w:val="00F341F4"/>
    <w:rsid w:val="00F34F9D"/>
    <w:rsid w:val="00F35CCE"/>
    <w:rsid w:val="00F5524B"/>
    <w:rsid w:val="00F60538"/>
    <w:rsid w:val="00F61908"/>
    <w:rsid w:val="00F61DD2"/>
    <w:rsid w:val="00F66AFF"/>
    <w:rsid w:val="00F71433"/>
    <w:rsid w:val="00F97C5B"/>
    <w:rsid w:val="00FA2874"/>
    <w:rsid w:val="00FA3D50"/>
    <w:rsid w:val="00FB7FBD"/>
    <w:rsid w:val="00FC014B"/>
    <w:rsid w:val="00FC374A"/>
    <w:rsid w:val="00FC43EC"/>
    <w:rsid w:val="00FC7AC7"/>
    <w:rsid w:val="00FC7B47"/>
    <w:rsid w:val="00FD035C"/>
    <w:rsid w:val="00FD1A35"/>
    <w:rsid w:val="00FD2EA4"/>
    <w:rsid w:val="00FD36C5"/>
    <w:rsid w:val="00FD6310"/>
    <w:rsid w:val="00FD7C7B"/>
    <w:rsid w:val="00FE14D4"/>
    <w:rsid w:val="00FE1D12"/>
    <w:rsid w:val="00FE2122"/>
    <w:rsid w:val="00FE2A86"/>
    <w:rsid w:val="00FE2DE2"/>
    <w:rsid w:val="00FE45A4"/>
    <w:rsid w:val="00FE47D6"/>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customStyle="1" w:styleId="cohidesearchterm">
    <w:name w:val="co_hidesearchterm"/>
    <w:basedOn w:val="DefaultParagraphFont"/>
    <w:rsid w:val="00275CF4"/>
  </w:style>
  <w:style w:type="character" w:styleId="Emphasis">
    <w:name w:val="Emphasis"/>
    <w:basedOn w:val="DefaultParagraphFont"/>
    <w:uiPriority w:val="20"/>
    <w:qFormat/>
    <w:rsid w:val="00275CF4"/>
    <w:rPr>
      <w:i/>
      <w:iCs/>
    </w:rPr>
  </w:style>
  <w:style w:type="character" w:customStyle="1" w:styleId="coglossaryterm">
    <w:name w:val="co_glossaryterm"/>
    <w:basedOn w:val="DefaultParagraphFont"/>
    <w:rsid w:val="00275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89057">
      <w:bodyDiv w:val="1"/>
      <w:marLeft w:val="0"/>
      <w:marRight w:val="0"/>
      <w:marTop w:val="0"/>
      <w:marBottom w:val="0"/>
      <w:divBdr>
        <w:top w:val="none" w:sz="0" w:space="0" w:color="auto"/>
        <w:left w:val="none" w:sz="0" w:space="0" w:color="auto"/>
        <w:bottom w:val="none" w:sz="0" w:space="0" w:color="auto"/>
        <w:right w:val="none" w:sz="0" w:space="0" w:color="auto"/>
      </w:divBdr>
      <w:divsChild>
        <w:div w:id="156657775">
          <w:marLeft w:val="240"/>
          <w:marRight w:val="0"/>
          <w:marTop w:val="60"/>
          <w:marBottom w:val="60"/>
          <w:divBdr>
            <w:top w:val="none" w:sz="0" w:space="0" w:color="auto"/>
            <w:left w:val="none" w:sz="0" w:space="0" w:color="auto"/>
            <w:bottom w:val="none" w:sz="0" w:space="0" w:color="auto"/>
            <w:right w:val="none" w:sz="0" w:space="0" w:color="auto"/>
          </w:divBdr>
          <w:divsChild>
            <w:div w:id="59406241">
              <w:marLeft w:val="0"/>
              <w:marRight w:val="0"/>
              <w:marTop w:val="0"/>
              <w:marBottom w:val="0"/>
              <w:divBdr>
                <w:top w:val="none" w:sz="0" w:space="0" w:color="auto"/>
                <w:left w:val="none" w:sz="0" w:space="0" w:color="auto"/>
                <w:bottom w:val="none" w:sz="0" w:space="0" w:color="auto"/>
                <w:right w:val="none" w:sz="0" w:space="0" w:color="auto"/>
              </w:divBdr>
            </w:div>
          </w:divsChild>
        </w:div>
        <w:div w:id="1736397251">
          <w:marLeft w:val="240"/>
          <w:marRight w:val="0"/>
          <w:marTop w:val="60"/>
          <w:marBottom w:val="60"/>
          <w:divBdr>
            <w:top w:val="none" w:sz="0" w:space="0" w:color="auto"/>
            <w:left w:val="none" w:sz="0" w:space="0" w:color="auto"/>
            <w:bottom w:val="none" w:sz="0" w:space="0" w:color="auto"/>
            <w:right w:val="none" w:sz="0" w:space="0" w:color="auto"/>
          </w:divBdr>
          <w:divsChild>
            <w:div w:id="220603037">
              <w:marLeft w:val="0"/>
              <w:marRight w:val="0"/>
              <w:marTop w:val="0"/>
              <w:marBottom w:val="0"/>
              <w:divBdr>
                <w:top w:val="none" w:sz="0" w:space="0" w:color="auto"/>
                <w:left w:val="none" w:sz="0" w:space="0" w:color="auto"/>
                <w:bottom w:val="none" w:sz="0" w:space="0" w:color="auto"/>
                <w:right w:val="none" w:sz="0" w:space="0" w:color="auto"/>
              </w:divBdr>
            </w:div>
          </w:divsChild>
        </w:div>
        <w:div w:id="895969633">
          <w:marLeft w:val="240"/>
          <w:marRight w:val="0"/>
          <w:marTop w:val="60"/>
          <w:marBottom w:val="60"/>
          <w:divBdr>
            <w:top w:val="none" w:sz="0" w:space="0" w:color="auto"/>
            <w:left w:val="none" w:sz="0" w:space="0" w:color="auto"/>
            <w:bottom w:val="none" w:sz="0" w:space="0" w:color="auto"/>
            <w:right w:val="none" w:sz="0" w:space="0" w:color="auto"/>
          </w:divBdr>
          <w:divsChild>
            <w:div w:id="1036537923">
              <w:marLeft w:val="0"/>
              <w:marRight w:val="0"/>
              <w:marTop w:val="0"/>
              <w:marBottom w:val="0"/>
              <w:divBdr>
                <w:top w:val="none" w:sz="0" w:space="0" w:color="auto"/>
                <w:left w:val="none" w:sz="0" w:space="0" w:color="auto"/>
                <w:bottom w:val="none" w:sz="0" w:space="0" w:color="auto"/>
                <w:right w:val="none" w:sz="0" w:space="0" w:color="auto"/>
              </w:divBdr>
            </w:div>
          </w:divsChild>
        </w:div>
        <w:div w:id="1029337046">
          <w:marLeft w:val="240"/>
          <w:marRight w:val="0"/>
          <w:marTop w:val="60"/>
          <w:marBottom w:val="60"/>
          <w:divBdr>
            <w:top w:val="none" w:sz="0" w:space="0" w:color="auto"/>
            <w:left w:val="none" w:sz="0" w:space="0" w:color="auto"/>
            <w:bottom w:val="none" w:sz="0" w:space="0" w:color="auto"/>
            <w:right w:val="none" w:sz="0" w:space="0" w:color="auto"/>
          </w:divBdr>
          <w:divsChild>
            <w:div w:id="1367372262">
              <w:marLeft w:val="0"/>
              <w:marRight w:val="0"/>
              <w:marTop w:val="0"/>
              <w:marBottom w:val="0"/>
              <w:divBdr>
                <w:top w:val="none" w:sz="0" w:space="0" w:color="auto"/>
                <w:left w:val="none" w:sz="0" w:space="0" w:color="auto"/>
                <w:bottom w:val="none" w:sz="0" w:space="0" w:color="auto"/>
                <w:right w:val="none" w:sz="0" w:space="0" w:color="auto"/>
              </w:divBdr>
            </w:div>
          </w:divsChild>
        </w:div>
        <w:div w:id="2079670617">
          <w:marLeft w:val="240"/>
          <w:marRight w:val="0"/>
          <w:marTop w:val="60"/>
          <w:marBottom w:val="60"/>
          <w:divBdr>
            <w:top w:val="none" w:sz="0" w:space="0" w:color="auto"/>
            <w:left w:val="none" w:sz="0" w:space="0" w:color="auto"/>
            <w:bottom w:val="none" w:sz="0" w:space="0" w:color="auto"/>
            <w:right w:val="none" w:sz="0" w:space="0" w:color="auto"/>
          </w:divBdr>
          <w:divsChild>
            <w:div w:id="424770899">
              <w:marLeft w:val="0"/>
              <w:marRight w:val="0"/>
              <w:marTop w:val="0"/>
              <w:marBottom w:val="0"/>
              <w:divBdr>
                <w:top w:val="none" w:sz="0" w:space="0" w:color="auto"/>
                <w:left w:val="none" w:sz="0" w:space="0" w:color="auto"/>
                <w:bottom w:val="none" w:sz="0" w:space="0" w:color="auto"/>
                <w:right w:val="none" w:sz="0" w:space="0" w:color="auto"/>
              </w:divBdr>
            </w:div>
          </w:divsChild>
        </w:div>
        <w:div w:id="490603372">
          <w:marLeft w:val="240"/>
          <w:marRight w:val="0"/>
          <w:marTop w:val="60"/>
          <w:marBottom w:val="60"/>
          <w:divBdr>
            <w:top w:val="none" w:sz="0" w:space="0" w:color="auto"/>
            <w:left w:val="none" w:sz="0" w:space="0" w:color="auto"/>
            <w:bottom w:val="none" w:sz="0" w:space="0" w:color="auto"/>
            <w:right w:val="none" w:sz="0" w:space="0" w:color="auto"/>
          </w:divBdr>
          <w:divsChild>
            <w:div w:id="399059334">
              <w:marLeft w:val="0"/>
              <w:marRight w:val="0"/>
              <w:marTop w:val="0"/>
              <w:marBottom w:val="0"/>
              <w:divBdr>
                <w:top w:val="none" w:sz="0" w:space="0" w:color="auto"/>
                <w:left w:val="none" w:sz="0" w:space="0" w:color="auto"/>
                <w:bottom w:val="none" w:sz="0" w:space="0" w:color="auto"/>
                <w:right w:val="none" w:sz="0" w:space="0" w:color="auto"/>
              </w:divBdr>
            </w:div>
          </w:divsChild>
        </w:div>
        <w:div w:id="1802724189">
          <w:marLeft w:val="240"/>
          <w:marRight w:val="0"/>
          <w:marTop w:val="60"/>
          <w:marBottom w:val="60"/>
          <w:divBdr>
            <w:top w:val="none" w:sz="0" w:space="0" w:color="auto"/>
            <w:left w:val="none" w:sz="0" w:space="0" w:color="auto"/>
            <w:bottom w:val="none" w:sz="0" w:space="0" w:color="auto"/>
            <w:right w:val="none" w:sz="0" w:space="0" w:color="auto"/>
          </w:divBdr>
          <w:divsChild>
            <w:div w:id="1298222362">
              <w:marLeft w:val="0"/>
              <w:marRight w:val="0"/>
              <w:marTop w:val="0"/>
              <w:marBottom w:val="0"/>
              <w:divBdr>
                <w:top w:val="none" w:sz="0" w:space="0" w:color="auto"/>
                <w:left w:val="none" w:sz="0" w:space="0" w:color="auto"/>
                <w:bottom w:val="none" w:sz="0" w:space="0" w:color="auto"/>
                <w:right w:val="none" w:sz="0" w:space="0" w:color="auto"/>
              </w:divBdr>
            </w:div>
          </w:divsChild>
        </w:div>
        <w:div w:id="1883008625">
          <w:marLeft w:val="240"/>
          <w:marRight w:val="0"/>
          <w:marTop w:val="60"/>
          <w:marBottom w:val="60"/>
          <w:divBdr>
            <w:top w:val="none" w:sz="0" w:space="0" w:color="auto"/>
            <w:left w:val="none" w:sz="0" w:space="0" w:color="auto"/>
            <w:bottom w:val="none" w:sz="0" w:space="0" w:color="auto"/>
            <w:right w:val="none" w:sz="0" w:space="0" w:color="auto"/>
          </w:divBdr>
          <w:divsChild>
            <w:div w:id="348261563">
              <w:marLeft w:val="0"/>
              <w:marRight w:val="0"/>
              <w:marTop w:val="0"/>
              <w:marBottom w:val="0"/>
              <w:divBdr>
                <w:top w:val="none" w:sz="0" w:space="0" w:color="auto"/>
                <w:left w:val="none" w:sz="0" w:space="0" w:color="auto"/>
                <w:bottom w:val="none" w:sz="0" w:space="0" w:color="auto"/>
                <w:right w:val="none" w:sz="0" w:space="0" w:color="auto"/>
              </w:divBdr>
            </w:div>
          </w:divsChild>
        </w:div>
        <w:div w:id="270556952">
          <w:marLeft w:val="240"/>
          <w:marRight w:val="0"/>
          <w:marTop w:val="60"/>
          <w:marBottom w:val="60"/>
          <w:divBdr>
            <w:top w:val="none" w:sz="0" w:space="0" w:color="auto"/>
            <w:left w:val="none" w:sz="0" w:space="0" w:color="auto"/>
            <w:bottom w:val="none" w:sz="0" w:space="0" w:color="auto"/>
            <w:right w:val="none" w:sz="0" w:space="0" w:color="auto"/>
          </w:divBdr>
          <w:divsChild>
            <w:div w:id="207763497">
              <w:marLeft w:val="0"/>
              <w:marRight w:val="0"/>
              <w:marTop w:val="0"/>
              <w:marBottom w:val="0"/>
              <w:divBdr>
                <w:top w:val="none" w:sz="0" w:space="0" w:color="auto"/>
                <w:left w:val="none" w:sz="0" w:space="0" w:color="auto"/>
                <w:bottom w:val="none" w:sz="0" w:space="0" w:color="auto"/>
                <w:right w:val="none" w:sz="0" w:space="0" w:color="auto"/>
              </w:divBdr>
            </w:div>
          </w:divsChild>
        </w:div>
        <w:div w:id="1173960609">
          <w:marLeft w:val="240"/>
          <w:marRight w:val="0"/>
          <w:marTop w:val="60"/>
          <w:marBottom w:val="60"/>
          <w:divBdr>
            <w:top w:val="none" w:sz="0" w:space="0" w:color="auto"/>
            <w:left w:val="none" w:sz="0" w:space="0" w:color="auto"/>
            <w:bottom w:val="none" w:sz="0" w:space="0" w:color="auto"/>
            <w:right w:val="none" w:sz="0" w:space="0" w:color="auto"/>
          </w:divBdr>
          <w:divsChild>
            <w:div w:id="830098502">
              <w:marLeft w:val="0"/>
              <w:marRight w:val="0"/>
              <w:marTop w:val="0"/>
              <w:marBottom w:val="0"/>
              <w:divBdr>
                <w:top w:val="none" w:sz="0" w:space="0" w:color="auto"/>
                <w:left w:val="none" w:sz="0" w:space="0" w:color="auto"/>
                <w:bottom w:val="none" w:sz="0" w:space="0" w:color="auto"/>
                <w:right w:val="none" w:sz="0" w:space="0" w:color="auto"/>
              </w:divBdr>
            </w:div>
          </w:divsChild>
        </w:div>
        <w:div w:id="1667708267">
          <w:marLeft w:val="240"/>
          <w:marRight w:val="0"/>
          <w:marTop w:val="60"/>
          <w:marBottom w:val="60"/>
          <w:divBdr>
            <w:top w:val="none" w:sz="0" w:space="0" w:color="auto"/>
            <w:left w:val="none" w:sz="0" w:space="0" w:color="auto"/>
            <w:bottom w:val="none" w:sz="0" w:space="0" w:color="auto"/>
            <w:right w:val="none" w:sz="0" w:space="0" w:color="auto"/>
          </w:divBdr>
          <w:divsChild>
            <w:div w:id="960647877">
              <w:marLeft w:val="0"/>
              <w:marRight w:val="0"/>
              <w:marTop w:val="0"/>
              <w:marBottom w:val="0"/>
              <w:divBdr>
                <w:top w:val="none" w:sz="0" w:space="0" w:color="auto"/>
                <w:left w:val="none" w:sz="0" w:space="0" w:color="auto"/>
                <w:bottom w:val="none" w:sz="0" w:space="0" w:color="auto"/>
                <w:right w:val="none" w:sz="0" w:space="0" w:color="auto"/>
              </w:divBdr>
            </w:div>
          </w:divsChild>
        </w:div>
        <w:div w:id="555237759">
          <w:marLeft w:val="240"/>
          <w:marRight w:val="0"/>
          <w:marTop w:val="60"/>
          <w:marBottom w:val="60"/>
          <w:divBdr>
            <w:top w:val="none" w:sz="0" w:space="0" w:color="auto"/>
            <w:left w:val="none" w:sz="0" w:space="0" w:color="auto"/>
            <w:bottom w:val="none" w:sz="0" w:space="0" w:color="auto"/>
            <w:right w:val="none" w:sz="0" w:space="0" w:color="auto"/>
          </w:divBdr>
          <w:divsChild>
            <w:div w:id="1573395675">
              <w:marLeft w:val="0"/>
              <w:marRight w:val="0"/>
              <w:marTop w:val="0"/>
              <w:marBottom w:val="0"/>
              <w:divBdr>
                <w:top w:val="none" w:sz="0" w:space="0" w:color="auto"/>
                <w:left w:val="none" w:sz="0" w:space="0" w:color="auto"/>
                <w:bottom w:val="none" w:sz="0" w:space="0" w:color="auto"/>
                <w:right w:val="none" w:sz="0" w:space="0" w:color="auto"/>
              </w:divBdr>
            </w:div>
          </w:divsChild>
        </w:div>
        <w:div w:id="1651980958">
          <w:marLeft w:val="240"/>
          <w:marRight w:val="0"/>
          <w:marTop w:val="60"/>
          <w:marBottom w:val="60"/>
          <w:divBdr>
            <w:top w:val="none" w:sz="0" w:space="0" w:color="auto"/>
            <w:left w:val="none" w:sz="0" w:space="0" w:color="auto"/>
            <w:bottom w:val="none" w:sz="0" w:space="0" w:color="auto"/>
            <w:right w:val="none" w:sz="0" w:space="0" w:color="auto"/>
          </w:divBdr>
          <w:divsChild>
            <w:div w:id="1156337859">
              <w:marLeft w:val="0"/>
              <w:marRight w:val="0"/>
              <w:marTop w:val="0"/>
              <w:marBottom w:val="0"/>
              <w:divBdr>
                <w:top w:val="none" w:sz="0" w:space="0" w:color="auto"/>
                <w:left w:val="none" w:sz="0" w:space="0" w:color="auto"/>
                <w:bottom w:val="none" w:sz="0" w:space="0" w:color="auto"/>
                <w:right w:val="none" w:sz="0" w:space="0" w:color="auto"/>
              </w:divBdr>
            </w:div>
          </w:divsChild>
        </w:div>
        <w:div w:id="1155729714">
          <w:marLeft w:val="240"/>
          <w:marRight w:val="0"/>
          <w:marTop w:val="60"/>
          <w:marBottom w:val="60"/>
          <w:divBdr>
            <w:top w:val="none" w:sz="0" w:space="0" w:color="auto"/>
            <w:left w:val="none" w:sz="0" w:space="0" w:color="auto"/>
            <w:bottom w:val="none" w:sz="0" w:space="0" w:color="auto"/>
            <w:right w:val="none" w:sz="0" w:space="0" w:color="auto"/>
          </w:divBdr>
          <w:divsChild>
            <w:div w:id="1550603592">
              <w:marLeft w:val="0"/>
              <w:marRight w:val="0"/>
              <w:marTop w:val="0"/>
              <w:marBottom w:val="0"/>
              <w:divBdr>
                <w:top w:val="none" w:sz="0" w:space="0" w:color="auto"/>
                <w:left w:val="none" w:sz="0" w:space="0" w:color="auto"/>
                <w:bottom w:val="none" w:sz="0" w:space="0" w:color="auto"/>
                <w:right w:val="none" w:sz="0" w:space="0" w:color="auto"/>
              </w:divBdr>
            </w:div>
          </w:divsChild>
        </w:div>
        <w:div w:id="1765497232">
          <w:marLeft w:val="240"/>
          <w:marRight w:val="0"/>
          <w:marTop w:val="60"/>
          <w:marBottom w:val="60"/>
          <w:divBdr>
            <w:top w:val="none" w:sz="0" w:space="0" w:color="auto"/>
            <w:left w:val="none" w:sz="0" w:space="0" w:color="auto"/>
            <w:bottom w:val="none" w:sz="0" w:space="0" w:color="auto"/>
            <w:right w:val="none" w:sz="0" w:space="0" w:color="auto"/>
          </w:divBdr>
          <w:divsChild>
            <w:div w:id="13934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300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60760001">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1136666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30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C7164-5453-4C05-B478-7DDCC2C3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6259</Words>
  <Characters>30985</Characters>
  <Application>Microsoft Office Word</Application>
  <DocSecurity>0</DocSecurity>
  <Lines>491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Baker McKenzie</cp:lastModifiedBy>
  <cp:revision>37</cp:revision>
  <cp:lastPrinted>2019-08-27T05:42:00Z</cp:lastPrinted>
  <dcterms:created xsi:type="dcterms:W3CDTF">2020-09-01T19:48:00Z</dcterms:created>
  <dcterms:modified xsi:type="dcterms:W3CDTF">2021-07-30T11:03:00Z</dcterms:modified>
</cp:coreProperties>
</file>