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2"/>
          <w:szCs w:val="22"/>
          <w:lang w:val="en-GB"/>
        </w:rPr>
      </w:pPr>
      <w:r>
        <w:rPr>
          <w:rFonts w:ascii="Arial" w:hAnsi="Arial" w:cs="Arial"/>
          <w:b/>
          <w:sz w:val="22"/>
          <w:szCs w:val="22"/>
          <w:lang w:val="en-GB" w:eastAsia="en-GB"/>
        </w:rPr>
        <w:drawing>
          <wp:inline distT="0" distB="0" distL="0" distR="0">
            <wp:extent cx="2167255" cy="22764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4472C4" w:themeColor="accent1"/>
          <w:sz w:val="22"/>
          <w:szCs w:val="22"/>
          <w:lang w:val="en-GB"/>
          <w14:textFill>
            <w14:solidFill>
              <w14:schemeClr w14:val="accent1"/>
            </w14:solidFill>
          </w14:textFill>
        </w:rPr>
      </w:pP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000000" w:themeColor="text1"/>
          <w:sz w:val="28"/>
          <w:szCs w:val="28"/>
          <w:lang w:val="en-GB"/>
          <w14:textFill>
            <w14:solidFill>
              <w14:schemeClr w14:val="tx1"/>
            </w14:solidFill>
          </w14:textFill>
        </w:rPr>
      </w:pPr>
      <w:r>
        <w:rPr>
          <w:rFonts w:ascii="Arial" w:hAnsi="Arial" w:cs="Arial"/>
          <w:b/>
          <w:color w:val="000000" w:themeColor="text1"/>
          <w:sz w:val="28"/>
          <w:szCs w:val="28"/>
          <w:lang w:val="en-GB"/>
          <w14:textFill>
            <w14:solidFill>
              <w14:schemeClr w14:val="tx1"/>
            </w14:solidFill>
          </w14:textFill>
        </w:rPr>
        <w:t>SUMMATIVE (FORMAL) ASSESSMENT: MODULE 8A</w:t>
      </w: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000000" w:themeColor="text1"/>
          <w:sz w:val="28"/>
          <w:szCs w:val="28"/>
          <w:lang w:val="en-GB"/>
          <w14:textFill>
            <w14:solidFill>
              <w14:schemeClr w14:val="tx1"/>
            </w14:solidFill>
          </w14:textFill>
        </w:rPr>
      </w:pP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000000" w:themeColor="text1"/>
          <w:sz w:val="28"/>
          <w:szCs w:val="28"/>
          <w:lang w:val="en-GB"/>
          <w14:textFill>
            <w14:solidFill>
              <w14:schemeClr w14:val="tx1"/>
            </w14:solidFill>
          </w14:textFill>
        </w:rPr>
      </w:pPr>
      <w:r>
        <w:rPr>
          <w:rFonts w:ascii="Arial" w:hAnsi="Arial" w:cs="Arial"/>
          <w:b/>
          <w:color w:val="000000" w:themeColor="text1"/>
          <w:sz w:val="28"/>
          <w:szCs w:val="28"/>
          <w:lang w:val="en-GB"/>
          <w14:textFill>
            <w14:solidFill>
              <w14:schemeClr w14:val="tx1"/>
            </w14:solidFill>
          </w14:textFill>
        </w:rPr>
        <w:t>AUSTRALIA</w:t>
      </w: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4472C4" w:themeColor="accent1"/>
          <w:sz w:val="22"/>
          <w:szCs w:val="22"/>
          <w:lang w:val="en-GB"/>
          <w14:textFill>
            <w14:solidFill>
              <w14:schemeClr w14:val="accent1"/>
            </w14:solidFill>
          </w14:textFill>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pBdr>
          <w:top w:val="single" w:color="auto" w:sz="18" w:space="1"/>
          <w:left w:val="single" w:color="auto" w:sz="18" w:space="4"/>
          <w:bottom w:val="single" w:color="auto" w:sz="18" w:space="1"/>
          <w:right w:val="single" w:color="auto" w:sz="18" w:space="0"/>
        </w:pBdr>
        <w:jc w:val="both"/>
        <w:rPr>
          <w:rFonts w:ascii="Arial" w:hAnsi="Arial" w:cs="Arial"/>
          <w:bCs/>
          <w:color w:val="FF0000"/>
          <w:sz w:val="22"/>
          <w:szCs w:val="22"/>
          <w:lang w:val="en-GB"/>
        </w:rPr>
      </w:pPr>
    </w:p>
    <w:p>
      <w:pPr>
        <w:pBdr>
          <w:top w:val="single" w:color="auto" w:sz="18" w:space="1"/>
          <w:left w:val="single" w:color="auto" w:sz="18" w:space="4"/>
          <w:bottom w:val="single" w:color="auto" w:sz="18" w:space="1"/>
          <w:right w:val="single" w:color="auto" w:sz="18" w:space="0"/>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This is the </w:t>
      </w:r>
      <w:r>
        <w:rPr>
          <w:rFonts w:ascii="Arial" w:hAnsi="Arial" w:cs="Arial"/>
          <w:b/>
          <w:color w:val="767171" w:themeColor="background2" w:themeShade="80"/>
          <w:sz w:val="22"/>
          <w:szCs w:val="22"/>
          <w:lang w:val="en-GB"/>
        </w:rPr>
        <w:t>summative (formal) assessment</w:t>
      </w:r>
      <w:r>
        <w:rPr>
          <w:rFonts w:ascii="Arial" w:hAnsi="Arial" w:cs="Arial"/>
          <w:bCs/>
          <w:color w:val="767171" w:themeColor="background2" w:themeShade="80"/>
          <w:sz w:val="22"/>
          <w:szCs w:val="22"/>
          <w:lang w:val="en-GB"/>
        </w:rPr>
        <w:t xml:space="preserve"> for </w:t>
      </w:r>
      <w:r>
        <w:rPr>
          <w:rFonts w:ascii="Arial" w:hAnsi="Arial" w:cs="Arial"/>
          <w:b/>
          <w:color w:val="767171" w:themeColor="background2" w:themeShade="80"/>
          <w:sz w:val="22"/>
          <w:szCs w:val="22"/>
          <w:lang w:val="en-GB"/>
        </w:rPr>
        <w:t>Module 8A</w:t>
      </w:r>
      <w:r>
        <w:rPr>
          <w:rFonts w:ascii="Arial" w:hAnsi="Arial" w:cs="Arial"/>
          <w:bCs/>
          <w:color w:val="767171" w:themeColor="background2" w:themeShade="80"/>
          <w:sz w:val="22"/>
          <w:szCs w:val="22"/>
          <w:lang w:val="en-GB"/>
        </w:rPr>
        <w:t xml:space="preserve"> of this course and must be submitted by all candidates who </w:t>
      </w:r>
      <w:r>
        <w:rPr>
          <w:rFonts w:ascii="Arial" w:hAnsi="Arial" w:cs="Arial"/>
          <w:b/>
          <w:color w:val="767171" w:themeColor="background2" w:themeShade="80"/>
          <w:sz w:val="22"/>
          <w:szCs w:val="22"/>
          <w:lang w:val="en-GB"/>
        </w:rPr>
        <w:t>selected this module as one of their elective modules</w:t>
      </w:r>
      <w:r>
        <w:rPr>
          <w:rFonts w:ascii="Arial" w:hAnsi="Arial" w:cs="Arial"/>
          <w:bCs/>
          <w:color w:val="767171" w:themeColor="background2" w:themeShade="80"/>
          <w:sz w:val="22"/>
          <w:szCs w:val="22"/>
          <w:lang w:val="en-GB"/>
        </w:rPr>
        <w:t>.</w:t>
      </w:r>
    </w:p>
    <w:p>
      <w:pPr>
        <w:pBdr>
          <w:top w:val="single" w:color="auto" w:sz="18" w:space="1"/>
          <w:left w:val="single" w:color="auto" w:sz="18" w:space="4"/>
          <w:bottom w:val="single" w:color="auto" w:sz="18" w:space="1"/>
          <w:right w:val="single" w:color="auto" w:sz="18" w:space="0"/>
        </w:pBdr>
        <w:jc w:val="both"/>
        <w:rPr>
          <w:rFonts w:ascii="Arial" w:hAnsi="Arial" w:cs="Arial"/>
          <w:bCs/>
          <w:color w:val="767171" w:themeColor="background2" w:themeShade="80"/>
          <w:sz w:val="22"/>
          <w:szCs w:val="22"/>
          <w:lang w:val="en-GB"/>
        </w:rPr>
      </w:pPr>
    </w:p>
    <w:p>
      <w:pPr>
        <w:pBdr>
          <w:top w:val="single" w:color="auto" w:sz="18" w:space="1"/>
          <w:left w:val="single" w:color="auto" w:sz="18" w:space="4"/>
          <w:bottom w:val="single" w:color="auto" w:sz="18" w:space="1"/>
          <w:right w:val="single" w:color="auto" w:sz="18" w:space="0"/>
        </w:pBdr>
        <w:jc w:val="both"/>
        <w:rPr>
          <w:rFonts w:ascii="Arial" w:hAnsi="Arial" w:cs="Arial"/>
          <w:bCs/>
          <w:color w:val="767171" w:themeColor="background2" w:themeShade="80"/>
          <w:sz w:val="22"/>
          <w:szCs w:val="22"/>
          <w:lang w:val="en-GB"/>
        </w:rPr>
      </w:pPr>
    </w:p>
    <w:p>
      <w:pPr>
        <w:pBdr>
          <w:top w:val="single" w:color="auto" w:sz="18" w:space="1"/>
          <w:left w:val="single" w:color="auto" w:sz="18" w:space="4"/>
          <w:bottom w:val="single" w:color="auto" w:sz="18" w:space="1"/>
          <w:right w:val="single" w:color="auto" w:sz="18" w:space="0"/>
        </w:pBdr>
        <w:jc w:val="both"/>
        <w:rPr>
          <w:rFonts w:ascii="Arial" w:hAnsi="Arial" w:cs="Arial"/>
          <w:bCs/>
          <w:color w:val="767171" w:themeColor="background2" w:themeShade="80"/>
          <w:sz w:val="22"/>
          <w:szCs w:val="22"/>
          <w:lang w:val="en-GB"/>
        </w:rPr>
      </w:pPr>
      <w:r>
        <w:rPr>
          <w:rFonts w:ascii="Arial" w:hAnsi="Arial" w:cs="Arial"/>
          <w:b/>
          <w:color w:val="767171" w:themeColor="background2" w:themeShade="80"/>
          <w:sz w:val="22"/>
          <w:szCs w:val="22"/>
          <w:lang w:val="en-GB"/>
        </w:rPr>
        <w:t>The mark awarded for this assessment will determine your final mark for Module 8A</w:t>
      </w:r>
      <w:r>
        <w:rPr>
          <w:rFonts w:ascii="Arial" w:hAnsi="Arial" w:cs="Arial"/>
          <w:bCs/>
          <w:color w:val="767171" w:themeColor="background2" w:themeShade="80"/>
          <w:sz w:val="22"/>
          <w:szCs w:val="22"/>
          <w:lang w:val="en-GB"/>
        </w:rPr>
        <w:t>. In order to pass this module, you need to obtain a mark of 50% or more for this assessment.</w:t>
      </w:r>
    </w:p>
    <w:p>
      <w:pPr>
        <w:pBdr>
          <w:top w:val="single" w:color="auto" w:sz="18" w:space="1"/>
          <w:left w:val="single" w:color="auto" w:sz="18" w:space="4"/>
          <w:bottom w:val="single" w:color="auto" w:sz="18" w:space="1"/>
          <w:right w:val="single" w:color="auto" w:sz="18" w:space="0"/>
        </w:pBdr>
        <w:jc w:val="both"/>
        <w:rPr>
          <w:rFonts w:ascii="Arial" w:hAnsi="Arial" w:cs="Arial"/>
          <w:bCs/>
          <w:color w:val="FF0000"/>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rPr>
          <w:rFonts w:ascii="Arial" w:hAnsi="Arial" w:cs="Arial"/>
          <w:b/>
          <w:sz w:val="22"/>
          <w:szCs w:val="22"/>
          <w:u w:val="single"/>
          <w:lang w:val="en-GB"/>
        </w:rPr>
      </w:pPr>
      <w:r>
        <w:rPr>
          <w:rFonts w:ascii="Arial" w:hAnsi="Arial" w:cs="Arial"/>
          <w:b/>
          <w:sz w:val="22"/>
          <w:szCs w:val="22"/>
          <w:u w:val="single"/>
          <w:lang w:val="en-GB"/>
        </w:rPr>
        <w:br w:type="page"/>
      </w:r>
    </w:p>
    <w:p>
      <w:pPr>
        <w:jc w:val="center"/>
        <w:rPr>
          <w:rFonts w:ascii="Arial" w:hAnsi="Arial" w:cs="Arial"/>
          <w:b/>
          <w:sz w:val="22"/>
          <w:szCs w:val="22"/>
          <w:u w:val="single"/>
          <w:lang w:val="en-GB"/>
        </w:rPr>
      </w:pPr>
    </w:p>
    <w:p>
      <w:pPr>
        <w:jc w:val="center"/>
        <w:rPr>
          <w:rFonts w:ascii="Arial" w:hAnsi="Arial" w:cs="Arial"/>
          <w:b/>
          <w:sz w:val="22"/>
          <w:szCs w:val="22"/>
          <w:u w:val="single"/>
          <w:lang w:val="en-GB"/>
        </w:rPr>
      </w:pPr>
    </w:p>
    <w:p>
      <w:pPr>
        <w:jc w:val="center"/>
        <w:rPr>
          <w:rFonts w:ascii="Arial" w:hAnsi="Arial" w:cs="Arial"/>
          <w:b/>
          <w:sz w:val="22"/>
          <w:szCs w:val="22"/>
          <w:u w:val="single"/>
          <w:lang w:val="en-GB"/>
        </w:rPr>
      </w:pPr>
    </w:p>
    <w:p>
      <w:pPr>
        <w:jc w:val="center"/>
        <w:rPr>
          <w:rFonts w:ascii="Arial" w:hAnsi="Arial" w:cs="Arial"/>
          <w:b/>
          <w:sz w:val="22"/>
          <w:szCs w:val="22"/>
          <w:u w:val="single"/>
          <w:lang w:val="en-GB"/>
        </w:rPr>
      </w:pPr>
      <w:r>
        <w:rPr>
          <w:rFonts w:ascii="Arial" w:hAnsi="Arial" w:cs="Arial"/>
          <w:b/>
          <w:sz w:val="22"/>
          <w:szCs w:val="22"/>
          <w:u w:val="single"/>
          <w:lang w:val="en-GB"/>
        </w:rPr>
        <w:t>INSTRUCTIONS FOR COMPLETION AND SUBMISSION OF ASSESSMENT</w:t>
      </w:r>
    </w:p>
    <w:p>
      <w:pPr>
        <w:jc w:val="both"/>
        <w:rPr>
          <w:rFonts w:ascii="Arial" w:hAnsi="Arial" w:cs="Arial"/>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r>
        <w:rPr>
          <w:rFonts w:ascii="Arial" w:hAnsi="Arial" w:cs="Arial"/>
          <w:b/>
          <w:sz w:val="22"/>
          <w:szCs w:val="22"/>
          <w:lang w:val="en-GB"/>
        </w:rPr>
        <w:t>Please read the following instructions very carefully before submitting / uploading your assessment on the Foundation Certificate web pages.</w:t>
      </w:r>
    </w:p>
    <w:p>
      <w:pPr>
        <w:jc w:val="both"/>
        <w:rPr>
          <w:rFonts w:ascii="Arial" w:hAnsi="Arial" w:cs="Arial"/>
          <w:b/>
          <w:sz w:val="22"/>
          <w:szCs w:val="22"/>
          <w:lang w:val="en-GB"/>
        </w:rPr>
      </w:pPr>
    </w:p>
    <w:p>
      <w:pPr>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1.</w:t>
      </w:r>
      <w:r>
        <w:rPr>
          <w:rFonts w:ascii="Arial" w:hAnsi="Arial" w:cs="Arial"/>
          <w:sz w:val="22"/>
          <w:szCs w:val="22"/>
          <w:lang w:val="en-GB"/>
        </w:rPr>
        <w:tab/>
      </w:r>
      <w:r>
        <w:rPr>
          <w:rFonts w:ascii="Arial" w:hAnsi="Arial" w:cs="Arial"/>
          <w:sz w:val="22"/>
          <w:szCs w:val="22"/>
          <w:lang w:val="en-GB"/>
        </w:rPr>
        <w:t xml:space="preserve">You must use this document for the answering of the assessment for this module. The answers to each question must be completed using this document with the answers populated under each question. </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2.</w:t>
      </w:r>
      <w:r>
        <w:rPr>
          <w:rFonts w:ascii="Arial" w:hAnsi="Arial" w:cs="Arial"/>
          <w:sz w:val="22"/>
          <w:szCs w:val="22"/>
          <w:lang w:val="en-GB"/>
        </w:rPr>
        <w:tab/>
      </w:r>
      <w:r>
        <w:rPr>
          <w:rFonts w:ascii="Arial" w:hAnsi="Arial" w:cs="Arial"/>
          <w:sz w:val="22"/>
          <w:szCs w:val="22"/>
          <w:lang w:val="en-GB"/>
        </w:rPr>
        <w:t xml:space="preserve">All assessments must be submitted electronically in </w:t>
      </w:r>
      <w:r>
        <w:rPr>
          <w:rFonts w:ascii="Arial" w:hAnsi="Arial" w:cs="Arial"/>
          <w:b/>
          <w:bCs/>
          <w:sz w:val="22"/>
          <w:szCs w:val="22"/>
          <w:lang w:val="en-GB"/>
        </w:rPr>
        <w:t>Microsoft Word format</w:t>
      </w:r>
      <w:r>
        <w:rPr>
          <w:rFonts w:ascii="Arial" w:hAnsi="Arial" w:cs="Arial"/>
          <w:sz w:val="22"/>
          <w:szCs w:val="22"/>
          <w:lang w:val="en-GB"/>
        </w:rPr>
        <w:t xml:space="preserve">, using a standard A4 size page and an 11-point Arial font. This document has been set up with these parameters – </w:t>
      </w:r>
      <w:r>
        <w:rPr>
          <w:rFonts w:ascii="Arial" w:hAnsi="Arial" w:cs="Arial"/>
          <w:b/>
          <w:bCs/>
          <w:sz w:val="22"/>
          <w:szCs w:val="22"/>
          <w:lang w:val="en-GB"/>
        </w:rPr>
        <w:t>please do not change the document settings in any way</w:t>
      </w:r>
      <w:r>
        <w:rPr>
          <w:rFonts w:ascii="Arial" w:hAnsi="Arial" w:cs="Arial"/>
          <w:sz w:val="22"/>
          <w:szCs w:val="22"/>
          <w:lang w:val="en-GB"/>
        </w:rPr>
        <w:t xml:space="preserve">. </w:t>
      </w:r>
      <w:r>
        <w:rPr>
          <w:rFonts w:ascii="Arial" w:hAnsi="Arial" w:cs="Arial"/>
          <w:b/>
          <w:sz w:val="22"/>
          <w:szCs w:val="22"/>
          <w:lang w:val="en-GB"/>
        </w:rPr>
        <w:t>DO NOT</w:t>
      </w:r>
      <w:r>
        <w:rPr>
          <w:rFonts w:ascii="Arial" w:hAnsi="Arial" w:cs="Arial"/>
          <w:sz w:val="22"/>
          <w:szCs w:val="22"/>
          <w:lang w:val="en-GB"/>
        </w:rPr>
        <w:t xml:space="preserve"> submit your assessment in PDF format as it will be returned to you unmarked.</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r>
      <w:r>
        <w:rPr>
          <w:rFonts w:ascii="Arial" w:hAnsi="Arial" w:cs="Arial"/>
          <w:sz w:val="22"/>
          <w:szCs w:val="22"/>
          <w:lang w:val="en-GB"/>
        </w:rPr>
        <w:t>No limit has been set for the length of your answers to the questions. However, please be guided by the mark allocation for each question. More often than not, one fact / statement will earn one mark (unless it is obvious from the question that this is not the case).</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4.</w:t>
      </w:r>
      <w:r>
        <w:rPr>
          <w:rFonts w:ascii="Arial" w:hAnsi="Arial" w:cs="Arial"/>
          <w:sz w:val="22"/>
          <w:szCs w:val="22"/>
          <w:lang w:val="en-GB"/>
        </w:rPr>
        <w:tab/>
      </w:r>
      <w:r>
        <w:rPr>
          <w:rFonts w:ascii="Arial" w:hAnsi="Arial" w:cs="Arial"/>
          <w:sz w:val="22"/>
          <w:szCs w:val="22"/>
          <w:lang w:val="en-GB"/>
        </w:rPr>
        <w:t xml:space="preserve">You must save this document using the following format: </w:t>
      </w:r>
      <w:r>
        <w:rPr>
          <w:rFonts w:ascii="Arial" w:hAnsi="Arial" w:cs="Arial"/>
          <w:b/>
          <w:bCs/>
          <w:sz w:val="22"/>
          <w:szCs w:val="22"/>
          <w:lang w:val="en-GB" w:eastAsia="en-GB"/>
        </w:rPr>
        <w:t>[studentnumber.assessment8A]</w:t>
      </w:r>
      <w:r>
        <w:rPr>
          <w:rFonts w:ascii="Arial" w:hAnsi="Arial" w:cs="Arial"/>
          <w:sz w:val="22"/>
          <w:szCs w:val="22"/>
          <w:lang w:val="en-GB" w:eastAsia="en-GB"/>
        </w:rPr>
        <w:t>. An example would be something along the following lines: 202021IFU-314.assessment8A</w:t>
      </w:r>
      <w:r>
        <w:rPr>
          <w:rFonts w:ascii="Arial" w:hAnsi="Arial" w:cs="Arial"/>
          <w:sz w:val="22"/>
          <w:szCs w:val="22"/>
          <w:lang w:val="en-GB"/>
        </w:rPr>
        <w:t xml:space="preserve">. </w:t>
      </w:r>
      <w:r>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“studentnumber” with the student number allocated to you)</w:t>
      </w:r>
      <w:r>
        <w:rPr>
          <w:rFonts w:ascii="Arial" w:hAnsi="Arial" w:cs="Arial"/>
          <w:sz w:val="22"/>
          <w:szCs w:val="22"/>
          <w:lang w:val="en-GB"/>
        </w:rPr>
        <w:t xml:space="preserve">. Do not include your name or any other identifying words in your file name. </w:t>
      </w:r>
      <w:r>
        <w:rPr>
          <w:rFonts w:ascii="Arial" w:hAnsi="Arial" w:cs="Arial"/>
          <w:b/>
          <w:bCs/>
          <w:sz w:val="22"/>
          <w:szCs w:val="22"/>
          <w:lang w:val="en-GB"/>
        </w:rPr>
        <w:t>Assessments that do not comply with this instruction will be returned to candidates unmarked</w:t>
      </w:r>
      <w:r>
        <w:rPr>
          <w:rFonts w:ascii="Arial" w:hAnsi="Arial" w:cs="Arial"/>
          <w:sz w:val="22"/>
          <w:szCs w:val="22"/>
          <w:lang w:val="en-GB"/>
        </w:rPr>
        <w:t>.</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5.</w:t>
      </w:r>
      <w:r>
        <w:rPr>
          <w:rFonts w:ascii="Arial" w:hAnsi="Arial" w:cs="Arial"/>
          <w:sz w:val="22"/>
          <w:szCs w:val="22"/>
          <w:lang w:val="en-GB"/>
        </w:rPr>
        <w:tab/>
      </w:r>
      <w:r>
        <w:rPr>
          <w:rFonts w:ascii="Arial" w:hAnsi="Arial" w:cs="Arial"/>
          <w:sz w:val="22"/>
          <w:szCs w:val="22"/>
          <w:lang w:val="en-GB"/>
        </w:rPr>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Pr>
          <w:rFonts w:ascii="Arial" w:hAnsi="Arial" w:cs="Arial"/>
          <w:sz w:val="22"/>
          <w:szCs w:val="22"/>
          <w:lang w:val="en-GB"/>
        </w:rPr>
        <w:t>.</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6.</w:t>
      </w:r>
      <w:r>
        <w:rPr>
          <w:rFonts w:ascii="Arial" w:hAnsi="Arial" w:cs="Arial"/>
          <w:b/>
          <w:sz w:val="22"/>
          <w:szCs w:val="22"/>
          <w:lang w:val="en-GB"/>
        </w:rPr>
        <w:tab/>
      </w:r>
      <w:r>
        <w:rPr>
          <w:rFonts w:ascii="Arial" w:hAnsi="Arial" w:cs="Arial"/>
          <w:sz w:val="22"/>
          <w:szCs w:val="22"/>
          <w:lang w:val="en-GB"/>
        </w:rPr>
        <w:t xml:space="preserve">The final submission date for this assessment is </w:t>
      </w:r>
      <w:r>
        <w:rPr>
          <w:rFonts w:ascii="Arial" w:hAnsi="Arial" w:cs="Arial"/>
          <w:b/>
          <w:bCs/>
          <w:sz w:val="22"/>
          <w:szCs w:val="22"/>
          <w:lang w:val="en-GB"/>
        </w:rPr>
        <w:t>31 July 2021</w:t>
      </w:r>
      <w:r>
        <w:rPr>
          <w:rFonts w:ascii="Arial" w:hAnsi="Arial" w:cs="Arial"/>
          <w:sz w:val="22"/>
          <w:szCs w:val="22"/>
          <w:lang w:val="en-GB"/>
        </w:rPr>
        <w:t xml:space="preserve">. The assessment submission portal will close at </w:t>
      </w:r>
      <w:r>
        <w:rPr>
          <w:rFonts w:ascii="Arial" w:hAnsi="Arial" w:cs="Arial"/>
          <w:b/>
          <w:sz w:val="22"/>
          <w:szCs w:val="22"/>
          <w:lang w:val="en-GB"/>
        </w:rPr>
        <w:t>23:00 (11 pm) GMT on 31 July 2021</w:t>
      </w:r>
      <w:r>
        <w:rPr>
          <w:rFonts w:ascii="Arial" w:hAnsi="Arial" w:cs="Arial"/>
          <w:sz w:val="22"/>
          <w:szCs w:val="22"/>
          <w:lang w:val="en-GB"/>
        </w:rPr>
        <w:t>. No submissions can be made after the portal has closed and no further uploading of documents will be allowed, no matter the circumstances.</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sz w:val="22"/>
          <w:szCs w:val="22"/>
          <w:lang w:val="en-GB"/>
        </w:rPr>
        <w:t>7.</w:t>
      </w:r>
      <w:r>
        <w:rPr>
          <w:rFonts w:ascii="Arial" w:hAnsi="Arial" w:cs="Arial"/>
          <w:sz w:val="22"/>
          <w:szCs w:val="22"/>
          <w:lang w:val="en-GB"/>
        </w:rPr>
        <w:tab/>
      </w:r>
      <w:r>
        <w:rPr>
          <w:rFonts w:ascii="Arial" w:hAnsi="Arial" w:cs="Arial"/>
          <w:sz w:val="22"/>
          <w:szCs w:val="22"/>
          <w:lang w:val="en-GB"/>
        </w:rPr>
        <w:t xml:space="preserve">Prior to being populated with your answers, this assessment consists of </w:t>
      </w:r>
      <w:r>
        <w:rPr>
          <w:rFonts w:ascii="Arial" w:hAnsi="Arial" w:cs="Arial"/>
          <w:b/>
          <w:bCs/>
          <w:sz w:val="22"/>
          <w:szCs w:val="22"/>
          <w:lang w:val="en-GB"/>
        </w:rPr>
        <w:t>7 pages</w:t>
      </w:r>
      <w:r>
        <w:rPr>
          <w:rFonts w:ascii="Arial" w:hAnsi="Arial" w:cs="Arial"/>
          <w:sz w:val="22"/>
          <w:szCs w:val="22"/>
          <w:lang w:val="en-GB"/>
        </w:rPr>
        <w:t>.</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p>
    <w:p>
      <w:pPr>
        <w:rPr>
          <w:rFonts w:ascii="Arial" w:hAnsi="Arial" w:cs="Arial"/>
          <w:b/>
          <w:sz w:val="22"/>
          <w:szCs w:val="22"/>
          <w:u w:val="single"/>
          <w:lang w:val="en-GB"/>
        </w:rPr>
      </w:pPr>
      <w:r>
        <w:rPr>
          <w:rFonts w:ascii="Arial" w:hAnsi="Arial" w:cs="Arial"/>
          <w:b/>
          <w:sz w:val="22"/>
          <w:szCs w:val="22"/>
          <w:u w:val="single"/>
          <w:lang w:val="en-GB"/>
        </w:rPr>
        <w:br w:type="page"/>
      </w:r>
    </w:p>
    <w:p>
      <w:pPr>
        <w:jc w:val="both"/>
        <w:rPr>
          <w:rFonts w:ascii="Arial" w:hAnsi="Arial" w:cs="Arial"/>
          <w:sz w:val="22"/>
          <w:szCs w:val="22"/>
          <w:lang w:val="en-GB"/>
        </w:rPr>
      </w:pPr>
      <w:r>
        <w:rPr>
          <w:rFonts w:ascii="Arial" w:hAnsi="Arial" w:cs="Arial"/>
          <w:b/>
          <w:sz w:val="22"/>
          <w:szCs w:val="22"/>
          <w:u w:val="single"/>
          <w:lang w:val="en-GB"/>
        </w:rPr>
        <w:t>ANSWER ALL THE QUESTIONS</w:t>
      </w:r>
    </w:p>
    <w:p>
      <w:pPr>
        <w:ind w:left="720" w:hanging="720"/>
        <w:jc w:val="both"/>
        <w:rPr>
          <w:rFonts w:ascii="Arial" w:hAnsi="Arial" w:cs="Arial"/>
          <w:sz w:val="22"/>
          <w:szCs w:val="22"/>
          <w:lang w:val="en-GB"/>
        </w:rPr>
      </w:pPr>
    </w:p>
    <w:p>
      <w:pPr>
        <w:jc w:val="both"/>
        <w:rPr>
          <w:rFonts w:ascii="Arial" w:hAnsi="Arial" w:cs="Arial"/>
          <w:b/>
          <w:sz w:val="22"/>
          <w:szCs w:val="22"/>
          <w:lang w:val="en-GB"/>
        </w:rPr>
      </w:pPr>
      <w:r>
        <w:rPr>
          <w:rFonts w:ascii="Arial" w:hAnsi="Arial" w:cs="Arial"/>
          <w:b/>
          <w:sz w:val="22"/>
          <w:szCs w:val="22"/>
          <w:lang w:val="en-GB"/>
        </w:rPr>
        <w:t>QUESTION 1 (multiple-choice questions) [10 marks in total]</w:t>
      </w:r>
    </w:p>
    <w:p>
      <w:pPr>
        <w:ind w:left="720" w:hanging="720"/>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ascii="Arial" w:hAnsi="Arial" w:cs="Arial"/>
          <w:sz w:val="22"/>
          <w:szCs w:val="22"/>
          <w:highlight w:val="yellow"/>
          <w:lang w:val="en-GB"/>
        </w:rPr>
        <w:t xml:space="preserve">mark your selection on the answer sheet by highlighting the relevant paragraph </w:t>
      </w:r>
      <w:r>
        <w:rPr>
          <w:rFonts w:ascii="Arial" w:hAnsi="Arial" w:cs="Arial"/>
          <w:b/>
          <w:bCs/>
          <w:sz w:val="22"/>
          <w:szCs w:val="22"/>
          <w:highlight w:val="yellow"/>
          <w:lang w:val="en-GB"/>
        </w:rPr>
        <w:t>in yellow</w:t>
      </w:r>
      <w:r>
        <w:rPr>
          <w:rFonts w:ascii="Arial" w:hAnsi="Arial" w:cs="Arial"/>
          <w:sz w:val="22"/>
          <w:szCs w:val="22"/>
          <w:lang w:val="en-GB"/>
        </w:rPr>
        <w:t xml:space="preserve">. Select only </w:t>
      </w:r>
      <w:r>
        <w:rPr>
          <w:rFonts w:ascii="Arial" w:hAnsi="Arial" w:cs="Arial"/>
          <w:b/>
          <w:bCs/>
          <w:sz w:val="22"/>
          <w:szCs w:val="22"/>
          <w:lang w:val="en-GB"/>
        </w:rPr>
        <w:t>ONE</w:t>
      </w:r>
      <w:r>
        <w:rPr>
          <w:rFonts w:ascii="Arial" w:hAnsi="Arial" w:cs="Arial"/>
          <w:sz w:val="22"/>
          <w:szCs w:val="22"/>
          <w:lang w:val="en-GB"/>
        </w:rPr>
        <w:t xml:space="preserve"> answer. Candidates who select more than one answer will receive no mark for that specific question.</w:t>
      </w:r>
    </w:p>
    <w:p>
      <w:pPr>
        <w:autoSpaceDE w:val="0"/>
        <w:autoSpaceDN w:val="0"/>
        <w:adjustRightInd w:val="0"/>
        <w:jc w:val="both"/>
        <w:rPr>
          <w:rFonts w:ascii="Arial" w:hAnsi="Arial" w:cs="Arial"/>
          <w:sz w:val="22"/>
          <w:szCs w:val="22"/>
        </w:rPr>
      </w:pPr>
    </w:p>
    <w:p>
      <w:pPr>
        <w:jc w:val="both"/>
        <w:rPr>
          <w:rFonts w:hint="default" w:ascii="Arial" w:hAnsi="Arial" w:cs="Arial"/>
          <w:sz w:val="22"/>
          <w:szCs w:val="22"/>
          <w:highlight w:val="green"/>
          <w:lang w:val="en-US"/>
        </w:rPr>
      </w:pPr>
      <w:r>
        <w:rPr>
          <w:rFonts w:ascii="Arial" w:hAnsi="Arial" w:cs="Arial"/>
          <w:b/>
          <w:bCs/>
          <w:sz w:val="22"/>
          <w:szCs w:val="22"/>
        </w:rPr>
        <w:t>Question 1.1</w:t>
      </w:r>
      <w:r>
        <w:rPr>
          <w:rFonts w:ascii="Arial" w:hAnsi="Arial" w:cs="Arial"/>
          <w:sz w:val="22"/>
          <w:szCs w:val="22"/>
        </w:rPr>
        <w:t xml:space="preserve"> </w:t>
      </w:r>
      <w:r>
        <w:rPr>
          <w:rFonts w:hint="default" w:ascii="Arial" w:hAnsi="Arial" w:cs="Arial"/>
          <w:sz w:val="22"/>
          <w:szCs w:val="22"/>
          <w:lang w:val="en-US"/>
        </w:rPr>
        <w:t xml:space="preserve"> </w:t>
      </w:r>
    </w:p>
    <w:p>
      <w:pPr>
        <w:jc w:val="both"/>
        <w:rPr>
          <w:rFonts w:ascii="Arial" w:hAnsi="Arial" w:cs="Arial"/>
          <w:sz w:val="22"/>
          <w:szCs w:val="22"/>
        </w:rPr>
      </w:pPr>
    </w:p>
    <w:p>
      <w:pPr>
        <w:rPr>
          <w:rFonts w:ascii="Arial" w:hAnsi="Arial" w:cs="Arial"/>
          <w:sz w:val="22"/>
          <w:szCs w:val="22"/>
          <w:lang w:val="en-GB"/>
        </w:rPr>
      </w:pPr>
      <w:r>
        <w:rPr>
          <w:rFonts w:ascii="Arial" w:hAnsi="Arial" w:cs="Arial"/>
          <w:b/>
          <w:bCs/>
          <w:sz w:val="22"/>
          <w:szCs w:val="22"/>
          <w:lang w:val="en-GB"/>
        </w:rPr>
        <w:t>Select the correct answer</w:t>
      </w:r>
      <w:r>
        <w:rPr>
          <w:rFonts w:ascii="Arial" w:hAnsi="Arial" w:cs="Arial"/>
          <w:sz w:val="22"/>
          <w:szCs w:val="22"/>
          <w:lang w:val="en-GB"/>
        </w:rPr>
        <w:t>:</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pPr>
        <w:ind w:left="720" w:hanging="720"/>
        <w:jc w:val="both"/>
        <w:rPr>
          <w:rFonts w:ascii="Arial" w:hAnsi="Arial" w:cs="Arial"/>
          <w:sz w:val="22"/>
          <w:szCs w:val="22"/>
          <w:lang w:val="en-GB"/>
        </w:rPr>
      </w:pPr>
    </w:p>
    <w:p>
      <w:pPr>
        <w:pStyle w:val="18"/>
        <w:numPr>
          <w:ilvl w:val="0"/>
          <w:numId w:val="1"/>
        </w:numPr>
        <w:ind w:left="426"/>
        <w:jc w:val="both"/>
        <w:rPr>
          <w:rFonts w:ascii="Arial" w:hAnsi="Arial" w:cs="Arial"/>
          <w:sz w:val="22"/>
          <w:szCs w:val="22"/>
          <w:lang w:val="en-GB"/>
        </w:rPr>
      </w:pPr>
      <w:r>
        <w:rPr>
          <w:rFonts w:ascii="Arial" w:hAnsi="Arial" w:cs="Arial"/>
          <w:sz w:val="22"/>
          <w:szCs w:val="22"/>
          <w:lang w:val="en-GB"/>
        </w:rPr>
        <w:t>apply to AFSA or ASIC for the decision to be reversed or varied.</w:t>
      </w:r>
    </w:p>
    <w:p>
      <w:pPr>
        <w:ind w:left="66"/>
        <w:jc w:val="both"/>
        <w:rPr>
          <w:rFonts w:ascii="Arial" w:hAnsi="Arial" w:cs="Arial"/>
          <w:sz w:val="22"/>
          <w:szCs w:val="22"/>
          <w:lang w:val="en-GB"/>
        </w:rPr>
      </w:pPr>
    </w:p>
    <w:p>
      <w:pPr>
        <w:pStyle w:val="18"/>
        <w:numPr>
          <w:ilvl w:val="0"/>
          <w:numId w:val="1"/>
        </w:numPr>
        <w:ind w:left="426"/>
        <w:jc w:val="both"/>
        <w:rPr>
          <w:rFonts w:ascii="Arial" w:hAnsi="Arial" w:cs="Arial"/>
          <w:sz w:val="22"/>
          <w:szCs w:val="22"/>
          <w:lang w:val="en-GB"/>
        </w:rPr>
      </w:pPr>
      <w:r>
        <w:rPr>
          <w:rFonts w:ascii="Arial" w:hAnsi="Arial" w:cs="Arial"/>
          <w:sz w:val="22"/>
          <w:szCs w:val="22"/>
          <w:lang w:val="en-GB"/>
        </w:rPr>
        <w:t>apply to the bankruptcy trustee or liquidator for the decision to be reversed or varied.</w:t>
      </w:r>
    </w:p>
    <w:p>
      <w:pPr>
        <w:ind w:left="66"/>
        <w:jc w:val="both"/>
        <w:rPr>
          <w:rFonts w:ascii="Arial" w:hAnsi="Arial" w:cs="Arial"/>
          <w:sz w:val="22"/>
          <w:szCs w:val="22"/>
          <w:lang w:val="en-GB"/>
        </w:rPr>
      </w:pPr>
    </w:p>
    <w:p>
      <w:pPr>
        <w:pStyle w:val="18"/>
        <w:numPr>
          <w:ilvl w:val="0"/>
          <w:numId w:val="1"/>
        </w:numPr>
        <w:ind w:left="426"/>
        <w:jc w:val="both"/>
        <w:rPr>
          <w:rFonts w:ascii="Arial" w:hAnsi="Arial" w:cs="Arial"/>
          <w:sz w:val="22"/>
          <w:szCs w:val="22"/>
          <w:lang w:val="en-GB"/>
        </w:rPr>
      </w:pPr>
      <w:r>
        <w:rPr>
          <w:rFonts w:ascii="Arial" w:hAnsi="Arial" w:cs="Arial"/>
          <w:sz w:val="22"/>
          <w:szCs w:val="22"/>
          <w:lang w:val="en-GB"/>
        </w:rPr>
        <w:t>bring court proceedings for a money judgment in respect of the debt.</w:t>
      </w:r>
    </w:p>
    <w:p>
      <w:pPr>
        <w:ind w:left="66"/>
        <w:jc w:val="both"/>
        <w:rPr>
          <w:rFonts w:ascii="Arial" w:hAnsi="Arial" w:cs="Arial"/>
          <w:sz w:val="22"/>
          <w:szCs w:val="22"/>
          <w:lang w:val="en-GB"/>
        </w:rPr>
      </w:pPr>
    </w:p>
    <w:p>
      <w:pPr>
        <w:pStyle w:val="18"/>
        <w:numPr>
          <w:ilvl w:val="0"/>
          <w:numId w:val="1"/>
        </w:numPr>
        <w:ind w:left="426"/>
        <w:jc w:val="both"/>
        <w:rPr>
          <w:rFonts w:ascii="Arial" w:hAnsi="Arial" w:cs="Arial"/>
          <w:sz w:val="22"/>
          <w:szCs w:val="22"/>
          <w:highlight w:val="yellow"/>
          <w:lang w:val="en-GB"/>
        </w:rPr>
      </w:pPr>
      <w:r>
        <w:rPr>
          <w:rFonts w:ascii="Arial" w:hAnsi="Arial" w:cs="Arial"/>
          <w:sz w:val="22"/>
          <w:szCs w:val="22"/>
          <w:highlight w:val="yellow"/>
          <w:lang w:val="en-GB"/>
        </w:rPr>
        <w:t>apply to the court for the decision to be reversed or varied.</w:t>
      </w:r>
    </w:p>
    <w:p>
      <w:pPr>
        <w:jc w:val="both"/>
        <w:rPr>
          <w:rFonts w:ascii="Arial" w:hAnsi="Arial" w:cs="Arial"/>
          <w:sz w:val="22"/>
          <w:szCs w:val="22"/>
        </w:rPr>
      </w:pPr>
    </w:p>
    <w:p>
      <w:pPr>
        <w:jc w:val="both"/>
        <w:rPr>
          <w:rFonts w:ascii="Arial" w:hAnsi="Arial" w:cs="Arial"/>
          <w:b/>
          <w:bCs/>
          <w:sz w:val="22"/>
          <w:szCs w:val="22"/>
        </w:rPr>
      </w:pPr>
      <w:r>
        <w:rPr>
          <w:rFonts w:ascii="Arial" w:hAnsi="Arial" w:cs="Arial"/>
          <w:b/>
          <w:bCs/>
          <w:sz w:val="22"/>
          <w:szCs w:val="22"/>
        </w:rPr>
        <w:t>Question 1.2</w:t>
      </w:r>
    </w:p>
    <w:p>
      <w:pPr>
        <w:jc w:val="both"/>
        <w:rPr>
          <w:rFonts w:ascii="Arial" w:hAnsi="Arial" w:cs="Arial"/>
          <w:b/>
          <w:bCs/>
          <w:sz w:val="22"/>
          <w:szCs w:val="22"/>
        </w:rPr>
      </w:pPr>
    </w:p>
    <w:p>
      <w:pPr>
        <w:ind w:left="720" w:hanging="720"/>
        <w:rPr>
          <w:rFonts w:ascii="Arial" w:hAnsi="Arial" w:cs="Arial"/>
          <w:sz w:val="22"/>
          <w:szCs w:val="22"/>
          <w:lang w:val="en-GB"/>
        </w:rPr>
      </w:pPr>
      <w:r>
        <w:rPr>
          <w:rFonts w:ascii="Arial" w:hAnsi="Arial" w:cs="Arial"/>
          <w:sz w:val="22"/>
          <w:szCs w:val="22"/>
          <w:lang w:val="en-GB"/>
        </w:rPr>
        <w:t xml:space="preserve">Which of the following </w:t>
      </w:r>
      <w:r>
        <w:rPr>
          <w:rFonts w:ascii="Arial" w:hAnsi="Arial" w:cs="Arial"/>
          <w:b/>
          <w:bCs/>
          <w:sz w:val="22"/>
          <w:szCs w:val="22"/>
          <w:lang w:val="en-GB"/>
        </w:rPr>
        <w:t>is not</w:t>
      </w:r>
      <w:r>
        <w:rPr>
          <w:rFonts w:ascii="Arial" w:hAnsi="Arial" w:cs="Arial"/>
          <w:sz w:val="22"/>
          <w:szCs w:val="22"/>
          <w:lang w:val="en-GB"/>
        </w:rPr>
        <w:t xml:space="preserve"> a collective insolvency process:</w:t>
      </w:r>
    </w:p>
    <w:p>
      <w:pPr>
        <w:ind w:left="720" w:hanging="720"/>
        <w:rPr>
          <w:rFonts w:ascii="Arial" w:hAnsi="Arial" w:cs="Arial"/>
          <w:sz w:val="22"/>
          <w:szCs w:val="22"/>
          <w:lang w:val="en-GB"/>
        </w:rPr>
      </w:pPr>
    </w:p>
    <w:p>
      <w:pPr>
        <w:pStyle w:val="18"/>
        <w:numPr>
          <w:ilvl w:val="0"/>
          <w:numId w:val="2"/>
        </w:numPr>
        <w:ind w:left="426"/>
        <w:rPr>
          <w:rFonts w:ascii="Arial" w:hAnsi="Arial" w:cs="Arial"/>
          <w:sz w:val="22"/>
          <w:szCs w:val="22"/>
          <w:highlight w:val="yellow"/>
          <w:lang w:val="en-GB"/>
        </w:rPr>
      </w:pPr>
      <w:r>
        <w:rPr>
          <w:rFonts w:ascii="Arial" w:hAnsi="Arial" w:cs="Arial"/>
          <w:sz w:val="22"/>
          <w:szCs w:val="22"/>
          <w:highlight w:val="yellow"/>
          <w:lang w:val="en-GB"/>
        </w:rPr>
        <w:t>Receivership.</w:t>
      </w:r>
    </w:p>
    <w:p>
      <w:pPr>
        <w:ind w:left="66"/>
        <w:rPr>
          <w:rFonts w:ascii="Arial" w:hAnsi="Arial" w:cs="Arial"/>
          <w:sz w:val="22"/>
          <w:szCs w:val="22"/>
          <w:lang w:val="en-GB"/>
        </w:rPr>
      </w:pPr>
    </w:p>
    <w:p>
      <w:pPr>
        <w:pStyle w:val="18"/>
        <w:numPr>
          <w:ilvl w:val="0"/>
          <w:numId w:val="2"/>
        </w:numPr>
        <w:ind w:left="426"/>
        <w:rPr>
          <w:rFonts w:ascii="Arial" w:hAnsi="Arial" w:cs="Arial"/>
          <w:sz w:val="22"/>
          <w:szCs w:val="22"/>
          <w:lang w:val="en-GB"/>
        </w:rPr>
      </w:pPr>
      <w:r>
        <w:rPr>
          <w:rFonts w:ascii="Arial" w:hAnsi="Arial" w:cs="Arial"/>
          <w:sz w:val="22"/>
          <w:szCs w:val="22"/>
          <w:lang w:val="en-GB"/>
        </w:rPr>
        <w:t>Liquidation.</w:t>
      </w:r>
    </w:p>
    <w:p>
      <w:pPr>
        <w:ind w:left="66"/>
        <w:rPr>
          <w:rFonts w:ascii="Arial" w:hAnsi="Arial" w:cs="Arial"/>
          <w:sz w:val="22"/>
          <w:szCs w:val="22"/>
          <w:lang w:val="en-GB"/>
        </w:rPr>
      </w:pPr>
    </w:p>
    <w:p>
      <w:pPr>
        <w:pStyle w:val="18"/>
        <w:numPr>
          <w:ilvl w:val="0"/>
          <w:numId w:val="2"/>
        </w:numPr>
        <w:ind w:left="426"/>
        <w:rPr>
          <w:rFonts w:ascii="Arial" w:hAnsi="Arial" w:cs="Arial"/>
          <w:sz w:val="22"/>
          <w:szCs w:val="22"/>
          <w:lang w:val="en-GB"/>
        </w:rPr>
      </w:pPr>
      <w:r>
        <w:rPr>
          <w:rFonts w:ascii="Arial" w:hAnsi="Arial" w:cs="Arial"/>
          <w:sz w:val="22"/>
          <w:szCs w:val="22"/>
          <w:lang w:val="en-GB"/>
        </w:rPr>
        <w:t>Deed of company arrangement.</w:t>
      </w:r>
    </w:p>
    <w:p>
      <w:pPr>
        <w:ind w:left="66"/>
        <w:rPr>
          <w:rFonts w:ascii="Arial" w:hAnsi="Arial" w:cs="Arial"/>
          <w:sz w:val="22"/>
          <w:szCs w:val="22"/>
          <w:lang w:val="en-GB"/>
        </w:rPr>
      </w:pPr>
    </w:p>
    <w:p>
      <w:pPr>
        <w:pStyle w:val="18"/>
        <w:numPr>
          <w:ilvl w:val="0"/>
          <w:numId w:val="2"/>
        </w:numPr>
        <w:ind w:left="426"/>
        <w:rPr>
          <w:rFonts w:ascii="Arial" w:hAnsi="Arial" w:cs="Arial"/>
          <w:sz w:val="22"/>
          <w:szCs w:val="22"/>
          <w:lang w:val="en-GB"/>
        </w:rPr>
      </w:pPr>
      <w:r>
        <w:rPr>
          <w:rFonts w:ascii="Arial" w:hAnsi="Arial" w:cs="Arial"/>
          <w:sz w:val="22"/>
          <w:szCs w:val="22"/>
          <w:lang w:val="en-GB"/>
        </w:rPr>
        <w:t>Voluntary administration.</w:t>
      </w:r>
    </w:p>
    <w:p>
      <w:pPr>
        <w:ind w:left="66"/>
        <w:jc w:val="both"/>
        <w:rPr>
          <w:rFonts w:ascii="Arial" w:hAnsi="Arial" w:cs="Arial"/>
          <w:iCs/>
          <w:sz w:val="22"/>
          <w:szCs w:val="22"/>
          <w:lang w:val="en-GB"/>
        </w:rPr>
      </w:pPr>
    </w:p>
    <w:p>
      <w:pPr>
        <w:jc w:val="both"/>
        <w:rPr>
          <w:rFonts w:hint="default" w:ascii="Arial" w:hAnsi="Arial" w:cs="Arial"/>
          <w:b/>
          <w:bCs/>
          <w:sz w:val="22"/>
          <w:szCs w:val="22"/>
          <w:lang w:val="en-US"/>
        </w:rPr>
      </w:pPr>
      <w:r>
        <w:rPr>
          <w:rFonts w:ascii="Arial" w:hAnsi="Arial" w:cs="Arial"/>
          <w:b/>
          <w:bCs/>
          <w:sz w:val="22"/>
          <w:szCs w:val="22"/>
        </w:rPr>
        <w:t>Question 1.3</w:t>
      </w:r>
      <w:r>
        <w:rPr>
          <w:rFonts w:hint="default" w:ascii="Arial" w:hAnsi="Arial" w:cs="Arial"/>
          <w:b/>
          <w:bCs/>
          <w:sz w:val="22"/>
          <w:szCs w:val="22"/>
          <w:lang w:val="en-US"/>
        </w:rPr>
        <w:t xml:space="preserve"> </w:t>
      </w:r>
    </w:p>
    <w:p>
      <w:pPr>
        <w:jc w:val="both"/>
        <w:rPr>
          <w:rFonts w:ascii="Arial" w:hAnsi="Arial" w:cs="Arial"/>
          <w:sz w:val="22"/>
          <w:szCs w:val="22"/>
        </w:rPr>
      </w:pPr>
    </w:p>
    <w:p>
      <w:pPr>
        <w:ind w:left="720" w:hanging="720"/>
        <w:rPr>
          <w:rFonts w:ascii="Arial" w:hAnsi="Arial" w:cs="Arial"/>
          <w:sz w:val="22"/>
          <w:szCs w:val="22"/>
          <w:lang w:val="en-GB"/>
        </w:rPr>
      </w:pPr>
      <w:r>
        <w:rPr>
          <w:rFonts w:ascii="Arial" w:hAnsi="Arial" w:cs="Arial"/>
          <w:b/>
          <w:bCs/>
          <w:sz w:val="22"/>
          <w:szCs w:val="22"/>
          <w:lang w:val="en-GB"/>
        </w:rPr>
        <w:t>Select the correct answer</w:t>
      </w:r>
      <w:r>
        <w:rPr>
          <w:rFonts w:ascii="Arial" w:hAnsi="Arial" w:cs="Arial"/>
          <w:sz w:val="22"/>
          <w:szCs w:val="22"/>
          <w:lang w:val="en-GB"/>
        </w:rPr>
        <w:t>:</w:t>
      </w:r>
    </w:p>
    <w:p>
      <w:pPr>
        <w:ind w:left="720" w:hanging="720"/>
        <w:rPr>
          <w:rFonts w:ascii="Arial" w:hAnsi="Arial" w:cs="Arial"/>
          <w:sz w:val="22"/>
          <w:szCs w:val="22"/>
          <w:lang w:val="en-GB"/>
        </w:rPr>
      </w:pPr>
    </w:p>
    <w:p>
      <w:pPr>
        <w:ind w:left="720" w:hanging="720"/>
        <w:rPr>
          <w:rFonts w:ascii="Arial" w:hAnsi="Arial" w:cs="Arial"/>
          <w:sz w:val="22"/>
          <w:szCs w:val="22"/>
          <w:lang w:val="en-GB"/>
        </w:rPr>
      </w:pPr>
      <w:r>
        <w:rPr>
          <w:rFonts w:ascii="Arial" w:hAnsi="Arial" w:cs="Arial"/>
          <w:sz w:val="22"/>
          <w:szCs w:val="22"/>
          <w:lang w:val="en-GB"/>
        </w:rPr>
        <w:t>The purpose of the Assetless Administration Fund is to:</w:t>
      </w:r>
    </w:p>
    <w:p>
      <w:pPr>
        <w:ind w:left="720" w:hanging="720"/>
        <w:rPr>
          <w:rFonts w:ascii="Arial" w:hAnsi="Arial" w:cs="Arial"/>
          <w:sz w:val="22"/>
          <w:szCs w:val="22"/>
          <w:lang w:val="en-GB"/>
        </w:rPr>
      </w:pPr>
    </w:p>
    <w:p>
      <w:pPr>
        <w:pStyle w:val="18"/>
        <w:numPr>
          <w:ilvl w:val="0"/>
          <w:numId w:val="3"/>
        </w:numPr>
        <w:ind w:left="426"/>
        <w:jc w:val="both"/>
        <w:rPr>
          <w:rFonts w:ascii="Arial" w:hAnsi="Arial" w:cs="Arial"/>
          <w:sz w:val="22"/>
          <w:szCs w:val="22"/>
          <w:lang w:val="en-GB"/>
        </w:rPr>
      </w:pPr>
      <w:r>
        <w:rPr>
          <w:rFonts w:ascii="Arial" w:hAnsi="Arial" w:cs="Arial"/>
          <w:sz w:val="22"/>
          <w:szCs w:val="22"/>
          <w:lang w:val="en-GB"/>
        </w:rPr>
        <w:t>finance preliminary investigations and reports by AFSA to trustees into the bankruptcies of individuals with few or no assets, to assist trustees in deciding whether to commence enforcement action.</w:t>
      </w:r>
    </w:p>
    <w:p>
      <w:pPr>
        <w:ind w:left="66"/>
        <w:jc w:val="both"/>
        <w:rPr>
          <w:rFonts w:ascii="Arial" w:hAnsi="Arial" w:cs="Arial"/>
          <w:sz w:val="22"/>
          <w:szCs w:val="22"/>
          <w:lang w:val="en-GB"/>
        </w:rPr>
      </w:pPr>
    </w:p>
    <w:p>
      <w:pPr>
        <w:pStyle w:val="18"/>
        <w:numPr>
          <w:ilvl w:val="0"/>
          <w:numId w:val="3"/>
        </w:numPr>
        <w:ind w:left="426"/>
        <w:jc w:val="both"/>
        <w:rPr>
          <w:rFonts w:ascii="Arial" w:hAnsi="Arial" w:cs="Arial"/>
          <w:sz w:val="22"/>
          <w:szCs w:val="22"/>
          <w:lang w:val="en-GB"/>
        </w:rPr>
      </w:pPr>
      <w:r>
        <w:rPr>
          <w:rFonts w:ascii="Arial" w:hAnsi="Arial" w:cs="Arial"/>
          <w:sz w:val="22"/>
          <w:szCs w:val="22"/>
          <w:lang w:val="en-GB"/>
        </w:rPr>
        <w:t>finance preliminary investigations and reports by ASIC to liquidators into the failure of companies with few or no assets, to assist liquidators in deciding whether to commence enforcement action.</w:t>
      </w:r>
    </w:p>
    <w:p>
      <w:pPr>
        <w:ind w:left="66"/>
        <w:jc w:val="both"/>
        <w:rPr>
          <w:rFonts w:ascii="Arial" w:hAnsi="Arial" w:cs="Arial"/>
          <w:sz w:val="22"/>
          <w:szCs w:val="22"/>
          <w:lang w:val="en-GB"/>
        </w:rPr>
      </w:pPr>
    </w:p>
    <w:p>
      <w:pPr>
        <w:pStyle w:val="18"/>
        <w:numPr>
          <w:ilvl w:val="0"/>
          <w:numId w:val="3"/>
        </w:numPr>
        <w:ind w:left="426"/>
        <w:jc w:val="both"/>
        <w:rPr>
          <w:rFonts w:ascii="Arial" w:hAnsi="Arial" w:cs="Arial"/>
          <w:sz w:val="22"/>
          <w:szCs w:val="22"/>
          <w:lang w:val="en-GB"/>
        </w:rPr>
      </w:pPr>
      <w:r>
        <w:rPr>
          <w:rFonts w:ascii="Arial" w:hAnsi="Arial" w:cs="Arial"/>
          <w:sz w:val="22"/>
          <w:szCs w:val="22"/>
          <w:lang w:val="en-GB"/>
        </w:rPr>
        <w:t>finance preliminary investigations and reports to AFSA by trustees into the bankruptcies of individuals with few or no assets, to assist AFSA in deciding whether to commence enforcement action.</w:t>
      </w:r>
    </w:p>
    <w:p>
      <w:pPr>
        <w:ind w:left="66"/>
        <w:jc w:val="both"/>
        <w:rPr>
          <w:rFonts w:ascii="Arial" w:hAnsi="Arial" w:cs="Arial"/>
          <w:sz w:val="22"/>
          <w:szCs w:val="22"/>
          <w:lang w:val="en-GB"/>
        </w:rPr>
      </w:pPr>
    </w:p>
    <w:p>
      <w:pPr>
        <w:pStyle w:val="18"/>
        <w:numPr>
          <w:ilvl w:val="0"/>
          <w:numId w:val="3"/>
        </w:numPr>
        <w:ind w:left="426"/>
        <w:jc w:val="both"/>
        <w:rPr>
          <w:rFonts w:ascii="Arial" w:hAnsi="Arial" w:cs="Arial"/>
          <w:sz w:val="22"/>
          <w:szCs w:val="22"/>
          <w:highlight w:val="yellow"/>
          <w:lang w:val="en-GB"/>
        </w:rPr>
      </w:pPr>
      <w:r>
        <w:rPr>
          <w:rFonts w:ascii="Arial" w:hAnsi="Arial" w:cs="Arial"/>
          <w:sz w:val="22"/>
          <w:szCs w:val="22"/>
          <w:highlight w:val="yellow"/>
          <w:lang w:val="en-GB"/>
        </w:rPr>
        <w:t>finance preliminary investigations and reports to ASIC by liquidators into the failure of companies with few or no assets, to assist ASIC in deciding whether to commence enforcement action.</w:t>
      </w:r>
    </w:p>
    <w:p>
      <w:pPr>
        <w:jc w:val="both"/>
        <w:rPr>
          <w:rFonts w:ascii="Arial" w:hAnsi="Arial" w:cs="Arial"/>
          <w:sz w:val="21"/>
          <w:szCs w:val="21"/>
        </w:rPr>
      </w:pPr>
    </w:p>
    <w:p>
      <w:pPr>
        <w:jc w:val="both"/>
        <w:rPr>
          <w:rFonts w:ascii="Arial" w:hAnsi="Arial" w:cs="Arial"/>
          <w:sz w:val="22"/>
          <w:szCs w:val="22"/>
        </w:rPr>
      </w:pPr>
      <w:r>
        <w:rPr>
          <w:rFonts w:ascii="Arial" w:hAnsi="Arial" w:cs="Arial"/>
          <w:b/>
          <w:bCs/>
          <w:sz w:val="22"/>
          <w:szCs w:val="22"/>
        </w:rPr>
        <w:t>Question 1.4</w:t>
      </w:r>
      <w:r>
        <w:rPr>
          <w:rFonts w:ascii="Arial" w:hAnsi="Arial" w:cs="Arial"/>
          <w:sz w:val="22"/>
          <w:szCs w:val="22"/>
        </w:rPr>
        <w:t xml:space="preserve"> </w:t>
      </w:r>
    </w:p>
    <w:p>
      <w:pPr>
        <w:jc w:val="both"/>
        <w:rPr>
          <w:rFonts w:ascii="Arial" w:hAnsi="Arial" w:cs="Arial"/>
          <w:sz w:val="22"/>
          <w:szCs w:val="22"/>
        </w:rPr>
      </w:pPr>
    </w:p>
    <w:p>
      <w:pPr>
        <w:jc w:val="both"/>
        <w:rPr>
          <w:rFonts w:ascii="Arial" w:hAnsi="Arial" w:cs="Arial"/>
          <w:sz w:val="22"/>
          <w:szCs w:val="22"/>
          <w:lang w:val="en-GB"/>
        </w:rPr>
      </w:pPr>
      <w:r>
        <w:rPr>
          <w:rFonts w:ascii="Arial" w:hAnsi="Arial" w:cs="Arial"/>
          <w:b/>
          <w:bCs/>
          <w:sz w:val="22"/>
          <w:szCs w:val="22"/>
          <w:lang w:val="en-GB"/>
        </w:rPr>
        <w:t>Select the correct answer</w:t>
      </w:r>
      <w:r>
        <w:rPr>
          <w:rFonts w:ascii="Arial" w:hAnsi="Arial" w:cs="Arial"/>
          <w:sz w:val="22"/>
          <w:szCs w:val="22"/>
          <w:lang w:val="en-GB"/>
        </w:rPr>
        <w:t>:</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 xml:space="preserve">Newco Pty Ltd has 3 employees and an annual turnover of AUD 950,000. It currently owes AUD 300,000 to its trade creditors, and it has a AUD 800,000 secured loan from its bank. Which of these restructuring processes is Newco </w:t>
      </w:r>
      <w:r>
        <w:rPr>
          <w:rFonts w:ascii="Arial" w:hAnsi="Arial" w:cs="Arial"/>
          <w:b/>
          <w:bCs/>
          <w:sz w:val="22"/>
          <w:szCs w:val="22"/>
          <w:lang w:val="en-GB"/>
        </w:rPr>
        <w:t>ineligible</w:t>
      </w:r>
      <w:r>
        <w:rPr>
          <w:rFonts w:ascii="Arial" w:hAnsi="Arial" w:cs="Arial"/>
          <w:i/>
          <w:iCs/>
          <w:sz w:val="22"/>
          <w:szCs w:val="22"/>
          <w:lang w:val="en-GB"/>
        </w:rPr>
        <w:t xml:space="preserve"> </w:t>
      </w:r>
      <w:r>
        <w:rPr>
          <w:rFonts w:ascii="Arial" w:hAnsi="Arial" w:cs="Arial"/>
          <w:sz w:val="22"/>
          <w:szCs w:val="22"/>
          <w:lang w:val="en-GB"/>
        </w:rPr>
        <w:t>for?</w:t>
      </w:r>
    </w:p>
    <w:p>
      <w:pPr>
        <w:jc w:val="both"/>
        <w:rPr>
          <w:rFonts w:ascii="Arial" w:hAnsi="Arial" w:cs="Arial"/>
          <w:sz w:val="22"/>
          <w:szCs w:val="22"/>
          <w:lang w:val="en-GB"/>
        </w:rPr>
      </w:pPr>
    </w:p>
    <w:p>
      <w:pPr>
        <w:pStyle w:val="18"/>
        <w:numPr>
          <w:ilvl w:val="0"/>
          <w:numId w:val="4"/>
        </w:numPr>
        <w:ind w:left="426"/>
        <w:rPr>
          <w:rFonts w:ascii="Arial" w:hAnsi="Arial" w:cs="Arial"/>
          <w:sz w:val="22"/>
          <w:szCs w:val="22"/>
          <w:highlight w:val="none"/>
          <w:lang w:val="en-GB"/>
        </w:rPr>
      </w:pPr>
      <w:r>
        <w:rPr>
          <w:rFonts w:ascii="Arial" w:hAnsi="Arial" w:cs="Arial"/>
          <w:sz w:val="22"/>
          <w:szCs w:val="22"/>
          <w:highlight w:val="none"/>
          <w:lang w:val="en-GB"/>
        </w:rPr>
        <w:t>A voluntary administration followed by a deed of company arrangement.</w:t>
      </w:r>
    </w:p>
    <w:p>
      <w:pPr>
        <w:ind w:left="426"/>
        <w:rPr>
          <w:rFonts w:ascii="Arial" w:hAnsi="Arial" w:cs="Arial"/>
          <w:sz w:val="22"/>
          <w:szCs w:val="22"/>
          <w:lang w:val="en-GB"/>
        </w:rPr>
      </w:pPr>
    </w:p>
    <w:p>
      <w:pPr>
        <w:pStyle w:val="18"/>
        <w:numPr>
          <w:ilvl w:val="0"/>
          <w:numId w:val="4"/>
        </w:numPr>
        <w:ind w:left="426"/>
        <w:rPr>
          <w:rFonts w:ascii="Arial" w:hAnsi="Arial" w:cs="Arial"/>
          <w:sz w:val="22"/>
          <w:szCs w:val="22"/>
          <w:lang w:val="en-GB"/>
        </w:rPr>
      </w:pPr>
      <w:r>
        <w:rPr>
          <w:rFonts w:ascii="Arial" w:hAnsi="Arial" w:cs="Arial"/>
          <w:sz w:val="22"/>
          <w:szCs w:val="22"/>
          <w:lang w:val="en-GB"/>
        </w:rPr>
        <w:t>An informal restructuring with the agreement of creditors.</w:t>
      </w:r>
    </w:p>
    <w:p>
      <w:pPr>
        <w:ind w:left="426"/>
        <w:rPr>
          <w:rFonts w:ascii="Arial" w:hAnsi="Arial" w:cs="Arial"/>
          <w:sz w:val="22"/>
          <w:szCs w:val="22"/>
          <w:lang w:val="en-GB"/>
        </w:rPr>
      </w:pPr>
    </w:p>
    <w:p>
      <w:pPr>
        <w:pStyle w:val="18"/>
        <w:numPr>
          <w:ilvl w:val="0"/>
          <w:numId w:val="4"/>
        </w:numPr>
        <w:ind w:left="426"/>
        <w:rPr>
          <w:rFonts w:ascii="Arial" w:hAnsi="Arial" w:cs="Arial"/>
          <w:sz w:val="22"/>
          <w:szCs w:val="22"/>
          <w:highlight w:val="yellow"/>
          <w:lang w:val="en-GB"/>
        </w:rPr>
      </w:pPr>
      <w:r>
        <w:rPr>
          <w:rFonts w:ascii="Arial" w:hAnsi="Arial" w:cs="Arial"/>
          <w:sz w:val="22"/>
          <w:szCs w:val="22"/>
          <w:highlight w:val="yellow"/>
          <w:lang w:val="en-GB"/>
        </w:rPr>
        <w:t>A small business restructuring plan.</w:t>
      </w:r>
    </w:p>
    <w:p>
      <w:pPr>
        <w:ind w:left="426"/>
        <w:rPr>
          <w:rFonts w:ascii="Arial" w:hAnsi="Arial" w:cs="Arial"/>
          <w:sz w:val="22"/>
          <w:szCs w:val="22"/>
          <w:lang w:val="en-GB"/>
        </w:rPr>
      </w:pPr>
    </w:p>
    <w:p>
      <w:pPr>
        <w:pStyle w:val="18"/>
        <w:numPr>
          <w:ilvl w:val="0"/>
          <w:numId w:val="4"/>
        </w:numPr>
        <w:ind w:left="426"/>
        <w:rPr>
          <w:rFonts w:ascii="Arial" w:hAnsi="Arial" w:cs="Arial"/>
          <w:sz w:val="22"/>
          <w:szCs w:val="22"/>
          <w:lang w:val="en-GB"/>
        </w:rPr>
      </w:pPr>
      <w:r>
        <w:rPr>
          <w:rFonts w:ascii="Arial" w:hAnsi="Arial" w:cs="Arial"/>
          <w:sz w:val="22"/>
          <w:szCs w:val="22"/>
          <w:lang w:val="en-GB"/>
        </w:rPr>
        <w:t>A deed of company arrangement.</w:t>
      </w:r>
    </w:p>
    <w:p>
      <w:pPr>
        <w:ind w:left="426" w:hanging="284"/>
        <w:rPr>
          <w:rFonts w:ascii="Arial" w:hAnsi="Arial" w:cs="Arial"/>
          <w:sz w:val="22"/>
          <w:szCs w:val="22"/>
        </w:rPr>
      </w:pPr>
    </w:p>
    <w:p>
      <w:pPr>
        <w:keepNext/>
        <w:jc w:val="both"/>
        <w:rPr>
          <w:rFonts w:ascii="Arial" w:hAnsi="Arial" w:cs="Arial"/>
          <w:b/>
          <w:bCs/>
          <w:sz w:val="22"/>
          <w:szCs w:val="22"/>
        </w:rPr>
      </w:pPr>
      <w:r>
        <w:rPr>
          <w:rFonts w:ascii="Arial" w:hAnsi="Arial" w:cs="Arial"/>
          <w:b/>
          <w:bCs/>
          <w:sz w:val="22"/>
          <w:szCs w:val="22"/>
        </w:rPr>
        <w:t>Question 1.5</w:t>
      </w:r>
    </w:p>
    <w:p>
      <w:pPr>
        <w:keepNext/>
        <w:jc w:val="both"/>
        <w:rPr>
          <w:rFonts w:ascii="Arial" w:hAnsi="Arial" w:cs="Arial"/>
          <w:b/>
          <w:bCs/>
          <w:sz w:val="22"/>
          <w:szCs w:val="22"/>
        </w:rPr>
      </w:pPr>
    </w:p>
    <w:p>
      <w:pPr>
        <w:ind w:left="720" w:hanging="720"/>
        <w:rPr>
          <w:rFonts w:ascii="Arial" w:hAnsi="Arial" w:cs="Arial"/>
          <w:sz w:val="22"/>
          <w:szCs w:val="22"/>
          <w:lang w:val="en-GB"/>
        </w:rPr>
      </w:pPr>
      <w:r>
        <w:rPr>
          <w:rFonts w:ascii="Arial" w:hAnsi="Arial" w:cs="Arial"/>
          <w:b/>
          <w:bCs/>
          <w:sz w:val="22"/>
          <w:szCs w:val="22"/>
          <w:lang w:val="en-GB"/>
        </w:rPr>
        <w:t>Select the correct answer</w:t>
      </w:r>
      <w:r>
        <w:rPr>
          <w:rFonts w:ascii="Arial" w:hAnsi="Arial" w:cs="Arial"/>
          <w:sz w:val="22"/>
          <w:szCs w:val="22"/>
          <w:lang w:val="en-GB"/>
        </w:rPr>
        <w:t>:</w:t>
      </w:r>
    </w:p>
    <w:p>
      <w:pPr>
        <w:ind w:left="720" w:hanging="720"/>
        <w:rPr>
          <w:rFonts w:ascii="Arial" w:hAnsi="Arial" w:cs="Arial"/>
          <w:sz w:val="22"/>
          <w:szCs w:val="22"/>
          <w:lang w:val="en-GB"/>
        </w:rPr>
      </w:pPr>
    </w:p>
    <w:p>
      <w:pPr>
        <w:ind w:left="720" w:hanging="720"/>
        <w:rPr>
          <w:rFonts w:ascii="Arial" w:hAnsi="Arial" w:cs="Arial"/>
          <w:sz w:val="22"/>
          <w:szCs w:val="22"/>
          <w:lang w:val="en-GB"/>
        </w:rPr>
      </w:pPr>
      <w:r>
        <w:rPr>
          <w:rFonts w:ascii="Arial" w:hAnsi="Arial" w:cs="Arial"/>
          <w:sz w:val="22"/>
          <w:szCs w:val="22"/>
          <w:lang w:val="en-GB"/>
        </w:rPr>
        <w:t xml:space="preserve">Which of the following is </w:t>
      </w:r>
      <w:r>
        <w:rPr>
          <w:rFonts w:ascii="Arial" w:hAnsi="Arial" w:cs="Arial"/>
          <w:b/>
          <w:bCs/>
          <w:sz w:val="22"/>
          <w:szCs w:val="22"/>
          <w:lang w:val="en-GB"/>
        </w:rPr>
        <w:t>not</w:t>
      </w:r>
      <w:r>
        <w:rPr>
          <w:rFonts w:ascii="Arial" w:hAnsi="Arial" w:cs="Arial"/>
          <w:sz w:val="22"/>
          <w:szCs w:val="22"/>
          <w:lang w:val="en-GB"/>
        </w:rPr>
        <w:t xml:space="preserve"> “divisible property” in a bankruptcy?</w:t>
      </w:r>
    </w:p>
    <w:p>
      <w:pPr>
        <w:ind w:left="720" w:hanging="720"/>
        <w:rPr>
          <w:rFonts w:ascii="Arial" w:hAnsi="Arial" w:cs="Arial"/>
          <w:sz w:val="22"/>
          <w:szCs w:val="22"/>
          <w:lang w:val="en-GB"/>
        </w:rPr>
      </w:pPr>
    </w:p>
    <w:p>
      <w:pPr>
        <w:pStyle w:val="18"/>
        <w:numPr>
          <w:ilvl w:val="0"/>
          <w:numId w:val="5"/>
        </w:numPr>
        <w:ind w:left="426"/>
        <w:rPr>
          <w:rFonts w:ascii="Arial" w:hAnsi="Arial" w:cs="Arial"/>
          <w:sz w:val="22"/>
          <w:szCs w:val="22"/>
          <w:lang w:val="en-GB"/>
        </w:rPr>
      </w:pPr>
      <w:r>
        <w:rPr>
          <w:rFonts w:ascii="Arial" w:hAnsi="Arial" w:cs="Arial"/>
          <w:sz w:val="22"/>
          <w:szCs w:val="22"/>
          <w:lang w:val="en-GB"/>
        </w:rPr>
        <w:t>Wages earned by the bankrupt.</w:t>
      </w:r>
    </w:p>
    <w:p>
      <w:pPr>
        <w:ind w:left="66"/>
        <w:rPr>
          <w:rFonts w:ascii="Arial" w:hAnsi="Arial" w:cs="Arial"/>
          <w:sz w:val="22"/>
          <w:szCs w:val="22"/>
          <w:lang w:val="en-GB"/>
        </w:rPr>
      </w:pPr>
    </w:p>
    <w:p>
      <w:pPr>
        <w:pStyle w:val="18"/>
        <w:numPr>
          <w:ilvl w:val="0"/>
          <w:numId w:val="5"/>
        </w:numPr>
        <w:ind w:left="426"/>
        <w:rPr>
          <w:rFonts w:ascii="Arial" w:hAnsi="Arial" w:cs="Arial"/>
          <w:sz w:val="22"/>
          <w:szCs w:val="22"/>
          <w:lang w:val="en-GB"/>
        </w:rPr>
      </w:pPr>
      <w:r>
        <w:rPr>
          <w:rFonts w:ascii="Arial" w:hAnsi="Arial" w:cs="Arial"/>
          <w:sz w:val="22"/>
          <w:szCs w:val="22"/>
          <w:lang w:val="en-GB"/>
        </w:rPr>
        <w:t>Fine art.</w:t>
      </w:r>
    </w:p>
    <w:p>
      <w:pPr>
        <w:ind w:left="66"/>
        <w:rPr>
          <w:rFonts w:ascii="Arial" w:hAnsi="Arial" w:cs="Arial"/>
          <w:sz w:val="22"/>
          <w:szCs w:val="22"/>
          <w:lang w:val="en-GB"/>
        </w:rPr>
      </w:pPr>
    </w:p>
    <w:p>
      <w:pPr>
        <w:pStyle w:val="18"/>
        <w:numPr>
          <w:ilvl w:val="0"/>
          <w:numId w:val="5"/>
        </w:numPr>
        <w:ind w:left="426"/>
        <w:rPr>
          <w:rFonts w:ascii="Arial" w:hAnsi="Arial" w:cs="Arial"/>
          <w:sz w:val="22"/>
          <w:szCs w:val="22"/>
          <w:lang w:val="en-GB"/>
        </w:rPr>
      </w:pPr>
      <w:r>
        <w:rPr>
          <w:rFonts w:ascii="Arial" w:hAnsi="Arial" w:cs="Arial"/>
          <w:sz w:val="22"/>
          <w:szCs w:val="22"/>
          <w:lang w:val="en-GB"/>
        </w:rPr>
        <w:t>Choses in action relating to the debtors’ assets.</w:t>
      </w:r>
    </w:p>
    <w:p>
      <w:pPr>
        <w:ind w:left="66"/>
        <w:rPr>
          <w:rFonts w:ascii="Arial" w:hAnsi="Arial" w:cs="Arial"/>
          <w:sz w:val="22"/>
          <w:szCs w:val="22"/>
          <w:lang w:val="en-GB"/>
        </w:rPr>
      </w:pPr>
    </w:p>
    <w:p>
      <w:pPr>
        <w:pStyle w:val="18"/>
        <w:numPr>
          <w:ilvl w:val="0"/>
          <w:numId w:val="5"/>
        </w:numPr>
        <w:ind w:left="426"/>
        <w:rPr>
          <w:rFonts w:ascii="Arial" w:hAnsi="Arial" w:cs="Arial"/>
          <w:sz w:val="22"/>
          <w:szCs w:val="22"/>
          <w:lang w:val="en-GB"/>
        </w:rPr>
      </w:pPr>
      <w:r>
        <w:rPr>
          <w:rFonts w:ascii="Arial" w:hAnsi="Arial" w:cs="Arial"/>
          <w:sz w:val="22"/>
          <w:szCs w:val="22"/>
          <w:lang w:val="en-GB"/>
        </w:rPr>
        <w:t>The bankrupt’s family home.</w:t>
      </w:r>
    </w:p>
    <w:p>
      <w:pPr>
        <w:ind w:left="66"/>
        <w:rPr>
          <w:rFonts w:ascii="Arial" w:hAnsi="Arial" w:cs="Arial"/>
          <w:sz w:val="22"/>
          <w:szCs w:val="22"/>
          <w:lang w:val="en-GB"/>
        </w:rPr>
      </w:pPr>
    </w:p>
    <w:p>
      <w:pPr>
        <w:pStyle w:val="18"/>
        <w:numPr>
          <w:ilvl w:val="0"/>
          <w:numId w:val="5"/>
        </w:numPr>
        <w:autoSpaceDE w:val="0"/>
        <w:autoSpaceDN w:val="0"/>
        <w:adjustRightInd w:val="0"/>
        <w:ind w:left="426"/>
        <w:jc w:val="both"/>
        <w:rPr>
          <w:rFonts w:ascii="Arial" w:hAnsi="Arial" w:cs="Arial"/>
          <w:sz w:val="22"/>
          <w:szCs w:val="22"/>
          <w:highlight w:val="yellow"/>
        </w:rPr>
      </w:pPr>
      <w:r>
        <w:rPr>
          <w:rFonts w:ascii="Arial" w:hAnsi="Arial" w:cs="Arial"/>
          <w:sz w:val="22"/>
          <w:szCs w:val="22"/>
          <w:highlight w:val="yellow"/>
          <w:lang w:val="en-GB"/>
        </w:rPr>
        <w:t>Superannuation funds.</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b/>
          <w:bCs/>
          <w:sz w:val="22"/>
          <w:szCs w:val="22"/>
        </w:rPr>
        <w:t>Question 1.6</w:t>
      </w:r>
      <w:r>
        <w:rPr>
          <w:rFonts w:ascii="Arial" w:hAnsi="Arial" w:cs="Arial"/>
          <w:sz w:val="22"/>
          <w:szCs w:val="22"/>
        </w:rPr>
        <w:t xml:space="preserve"> </w:t>
      </w:r>
      <w:r>
        <w:rPr>
          <w:rFonts w:ascii="Arial" w:hAnsi="Arial" w:cs="Arial"/>
          <w:b/>
          <w:bCs/>
          <w:sz w:val="22"/>
          <w:szCs w:val="22"/>
        </w:rPr>
        <w:t xml:space="preserve"> </w:t>
      </w:r>
    </w:p>
    <w:p>
      <w:pPr>
        <w:autoSpaceDE w:val="0"/>
        <w:autoSpaceDN w:val="0"/>
        <w:adjustRightInd w:val="0"/>
        <w:jc w:val="both"/>
        <w:rPr>
          <w:rFonts w:ascii="Arial" w:hAnsi="Arial" w:cs="Arial"/>
          <w:sz w:val="22"/>
          <w:szCs w:val="22"/>
        </w:rPr>
      </w:pPr>
    </w:p>
    <w:p>
      <w:pPr>
        <w:jc w:val="both"/>
        <w:rPr>
          <w:rFonts w:ascii="Arial" w:hAnsi="Arial" w:cs="Arial"/>
          <w:sz w:val="22"/>
          <w:szCs w:val="22"/>
          <w:lang w:val="en-GB"/>
        </w:rPr>
      </w:pPr>
      <w:r>
        <w:rPr>
          <w:rFonts w:ascii="Arial" w:hAnsi="Arial" w:cs="Arial"/>
          <w:sz w:val="22"/>
          <w:szCs w:val="22"/>
          <w:lang w:val="en-GB"/>
        </w:rPr>
        <w:t xml:space="preserve">Which of the following </w:t>
      </w:r>
      <w:r>
        <w:rPr>
          <w:rFonts w:ascii="Arial" w:hAnsi="Arial" w:cs="Arial"/>
          <w:b/>
          <w:bCs/>
          <w:sz w:val="22"/>
          <w:szCs w:val="22"/>
          <w:lang w:val="en-GB"/>
        </w:rPr>
        <w:t>is not</w:t>
      </w:r>
      <w:r>
        <w:rPr>
          <w:rFonts w:ascii="Arial" w:hAnsi="Arial" w:cs="Arial"/>
          <w:sz w:val="22"/>
          <w:szCs w:val="22"/>
          <w:lang w:val="en-GB"/>
        </w:rPr>
        <w:t xml:space="preserve"> a relevant period for the entry into a transaction which constitutes an unfair preference in a liquidation?</w:t>
      </w:r>
    </w:p>
    <w:p>
      <w:pPr>
        <w:ind w:left="720" w:hanging="720"/>
        <w:rPr>
          <w:rFonts w:ascii="Arial" w:hAnsi="Arial" w:cs="Arial"/>
          <w:sz w:val="22"/>
          <w:szCs w:val="22"/>
          <w:lang w:val="en-GB"/>
        </w:rPr>
      </w:pPr>
    </w:p>
    <w:p>
      <w:pPr>
        <w:pStyle w:val="18"/>
        <w:numPr>
          <w:ilvl w:val="0"/>
          <w:numId w:val="6"/>
        </w:numPr>
        <w:ind w:left="426"/>
        <w:jc w:val="both"/>
        <w:rPr>
          <w:rFonts w:ascii="Arial" w:hAnsi="Arial" w:cs="Arial"/>
          <w:sz w:val="22"/>
          <w:szCs w:val="22"/>
          <w:lang w:val="en-GB"/>
        </w:rPr>
      </w:pPr>
      <w:r>
        <w:rPr>
          <w:rFonts w:ascii="Arial" w:hAnsi="Arial" w:cs="Arial"/>
          <w:sz w:val="22"/>
          <w:szCs w:val="22"/>
          <w:lang w:val="en-GB"/>
        </w:rPr>
        <w:t>The six-month period ending on the “relation back day”.</w:t>
      </w:r>
    </w:p>
    <w:p>
      <w:pPr>
        <w:ind w:left="66"/>
        <w:jc w:val="both"/>
        <w:rPr>
          <w:rFonts w:ascii="Arial" w:hAnsi="Arial" w:cs="Arial"/>
          <w:sz w:val="22"/>
          <w:szCs w:val="22"/>
          <w:lang w:val="en-GB"/>
        </w:rPr>
      </w:pPr>
    </w:p>
    <w:p>
      <w:pPr>
        <w:pStyle w:val="18"/>
        <w:numPr>
          <w:ilvl w:val="0"/>
          <w:numId w:val="6"/>
        </w:numPr>
        <w:ind w:left="426"/>
        <w:jc w:val="both"/>
        <w:rPr>
          <w:rFonts w:ascii="Arial" w:hAnsi="Arial" w:cs="Arial"/>
          <w:sz w:val="22"/>
          <w:szCs w:val="22"/>
          <w:highlight w:val="yellow"/>
          <w:lang w:val="en-GB"/>
        </w:rPr>
      </w:pPr>
      <w:r>
        <w:rPr>
          <w:rFonts w:ascii="Arial" w:hAnsi="Arial" w:cs="Arial"/>
          <w:sz w:val="22"/>
          <w:szCs w:val="22"/>
          <w:highlight w:val="yellow"/>
          <w:lang w:val="en-GB"/>
        </w:rPr>
        <w:t>The one-year period ending on the relation back day where the creditor had reasonable grounds for suspecting that the company was insolvent.</w:t>
      </w:r>
    </w:p>
    <w:p>
      <w:pPr>
        <w:ind w:left="66"/>
        <w:jc w:val="both"/>
        <w:rPr>
          <w:rFonts w:ascii="Arial" w:hAnsi="Arial" w:cs="Arial"/>
          <w:sz w:val="22"/>
          <w:szCs w:val="22"/>
          <w:lang w:val="en-GB"/>
        </w:rPr>
      </w:pPr>
    </w:p>
    <w:p>
      <w:pPr>
        <w:pStyle w:val="18"/>
        <w:numPr>
          <w:ilvl w:val="0"/>
          <w:numId w:val="6"/>
        </w:numPr>
        <w:ind w:left="426"/>
        <w:jc w:val="both"/>
        <w:rPr>
          <w:rFonts w:ascii="Arial" w:hAnsi="Arial" w:cs="Arial"/>
          <w:sz w:val="22"/>
          <w:szCs w:val="22"/>
          <w:lang w:val="en-GB"/>
        </w:rPr>
      </w:pPr>
      <w:r>
        <w:rPr>
          <w:rFonts w:ascii="Arial" w:hAnsi="Arial" w:cs="Arial"/>
          <w:sz w:val="22"/>
          <w:szCs w:val="22"/>
          <w:lang w:val="en-GB"/>
        </w:rPr>
        <w:t>The four-year period ending on the relation back day where the creditor is a related entity of the company.</w:t>
      </w:r>
    </w:p>
    <w:p>
      <w:pPr>
        <w:ind w:left="66"/>
        <w:jc w:val="both"/>
        <w:rPr>
          <w:rFonts w:ascii="Arial" w:hAnsi="Arial" w:cs="Arial"/>
          <w:sz w:val="22"/>
          <w:szCs w:val="22"/>
          <w:lang w:val="en-GB"/>
        </w:rPr>
      </w:pPr>
    </w:p>
    <w:p>
      <w:pPr>
        <w:pStyle w:val="18"/>
        <w:numPr>
          <w:ilvl w:val="0"/>
          <w:numId w:val="6"/>
        </w:numPr>
        <w:ind w:left="426"/>
        <w:jc w:val="both"/>
        <w:rPr>
          <w:rFonts w:ascii="Arial" w:hAnsi="Arial" w:cs="Arial"/>
          <w:sz w:val="22"/>
          <w:szCs w:val="22"/>
          <w:lang w:val="en-GB"/>
        </w:rPr>
      </w:pPr>
      <w:r>
        <w:rPr>
          <w:rFonts w:ascii="Arial" w:hAnsi="Arial" w:cs="Arial"/>
          <w:sz w:val="22"/>
          <w:szCs w:val="22"/>
          <w:lang w:val="en-GB"/>
        </w:rPr>
        <w:t>The 10-year period ending on the relation back day where the transaction was entered into for a purpose that included defeating, delaying or interfering with the rights of creditors in the event of insolvency.</w:t>
      </w:r>
    </w:p>
    <w:p>
      <w:pPr>
        <w:ind w:left="66"/>
        <w:jc w:val="both"/>
        <w:rPr>
          <w:rFonts w:ascii="Arial" w:hAnsi="Arial" w:cs="Arial"/>
          <w:sz w:val="22"/>
          <w:szCs w:val="22"/>
          <w:lang w:val="en-GB"/>
        </w:rPr>
      </w:pPr>
    </w:p>
    <w:p>
      <w:pPr>
        <w:pStyle w:val="18"/>
        <w:numPr>
          <w:ilvl w:val="0"/>
          <w:numId w:val="6"/>
        </w:numPr>
        <w:ind w:left="426"/>
        <w:jc w:val="both"/>
        <w:rPr>
          <w:rFonts w:ascii="Arial" w:hAnsi="Arial" w:cs="Arial"/>
          <w:sz w:val="22"/>
          <w:szCs w:val="22"/>
          <w:lang w:val="en-GB"/>
        </w:rPr>
      </w:pPr>
      <w:r>
        <w:rPr>
          <w:rFonts w:ascii="Arial" w:hAnsi="Arial" w:cs="Arial"/>
          <w:sz w:val="22"/>
          <w:szCs w:val="22"/>
          <w:lang w:val="en-GB"/>
        </w:rPr>
        <w:t>After the relation back day but on or before the liquidator was appointed.</w:t>
      </w:r>
    </w:p>
    <w:p>
      <w:pPr>
        <w:jc w:val="both"/>
        <w:rPr>
          <w:rFonts w:ascii="Arial" w:hAnsi="Arial" w:cs="Arial"/>
          <w:sz w:val="22"/>
          <w:szCs w:val="22"/>
        </w:rPr>
      </w:pPr>
    </w:p>
    <w:p>
      <w:pPr>
        <w:jc w:val="both"/>
        <w:rPr>
          <w:rFonts w:ascii="Arial" w:hAnsi="Arial" w:cs="Arial"/>
          <w:sz w:val="22"/>
          <w:szCs w:val="22"/>
        </w:rPr>
      </w:pPr>
      <w:r>
        <w:rPr>
          <w:rFonts w:ascii="Arial" w:hAnsi="Arial" w:cs="Arial"/>
          <w:b/>
          <w:bCs/>
          <w:sz w:val="22"/>
          <w:szCs w:val="22"/>
        </w:rPr>
        <w:t>Question 1.7</w:t>
      </w:r>
      <w:r>
        <w:rPr>
          <w:rFonts w:ascii="Arial" w:hAnsi="Arial" w:cs="Arial"/>
          <w:sz w:val="22"/>
          <w:szCs w:val="22"/>
        </w:rPr>
        <w:t xml:space="preserve"> </w:t>
      </w:r>
    </w:p>
    <w:p>
      <w:pPr>
        <w:jc w:val="both"/>
        <w:rPr>
          <w:rFonts w:ascii="Arial" w:hAnsi="Arial" w:cs="Arial"/>
          <w:sz w:val="22"/>
          <w:szCs w:val="22"/>
        </w:rPr>
      </w:pPr>
    </w:p>
    <w:p>
      <w:pPr>
        <w:ind w:left="720" w:hanging="720"/>
        <w:rPr>
          <w:rFonts w:ascii="Arial" w:hAnsi="Arial" w:cs="Arial"/>
          <w:sz w:val="22"/>
          <w:szCs w:val="22"/>
          <w:lang w:val="en-GB"/>
        </w:rPr>
      </w:pPr>
      <w:r>
        <w:rPr>
          <w:rFonts w:ascii="Arial" w:hAnsi="Arial" w:cs="Arial"/>
          <w:b/>
          <w:bCs/>
          <w:sz w:val="22"/>
          <w:szCs w:val="22"/>
          <w:lang w:val="en-GB"/>
        </w:rPr>
        <w:t>Select the correct answer</w:t>
      </w:r>
      <w:r>
        <w:rPr>
          <w:rFonts w:ascii="Arial" w:hAnsi="Arial" w:cs="Arial"/>
          <w:sz w:val="22"/>
          <w:szCs w:val="22"/>
          <w:lang w:val="en-GB"/>
        </w:rPr>
        <w:t>:</w:t>
      </w:r>
    </w:p>
    <w:p>
      <w:pPr>
        <w:ind w:left="720" w:hanging="720"/>
        <w:rPr>
          <w:rFonts w:ascii="Arial" w:hAnsi="Arial" w:cs="Arial"/>
          <w:sz w:val="22"/>
          <w:szCs w:val="22"/>
          <w:lang w:val="en-GB"/>
        </w:rPr>
      </w:pPr>
    </w:p>
    <w:p>
      <w:pPr>
        <w:ind w:left="720" w:hanging="720"/>
        <w:rPr>
          <w:rFonts w:ascii="Arial" w:hAnsi="Arial" w:cs="Arial"/>
          <w:sz w:val="22"/>
          <w:szCs w:val="22"/>
          <w:lang w:val="en-GB"/>
        </w:rPr>
      </w:pPr>
      <w:r>
        <w:rPr>
          <w:rFonts w:ascii="Arial" w:hAnsi="Arial" w:cs="Arial"/>
          <w:sz w:val="22"/>
          <w:szCs w:val="22"/>
          <w:lang w:val="en-GB"/>
        </w:rPr>
        <w:t>A receiver:</w:t>
      </w:r>
    </w:p>
    <w:p>
      <w:pPr>
        <w:ind w:left="720" w:hanging="720"/>
        <w:rPr>
          <w:rFonts w:ascii="Arial" w:hAnsi="Arial" w:cs="Arial"/>
          <w:sz w:val="22"/>
          <w:szCs w:val="22"/>
          <w:lang w:val="en-GB"/>
        </w:rPr>
      </w:pPr>
    </w:p>
    <w:p>
      <w:pPr>
        <w:pStyle w:val="18"/>
        <w:numPr>
          <w:ilvl w:val="0"/>
          <w:numId w:val="7"/>
        </w:numPr>
        <w:ind w:left="426"/>
        <w:jc w:val="both"/>
        <w:rPr>
          <w:rFonts w:ascii="Arial" w:hAnsi="Arial" w:cs="Arial"/>
          <w:sz w:val="22"/>
          <w:szCs w:val="22"/>
          <w:lang w:val="en-GB"/>
        </w:rPr>
      </w:pPr>
      <w:r>
        <w:rPr>
          <w:rFonts w:ascii="Arial" w:hAnsi="Arial" w:cs="Arial"/>
          <w:sz w:val="22"/>
          <w:szCs w:val="22"/>
          <w:lang w:val="en-GB"/>
        </w:rPr>
        <w:t>is an agent of the secured creditor that appointed the receiver.</w:t>
      </w:r>
    </w:p>
    <w:p>
      <w:pPr>
        <w:ind w:left="66"/>
        <w:jc w:val="both"/>
        <w:rPr>
          <w:rFonts w:ascii="Arial" w:hAnsi="Arial" w:cs="Arial"/>
          <w:sz w:val="22"/>
          <w:szCs w:val="22"/>
          <w:lang w:val="en-GB"/>
        </w:rPr>
      </w:pPr>
    </w:p>
    <w:p>
      <w:pPr>
        <w:pStyle w:val="18"/>
        <w:numPr>
          <w:ilvl w:val="0"/>
          <w:numId w:val="7"/>
        </w:numPr>
        <w:ind w:left="426"/>
        <w:jc w:val="both"/>
        <w:rPr>
          <w:rFonts w:ascii="Arial" w:hAnsi="Arial" w:cs="Arial"/>
          <w:sz w:val="22"/>
          <w:szCs w:val="22"/>
          <w:lang w:val="en-GB"/>
        </w:rPr>
      </w:pPr>
      <w:r>
        <w:rPr>
          <w:rFonts w:ascii="Arial" w:hAnsi="Arial" w:cs="Arial"/>
          <w:sz w:val="22"/>
          <w:szCs w:val="22"/>
          <w:lang w:val="en-GB"/>
        </w:rPr>
        <w:t>owes a duty of care to unsecured creditors.</w:t>
      </w:r>
    </w:p>
    <w:p>
      <w:pPr>
        <w:ind w:left="66"/>
        <w:jc w:val="both"/>
        <w:rPr>
          <w:rFonts w:ascii="Arial" w:hAnsi="Arial" w:cs="Arial"/>
          <w:sz w:val="22"/>
          <w:szCs w:val="22"/>
          <w:lang w:val="en-GB"/>
        </w:rPr>
      </w:pPr>
    </w:p>
    <w:p>
      <w:pPr>
        <w:pStyle w:val="18"/>
        <w:numPr>
          <w:ilvl w:val="0"/>
          <w:numId w:val="7"/>
        </w:numPr>
        <w:ind w:left="426"/>
        <w:jc w:val="both"/>
        <w:rPr>
          <w:rFonts w:ascii="Arial" w:hAnsi="Arial" w:cs="Arial"/>
          <w:sz w:val="22"/>
          <w:szCs w:val="22"/>
          <w:highlight w:val="none"/>
          <w:lang w:val="en-GB"/>
        </w:rPr>
      </w:pPr>
      <w:r>
        <w:rPr>
          <w:rFonts w:ascii="Arial" w:hAnsi="Arial" w:cs="Arial"/>
          <w:sz w:val="22"/>
          <w:szCs w:val="22"/>
          <w:highlight w:val="none"/>
          <w:lang w:val="en-GB"/>
        </w:rPr>
        <w:t>is an agent of the company and not of the secured creditor that appointed the receiver.</w:t>
      </w:r>
      <w:r>
        <w:rPr>
          <w:rFonts w:hint="default" w:ascii="Arial" w:hAnsi="Arial" w:cs="Arial"/>
          <w:sz w:val="22"/>
          <w:szCs w:val="22"/>
          <w:highlight w:val="none"/>
          <w:lang w:val="en-US"/>
        </w:rPr>
        <w:t>(Section 6.4.3)</w:t>
      </w:r>
    </w:p>
    <w:p>
      <w:pPr>
        <w:ind w:left="66"/>
        <w:jc w:val="both"/>
        <w:rPr>
          <w:rFonts w:ascii="Arial" w:hAnsi="Arial" w:cs="Arial"/>
          <w:sz w:val="22"/>
          <w:szCs w:val="22"/>
          <w:lang w:val="en-GB"/>
        </w:rPr>
      </w:pPr>
    </w:p>
    <w:p>
      <w:pPr>
        <w:pStyle w:val="18"/>
        <w:numPr>
          <w:ilvl w:val="0"/>
          <w:numId w:val="7"/>
        </w:numPr>
        <w:ind w:left="426"/>
        <w:jc w:val="both"/>
        <w:rPr>
          <w:rFonts w:ascii="Arial" w:hAnsi="Arial" w:cs="Arial"/>
          <w:sz w:val="22"/>
          <w:szCs w:val="22"/>
          <w:highlight w:val="yellow"/>
          <w:lang w:val="en-GB"/>
        </w:rPr>
      </w:pPr>
      <w:r>
        <w:rPr>
          <w:rFonts w:ascii="Arial" w:hAnsi="Arial" w:cs="Arial"/>
          <w:sz w:val="22"/>
          <w:szCs w:val="22"/>
          <w:highlight w:val="yellow"/>
          <w:lang w:val="en-GB"/>
        </w:rPr>
        <w:t>is an agent of the company until the appointment of a liquidator to the company.</w:t>
      </w:r>
      <w:r>
        <w:rPr>
          <w:rFonts w:hint="default" w:ascii="Arial" w:hAnsi="Arial" w:cs="Arial"/>
          <w:sz w:val="22"/>
          <w:szCs w:val="22"/>
          <w:highlight w:val="yellow"/>
          <w:lang w:val="en-US"/>
        </w:rPr>
        <w:t>(Section 6.4.3)</w:t>
      </w:r>
    </w:p>
    <w:p>
      <w:pPr>
        <w:ind w:left="66"/>
        <w:jc w:val="both"/>
        <w:rPr>
          <w:rFonts w:ascii="Arial" w:hAnsi="Arial" w:cs="Arial"/>
          <w:sz w:val="22"/>
          <w:szCs w:val="22"/>
          <w:lang w:val="en-GB"/>
        </w:rPr>
      </w:pPr>
    </w:p>
    <w:p>
      <w:pPr>
        <w:pStyle w:val="18"/>
        <w:numPr>
          <w:ilvl w:val="0"/>
          <w:numId w:val="7"/>
        </w:numPr>
        <w:ind w:left="426"/>
        <w:jc w:val="both"/>
        <w:rPr>
          <w:rFonts w:ascii="Arial" w:hAnsi="Arial" w:cs="Arial"/>
          <w:sz w:val="22"/>
          <w:szCs w:val="22"/>
          <w:lang w:val="en-GB"/>
        </w:rPr>
      </w:pPr>
      <w:r>
        <w:rPr>
          <w:rFonts w:ascii="Arial" w:hAnsi="Arial" w:cs="Arial"/>
          <w:sz w:val="22"/>
          <w:szCs w:val="22"/>
          <w:lang w:val="en-GB"/>
        </w:rPr>
        <w:t>is required to meet the priority claims of employees out of assets subject to a non-circulating security interest.</w:t>
      </w:r>
    </w:p>
    <w:p>
      <w:pPr>
        <w:jc w:val="both"/>
        <w:rPr>
          <w:rFonts w:ascii="Arial" w:hAnsi="Arial" w:cs="Arial" w:eastAsiaTheme="minorHAnsi"/>
          <w:sz w:val="22"/>
          <w:szCs w:val="22"/>
          <w:lang w:val="en-GB"/>
        </w:rPr>
      </w:pPr>
    </w:p>
    <w:p>
      <w:pPr>
        <w:jc w:val="both"/>
        <w:rPr>
          <w:rFonts w:ascii="Arial" w:hAnsi="Arial" w:cs="Arial"/>
          <w:sz w:val="22"/>
          <w:szCs w:val="22"/>
        </w:rPr>
      </w:pPr>
      <w:r>
        <w:rPr>
          <w:rFonts w:ascii="Arial" w:hAnsi="Arial" w:cs="Arial"/>
          <w:b/>
          <w:bCs/>
          <w:sz w:val="22"/>
          <w:szCs w:val="22"/>
        </w:rPr>
        <w:t>Question 1.8</w:t>
      </w:r>
      <w:r>
        <w:rPr>
          <w:rFonts w:ascii="Arial" w:hAnsi="Arial" w:cs="Arial"/>
          <w:sz w:val="22"/>
          <w:szCs w:val="22"/>
        </w:rPr>
        <w:t xml:space="preserve"> </w:t>
      </w:r>
    </w:p>
    <w:p>
      <w:pPr>
        <w:jc w:val="both"/>
        <w:rPr>
          <w:rFonts w:ascii="Arial" w:hAnsi="Arial" w:cs="Arial"/>
          <w:sz w:val="22"/>
          <w:szCs w:val="22"/>
          <w:lang w:val="en-GB"/>
        </w:rPr>
      </w:pPr>
    </w:p>
    <w:p>
      <w:pPr>
        <w:jc w:val="both"/>
        <w:rPr>
          <w:rFonts w:ascii="Arial" w:hAnsi="Arial" w:cs="Arial"/>
          <w:sz w:val="22"/>
          <w:szCs w:val="22"/>
        </w:rPr>
      </w:pPr>
      <w:r>
        <w:rPr>
          <w:rFonts w:ascii="Arial" w:hAnsi="Arial" w:cs="Arial"/>
          <w:b/>
          <w:bCs/>
          <w:sz w:val="22"/>
          <w:szCs w:val="22"/>
        </w:rPr>
        <w:t>Select the correct answer</w:t>
      </w:r>
      <w:r>
        <w:rPr>
          <w:rFonts w:ascii="Arial" w:hAnsi="Arial" w:cs="Arial"/>
          <w:sz w:val="22"/>
          <w:szCs w:val="22"/>
        </w:rPr>
        <w:t>:</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A voluntary administrator must convene and hold a first meeting of creditors within how many business days of his appointment?</w:t>
      </w:r>
    </w:p>
    <w:p>
      <w:pPr>
        <w:jc w:val="both"/>
        <w:rPr>
          <w:rFonts w:ascii="Arial" w:hAnsi="Arial" w:cs="Arial"/>
          <w:sz w:val="22"/>
          <w:szCs w:val="22"/>
          <w:lang w:val="en-GB"/>
        </w:rPr>
      </w:pPr>
    </w:p>
    <w:p>
      <w:pPr>
        <w:pStyle w:val="18"/>
        <w:numPr>
          <w:ilvl w:val="0"/>
          <w:numId w:val="8"/>
        </w:numPr>
        <w:ind w:left="426"/>
        <w:rPr>
          <w:rFonts w:ascii="Arial" w:hAnsi="Arial" w:cs="Arial"/>
          <w:sz w:val="22"/>
          <w:szCs w:val="22"/>
          <w:lang w:val="en-GB"/>
        </w:rPr>
      </w:pPr>
      <w:r>
        <w:rPr>
          <w:rFonts w:ascii="Arial" w:hAnsi="Arial" w:cs="Arial"/>
          <w:sz w:val="22"/>
          <w:szCs w:val="22"/>
          <w:lang w:val="en-GB"/>
        </w:rPr>
        <w:t>3 business days.</w:t>
      </w:r>
    </w:p>
    <w:p>
      <w:pPr>
        <w:ind w:left="66"/>
        <w:rPr>
          <w:rFonts w:ascii="Arial" w:hAnsi="Arial" w:cs="Arial"/>
          <w:sz w:val="22"/>
          <w:szCs w:val="22"/>
          <w:lang w:val="en-GB"/>
        </w:rPr>
      </w:pPr>
    </w:p>
    <w:p>
      <w:pPr>
        <w:pStyle w:val="18"/>
        <w:numPr>
          <w:ilvl w:val="0"/>
          <w:numId w:val="8"/>
        </w:numPr>
        <w:ind w:left="426"/>
        <w:rPr>
          <w:rFonts w:ascii="Arial" w:hAnsi="Arial" w:cs="Arial"/>
          <w:sz w:val="22"/>
          <w:szCs w:val="22"/>
          <w:highlight w:val="yellow"/>
          <w:lang w:val="en-GB"/>
        </w:rPr>
      </w:pPr>
      <w:r>
        <w:rPr>
          <w:rFonts w:ascii="Arial" w:hAnsi="Arial" w:cs="Arial"/>
          <w:sz w:val="22"/>
          <w:szCs w:val="22"/>
          <w:highlight w:val="yellow"/>
          <w:lang w:val="en-GB"/>
        </w:rPr>
        <w:t>8 business days.</w:t>
      </w:r>
    </w:p>
    <w:p>
      <w:pPr>
        <w:ind w:left="66"/>
        <w:rPr>
          <w:rFonts w:ascii="Arial" w:hAnsi="Arial" w:cs="Arial"/>
          <w:sz w:val="22"/>
          <w:szCs w:val="22"/>
          <w:lang w:val="en-GB"/>
        </w:rPr>
      </w:pPr>
    </w:p>
    <w:p>
      <w:pPr>
        <w:pStyle w:val="18"/>
        <w:numPr>
          <w:ilvl w:val="0"/>
          <w:numId w:val="8"/>
        </w:numPr>
        <w:ind w:left="426"/>
        <w:rPr>
          <w:rFonts w:ascii="Arial" w:hAnsi="Arial" w:cs="Arial"/>
          <w:sz w:val="22"/>
          <w:szCs w:val="22"/>
          <w:lang w:val="en-GB"/>
        </w:rPr>
      </w:pPr>
      <w:r>
        <w:rPr>
          <w:rFonts w:ascii="Arial" w:hAnsi="Arial" w:cs="Arial"/>
          <w:sz w:val="22"/>
          <w:szCs w:val="22"/>
          <w:lang w:val="en-GB"/>
        </w:rPr>
        <w:t>12 business days.</w:t>
      </w:r>
    </w:p>
    <w:p>
      <w:pPr>
        <w:ind w:left="66"/>
        <w:rPr>
          <w:rFonts w:ascii="Arial" w:hAnsi="Arial" w:cs="Arial"/>
          <w:sz w:val="22"/>
          <w:szCs w:val="22"/>
          <w:lang w:val="en-GB"/>
        </w:rPr>
      </w:pPr>
    </w:p>
    <w:p>
      <w:pPr>
        <w:pStyle w:val="18"/>
        <w:numPr>
          <w:ilvl w:val="0"/>
          <w:numId w:val="8"/>
        </w:numPr>
        <w:ind w:left="426"/>
        <w:rPr>
          <w:rFonts w:ascii="Arial" w:hAnsi="Arial" w:cs="Arial"/>
          <w:sz w:val="22"/>
          <w:szCs w:val="22"/>
          <w:lang w:val="en-GB"/>
        </w:rPr>
      </w:pPr>
      <w:r>
        <w:rPr>
          <w:rFonts w:ascii="Arial" w:hAnsi="Arial" w:cs="Arial"/>
          <w:sz w:val="22"/>
          <w:szCs w:val="22"/>
          <w:lang w:val="en-GB"/>
        </w:rPr>
        <w:t>24 business days.</w:t>
      </w:r>
    </w:p>
    <w:p>
      <w:pPr>
        <w:ind w:left="66"/>
        <w:rPr>
          <w:rFonts w:ascii="Arial" w:hAnsi="Arial" w:cs="Arial"/>
          <w:sz w:val="22"/>
          <w:szCs w:val="22"/>
          <w:lang w:val="en-GB"/>
        </w:rPr>
      </w:pPr>
    </w:p>
    <w:p>
      <w:pPr>
        <w:pStyle w:val="18"/>
        <w:numPr>
          <w:ilvl w:val="0"/>
          <w:numId w:val="8"/>
        </w:numPr>
        <w:tabs>
          <w:tab w:val="left" w:pos="426"/>
        </w:tabs>
        <w:ind w:left="426"/>
        <w:rPr>
          <w:rFonts w:ascii="Arial" w:hAnsi="Arial" w:cs="Arial"/>
          <w:sz w:val="22"/>
          <w:szCs w:val="22"/>
          <w:lang w:val="en-GB"/>
        </w:rPr>
      </w:pPr>
      <w:r>
        <w:rPr>
          <w:rFonts w:ascii="Arial" w:hAnsi="Arial" w:cs="Arial"/>
          <w:sz w:val="22"/>
          <w:szCs w:val="22"/>
          <w:lang w:val="en-GB"/>
        </w:rPr>
        <w:t>45 business days.</w:t>
      </w:r>
    </w:p>
    <w:p>
      <w:pPr>
        <w:jc w:val="both"/>
        <w:rPr>
          <w:rFonts w:ascii="Arial" w:hAnsi="Arial" w:cs="Arial" w:eastAsiaTheme="minorHAnsi"/>
          <w:sz w:val="22"/>
          <w:szCs w:val="22"/>
          <w:lang w:val="en-GB"/>
        </w:rPr>
      </w:pPr>
    </w:p>
    <w:p>
      <w:pPr>
        <w:jc w:val="both"/>
        <w:rPr>
          <w:rFonts w:ascii="Arial" w:hAnsi="Arial" w:cs="Arial"/>
          <w:sz w:val="22"/>
          <w:szCs w:val="22"/>
        </w:rPr>
      </w:pPr>
      <w:r>
        <w:rPr>
          <w:rFonts w:ascii="Arial" w:hAnsi="Arial" w:cs="Arial"/>
          <w:b/>
          <w:bCs/>
          <w:sz w:val="22"/>
          <w:szCs w:val="22"/>
        </w:rPr>
        <w:t>Question 1.9</w:t>
      </w:r>
      <w:r>
        <w:rPr>
          <w:rFonts w:ascii="Arial" w:hAnsi="Arial" w:cs="Arial"/>
          <w:sz w:val="22"/>
          <w:szCs w:val="22"/>
        </w:rPr>
        <w:t xml:space="preserve"> </w:t>
      </w:r>
      <w:r>
        <w:rPr>
          <w:rFonts w:ascii="Arial" w:hAnsi="Arial" w:cs="Arial"/>
          <w:b/>
          <w:bCs/>
          <w:sz w:val="22"/>
          <w:szCs w:val="22"/>
        </w:rPr>
        <w:t xml:space="preserve"> </w:t>
      </w:r>
    </w:p>
    <w:p>
      <w:pPr>
        <w:jc w:val="both"/>
        <w:rPr>
          <w:rFonts w:ascii="Arial" w:hAnsi="Arial" w:cs="Arial"/>
          <w:sz w:val="22"/>
          <w:szCs w:val="22"/>
        </w:rPr>
      </w:pPr>
    </w:p>
    <w:p>
      <w:pPr>
        <w:jc w:val="both"/>
        <w:rPr>
          <w:rFonts w:ascii="Arial" w:hAnsi="Arial" w:cs="Arial"/>
          <w:sz w:val="22"/>
          <w:szCs w:val="22"/>
        </w:rPr>
      </w:pPr>
      <w:r>
        <w:rPr>
          <w:rFonts w:ascii="Arial" w:hAnsi="Arial" w:cs="Arial"/>
          <w:b/>
          <w:bCs/>
          <w:sz w:val="22"/>
          <w:szCs w:val="22"/>
        </w:rPr>
        <w:t>Select the correct answer</w:t>
      </w:r>
      <w:r>
        <w:rPr>
          <w:rFonts w:ascii="Arial" w:hAnsi="Arial" w:cs="Arial"/>
          <w:sz w:val="22"/>
          <w:szCs w:val="22"/>
        </w:rPr>
        <w:t>:</w:t>
      </w:r>
    </w:p>
    <w:p>
      <w:pPr>
        <w:jc w:val="both"/>
        <w:rPr>
          <w:rFonts w:ascii="Arial" w:hAnsi="Arial" w:cs="Arial"/>
          <w:sz w:val="22"/>
          <w:szCs w:val="22"/>
        </w:rPr>
      </w:pPr>
    </w:p>
    <w:p>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Pr>
          <w:rFonts w:ascii="Arial" w:hAnsi="Arial" w:cs="Arial"/>
          <w:iCs/>
          <w:sz w:val="22"/>
          <w:szCs w:val="22"/>
          <w:lang w:val="en-GB"/>
        </w:rPr>
        <w:t>Corporations Act:</w:t>
      </w:r>
      <w:r>
        <w:rPr>
          <w:rFonts w:ascii="Arial" w:hAnsi="Arial" w:cs="Arial"/>
          <w:sz w:val="22"/>
          <w:szCs w:val="22"/>
          <w:lang w:val="en-GB"/>
        </w:rPr>
        <w:t xml:space="preserve"> </w:t>
      </w:r>
    </w:p>
    <w:p>
      <w:pPr>
        <w:ind w:left="720" w:hanging="720"/>
        <w:jc w:val="both"/>
        <w:rPr>
          <w:rFonts w:ascii="Arial" w:hAnsi="Arial" w:cs="Arial"/>
          <w:sz w:val="22"/>
          <w:szCs w:val="22"/>
          <w:lang w:val="en-GB"/>
        </w:rPr>
      </w:pPr>
    </w:p>
    <w:p>
      <w:pPr>
        <w:pStyle w:val="18"/>
        <w:numPr>
          <w:ilvl w:val="0"/>
          <w:numId w:val="9"/>
        </w:numPr>
        <w:ind w:left="426"/>
        <w:jc w:val="both"/>
        <w:rPr>
          <w:rFonts w:ascii="Arial" w:hAnsi="Arial" w:cs="Arial"/>
          <w:sz w:val="22"/>
          <w:szCs w:val="22"/>
          <w:lang w:val="en-GB"/>
        </w:rPr>
      </w:pPr>
      <w:r>
        <w:rPr>
          <w:rFonts w:ascii="Arial" w:hAnsi="Arial" w:cs="Arial"/>
          <w:sz w:val="22"/>
          <w:szCs w:val="22"/>
          <w:lang w:val="en-GB"/>
        </w:rPr>
        <w:t>The part dealing with schemes of arrangement.</w:t>
      </w:r>
    </w:p>
    <w:p>
      <w:pPr>
        <w:ind w:left="66"/>
        <w:jc w:val="both"/>
        <w:rPr>
          <w:rFonts w:ascii="Arial" w:hAnsi="Arial" w:cs="Arial"/>
          <w:sz w:val="22"/>
          <w:szCs w:val="22"/>
          <w:lang w:val="en-GB"/>
        </w:rPr>
      </w:pPr>
    </w:p>
    <w:p>
      <w:pPr>
        <w:pStyle w:val="18"/>
        <w:numPr>
          <w:ilvl w:val="0"/>
          <w:numId w:val="9"/>
        </w:numPr>
        <w:ind w:left="426"/>
        <w:jc w:val="both"/>
        <w:rPr>
          <w:rFonts w:ascii="Arial" w:hAnsi="Arial" w:cs="Arial"/>
          <w:sz w:val="22"/>
          <w:szCs w:val="22"/>
          <w:highlight w:val="none"/>
          <w:lang w:val="en-GB"/>
        </w:rPr>
      </w:pPr>
      <w:r>
        <w:rPr>
          <w:rFonts w:ascii="Arial" w:hAnsi="Arial" w:cs="Arial"/>
          <w:sz w:val="22"/>
          <w:szCs w:val="22"/>
          <w:highlight w:val="none"/>
          <w:lang w:val="en-GB"/>
        </w:rPr>
        <w:t>The part dealing with windings up of companies by the court on grounds of insolvency.</w:t>
      </w:r>
    </w:p>
    <w:p>
      <w:pPr>
        <w:ind w:left="66"/>
        <w:jc w:val="both"/>
        <w:rPr>
          <w:rFonts w:ascii="Arial" w:hAnsi="Arial" w:cs="Arial"/>
          <w:sz w:val="22"/>
          <w:szCs w:val="22"/>
          <w:highlight w:val="none"/>
          <w:lang w:val="en-GB"/>
        </w:rPr>
      </w:pPr>
    </w:p>
    <w:p>
      <w:pPr>
        <w:pStyle w:val="18"/>
        <w:numPr>
          <w:ilvl w:val="0"/>
          <w:numId w:val="9"/>
        </w:numPr>
        <w:ind w:left="426"/>
        <w:jc w:val="both"/>
        <w:rPr>
          <w:rFonts w:ascii="Arial" w:hAnsi="Arial" w:cs="Arial"/>
          <w:sz w:val="22"/>
          <w:szCs w:val="22"/>
          <w:highlight w:val="none"/>
          <w:lang w:val="en-GB"/>
        </w:rPr>
      </w:pPr>
      <w:r>
        <w:rPr>
          <w:rFonts w:ascii="Arial" w:hAnsi="Arial" w:cs="Arial"/>
          <w:sz w:val="22"/>
          <w:szCs w:val="22"/>
          <w:highlight w:val="none"/>
          <w:lang w:val="en-GB"/>
        </w:rPr>
        <w:t>The part dealing with taxes and penalties payable to foreign revenue creditors.</w:t>
      </w:r>
    </w:p>
    <w:p>
      <w:pPr>
        <w:ind w:left="66"/>
        <w:jc w:val="both"/>
        <w:rPr>
          <w:rFonts w:ascii="Arial" w:hAnsi="Arial" w:cs="Arial"/>
          <w:sz w:val="22"/>
          <w:szCs w:val="22"/>
          <w:lang w:val="en-GB"/>
        </w:rPr>
      </w:pPr>
    </w:p>
    <w:p>
      <w:pPr>
        <w:ind w:left="66"/>
        <w:jc w:val="both"/>
        <w:rPr>
          <w:rFonts w:ascii="Arial" w:hAnsi="Arial" w:cs="Arial"/>
          <w:sz w:val="22"/>
          <w:szCs w:val="22"/>
          <w:lang w:val="en-GB"/>
        </w:rPr>
      </w:pPr>
    </w:p>
    <w:p>
      <w:pPr>
        <w:ind w:left="66"/>
        <w:jc w:val="both"/>
        <w:rPr>
          <w:rFonts w:ascii="Arial" w:hAnsi="Arial" w:cs="Arial"/>
          <w:sz w:val="22"/>
          <w:szCs w:val="22"/>
          <w:lang w:val="en-GB"/>
        </w:rPr>
      </w:pPr>
    </w:p>
    <w:p>
      <w:pPr>
        <w:pStyle w:val="18"/>
        <w:numPr>
          <w:ilvl w:val="0"/>
          <w:numId w:val="9"/>
        </w:numPr>
        <w:ind w:left="426"/>
        <w:jc w:val="both"/>
        <w:rPr>
          <w:rFonts w:ascii="Arial" w:hAnsi="Arial" w:cs="Arial"/>
          <w:sz w:val="22"/>
          <w:szCs w:val="22"/>
          <w:lang w:val="en-GB"/>
        </w:rPr>
      </w:pPr>
      <w:r>
        <w:rPr>
          <w:rFonts w:ascii="Arial" w:hAnsi="Arial" w:cs="Arial"/>
          <w:sz w:val="22"/>
          <w:szCs w:val="22"/>
          <w:lang w:val="en-GB"/>
        </w:rPr>
        <w:t>The part dealing with the supervision of voluntary administrators.</w:t>
      </w:r>
    </w:p>
    <w:p>
      <w:pPr>
        <w:ind w:left="66"/>
        <w:jc w:val="both"/>
        <w:rPr>
          <w:rFonts w:ascii="Arial" w:hAnsi="Arial" w:cs="Arial"/>
          <w:sz w:val="22"/>
          <w:szCs w:val="22"/>
          <w:lang w:val="en-GB"/>
        </w:rPr>
      </w:pPr>
    </w:p>
    <w:p>
      <w:pPr>
        <w:pStyle w:val="18"/>
        <w:numPr>
          <w:ilvl w:val="0"/>
          <w:numId w:val="9"/>
        </w:numPr>
        <w:ind w:left="426"/>
        <w:jc w:val="both"/>
        <w:rPr>
          <w:rFonts w:ascii="Arial" w:hAnsi="Arial" w:cs="Arial"/>
          <w:sz w:val="22"/>
          <w:szCs w:val="22"/>
          <w:highlight w:val="yellow"/>
          <w:lang w:val="en-GB"/>
        </w:rPr>
      </w:pPr>
      <w:r>
        <w:rPr>
          <w:rFonts w:ascii="Arial" w:hAnsi="Arial" w:cs="Arial"/>
          <w:sz w:val="22"/>
          <w:szCs w:val="22"/>
          <w:highlight w:val="yellow"/>
          <w:lang w:val="en-GB"/>
        </w:rPr>
        <w:t>The part dealing with receivers, and other controllers, of property of the corporation.</w:t>
      </w:r>
    </w:p>
    <w:p>
      <w:pPr>
        <w:jc w:val="both"/>
        <w:rPr>
          <w:rFonts w:ascii="Arial" w:hAnsi="Arial" w:cs="Arial"/>
          <w:sz w:val="22"/>
          <w:szCs w:val="22"/>
        </w:rPr>
      </w:pPr>
    </w:p>
    <w:p>
      <w:pPr>
        <w:jc w:val="both"/>
        <w:rPr>
          <w:rFonts w:ascii="Arial" w:hAnsi="Arial" w:cs="Arial"/>
          <w:sz w:val="22"/>
          <w:szCs w:val="22"/>
        </w:rPr>
      </w:pPr>
      <w:r>
        <w:rPr>
          <w:rFonts w:ascii="Arial" w:hAnsi="Arial" w:cs="Arial"/>
          <w:b/>
          <w:bCs/>
          <w:sz w:val="22"/>
          <w:szCs w:val="22"/>
        </w:rPr>
        <w:t>Question 1.10</w:t>
      </w:r>
      <w:r>
        <w:rPr>
          <w:rFonts w:ascii="Arial" w:hAnsi="Arial" w:cs="Arial"/>
          <w:sz w:val="22"/>
          <w:szCs w:val="22"/>
        </w:rPr>
        <w:t xml:space="preserve"> </w:t>
      </w:r>
    </w:p>
    <w:p>
      <w:pPr>
        <w:keepNext/>
        <w:jc w:val="both"/>
        <w:rPr>
          <w:rFonts w:ascii="Arial" w:hAnsi="Arial" w:cs="Arial"/>
          <w:sz w:val="22"/>
          <w:szCs w:val="22"/>
        </w:rPr>
      </w:pPr>
    </w:p>
    <w:p>
      <w:pPr>
        <w:jc w:val="both"/>
        <w:rPr>
          <w:rFonts w:ascii="Arial" w:hAnsi="Arial" w:cs="Arial"/>
          <w:sz w:val="22"/>
          <w:szCs w:val="22"/>
        </w:rPr>
      </w:pPr>
      <w:r>
        <w:rPr>
          <w:rFonts w:ascii="Arial" w:hAnsi="Arial" w:cs="Arial"/>
          <w:b/>
          <w:bCs/>
          <w:sz w:val="22"/>
          <w:szCs w:val="22"/>
        </w:rPr>
        <w:t>Select the correct answer</w:t>
      </w:r>
      <w:r>
        <w:rPr>
          <w:rFonts w:ascii="Arial" w:hAnsi="Arial" w:cs="Arial"/>
          <w:sz w:val="22"/>
          <w:szCs w:val="22"/>
        </w:rPr>
        <w:t>:</w:t>
      </w:r>
    </w:p>
    <w:p>
      <w:pPr>
        <w:ind w:left="720" w:hanging="720"/>
        <w:rPr>
          <w:rFonts w:ascii="Arial" w:hAnsi="Arial" w:cs="Arial"/>
          <w:sz w:val="22"/>
          <w:szCs w:val="22"/>
          <w:lang w:val="en-GB"/>
        </w:rPr>
      </w:pPr>
    </w:p>
    <w:p>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p>
    <w:p>
      <w:pPr>
        <w:ind w:left="720" w:hanging="720"/>
        <w:jc w:val="both"/>
        <w:rPr>
          <w:rFonts w:ascii="Arial" w:hAnsi="Arial" w:cs="Arial"/>
          <w:sz w:val="22"/>
          <w:szCs w:val="22"/>
          <w:lang w:val="en-GB"/>
        </w:rPr>
      </w:pPr>
    </w:p>
    <w:p>
      <w:pPr>
        <w:pStyle w:val="18"/>
        <w:numPr>
          <w:ilvl w:val="0"/>
          <w:numId w:val="10"/>
        </w:numPr>
        <w:ind w:left="426"/>
        <w:jc w:val="both"/>
        <w:rPr>
          <w:rFonts w:ascii="Arial" w:hAnsi="Arial" w:cs="Arial"/>
          <w:sz w:val="22"/>
          <w:szCs w:val="22"/>
          <w:lang w:val="en-GB"/>
        </w:rPr>
      </w:pPr>
      <w:r>
        <w:rPr>
          <w:rFonts w:ascii="Arial" w:hAnsi="Arial" w:cs="Arial"/>
          <w:sz w:val="22"/>
          <w:szCs w:val="22"/>
          <w:lang w:val="en-GB"/>
        </w:rPr>
        <w:t xml:space="preserve">an </w:t>
      </w:r>
      <w:r>
        <w:rPr>
          <w:rFonts w:ascii="Arial" w:hAnsi="Arial" w:cs="Arial"/>
          <w:i/>
          <w:sz w:val="22"/>
          <w:szCs w:val="22"/>
          <w:lang w:val="en-GB"/>
        </w:rPr>
        <w:t>ipso facto</w:t>
      </w:r>
      <w:r>
        <w:rPr>
          <w:rFonts w:ascii="Arial" w:hAnsi="Arial" w:cs="Arial"/>
          <w:sz w:val="22"/>
          <w:szCs w:val="22"/>
          <w:lang w:val="en-GB"/>
        </w:rPr>
        <w:t xml:space="preserve"> moratorium in voluntary administrations and liquidations.</w:t>
      </w:r>
    </w:p>
    <w:p>
      <w:pPr>
        <w:ind w:left="66"/>
        <w:jc w:val="both"/>
        <w:rPr>
          <w:rFonts w:ascii="Arial" w:hAnsi="Arial" w:cs="Arial"/>
          <w:sz w:val="22"/>
          <w:szCs w:val="22"/>
          <w:lang w:val="en-GB"/>
        </w:rPr>
      </w:pPr>
    </w:p>
    <w:p>
      <w:pPr>
        <w:pStyle w:val="18"/>
        <w:numPr>
          <w:ilvl w:val="0"/>
          <w:numId w:val="10"/>
        </w:numPr>
        <w:ind w:left="426"/>
        <w:jc w:val="both"/>
        <w:rPr>
          <w:rFonts w:ascii="Arial" w:hAnsi="Arial" w:cs="Arial"/>
          <w:sz w:val="22"/>
          <w:szCs w:val="22"/>
          <w:highlight w:val="yellow"/>
          <w:lang w:val="en-GB"/>
        </w:rPr>
      </w:pPr>
      <w:r>
        <w:rPr>
          <w:rFonts w:ascii="Arial" w:hAnsi="Arial" w:cs="Arial"/>
          <w:sz w:val="22"/>
          <w:szCs w:val="22"/>
          <w:highlight w:val="yellow"/>
          <w:lang w:val="en-GB"/>
        </w:rPr>
        <w:t>simplified restructuring and liquidation regimes for small companies.</w:t>
      </w:r>
    </w:p>
    <w:p>
      <w:pPr>
        <w:ind w:left="66"/>
        <w:jc w:val="both"/>
        <w:rPr>
          <w:rFonts w:ascii="Arial" w:hAnsi="Arial" w:cs="Arial"/>
          <w:sz w:val="22"/>
          <w:szCs w:val="22"/>
          <w:lang w:val="en-GB"/>
        </w:rPr>
      </w:pPr>
    </w:p>
    <w:p>
      <w:pPr>
        <w:pStyle w:val="18"/>
        <w:numPr>
          <w:ilvl w:val="0"/>
          <w:numId w:val="10"/>
        </w:numPr>
        <w:ind w:left="426"/>
        <w:jc w:val="both"/>
        <w:rPr>
          <w:rFonts w:ascii="Arial" w:hAnsi="Arial" w:cs="Arial"/>
          <w:sz w:val="22"/>
          <w:szCs w:val="22"/>
          <w:lang w:val="en-GB"/>
        </w:rPr>
      </w:pPr>
      <w:r>
        <w:rPr>
          <w:rFonts w:ascii="Arial" w:hAnsi="Arial" w:cs="Arial"/>
          <w:sz w:val="22"/>
          <w:szCs w:val="22"/>
          <w:lang w:val="en-GB"/>
        </w:rPr>
        <w:t>reducing the default bankruptcy period from three years to one year.</w:t>
      </w:r>
    </w:p>
    <w:p>
      <w:pPr>
        <w:ind w:left="66"/>
        <w:jc w:val="both"/>
        <w:rPr>
          <w:rFonts w:ascii="Arial" w:hAnsi="Arial" w:cs="Arial"/>
          <w:sz w:val="22"/>
          <w:szCs w:val="22"/>
          <w:lang w:val="en-GB"/>
        </w:rPr>
      </w:pPr>
    </w:p>
    <w:p>
      <w:pPr>
        <w:pStyle w:val="18"/>
        <w:numPr>
          <w:ilvl w:val="0"/>
          <w:numId w:val="10"/>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Pr>
          <w:rFonts w:ascii="Arial" w:hAnsi="Arial" w:cs="Arial"/>
          <w:i/>
          <w:sz w:val="22"/>
          <w:szCs w:val="22"/>
          <w:lang w:val="en-GB"/>
        </w:rPr>
        <w:t>.</w:t>
      </w:r>
    </w:p>
    <w:p>
      <w:pPr>
        <w:jc w:val="both"/>
        <w:rPr>
          <w:rFonts w:ascii="Arial" w:hAnsi="Arial" w:cs="Arial"/>
          <w:bCs/>
          <w:sz w:val="22"/>
          <w:szCs w:val="22"/>
          <w:lang w:val="en-GB"/>
        </w:rPr>
      </w:pPr>
    </w:p>
    <w:p>
      <w:pPr>
        <w:jc w:val="both"/>
        <w:rPr>
          <w:rFonts w:ascii="Arial" w:hAnsi="Arial" w:cs="Arial"/>
          <w:bCs/>
          <w:sz w:val="22"/>
          <w:szCs w:val="22"/>
          <w:lang w:val="en-GB"/>
        </w:rPr>
      </w:pPr>
    </w:p>
    <w:p>
      <w:pPr>
        <w:jc w:val="both"/>
        <w:rPr>
          <w:rFonts w:ascii="Arial" w:hAnsi="Arial" w:cs="Arial"/>
          <w:b/>
          <w:sz w:val="22"/>
          <w:szCs w:val="22"/>
          <w:lang w:val="en-GB"/>
        </w:rPr>
      </w:pPr>
      <w:r>
        <w:rPr>
          <w:rFonts w:ascii="Arial" w:hAnsi="Arial" w:cs="Arial"/>
          <w:b/>
          <w:sz w:val="22"/>
          <w:szCs w:val="22"/>
          <w:lang w:val="en-GB"/>
        </w:rPr>
        <w:t xml:space="preserve">QUESTION 2 (direct questions) [10 marks] </w:t>
      </w:r>
    </w:p>
    <w:p>
      <w:pPr>
        <w:ind w:left="720" w:hanging="720"/>
        <w:jc w:val="both"/>
        <w:rPr>
          <w:rFonts w:ascii="Arial" w:hAnsi="Arial" w:cs="Arial"/>
          <w:sz w:val="22"/>
          <w:szCs w:val="22"/>
          <w:lang w:val="en-GB"/>
        </w:rPr>
      </w:pPr>
    </w:p>
    <w:p>
      <w:pPr>
        <w:jc w:val="both"/>
        <w:rPr>
          <w:rFonts w:ascii="Arial" w:hAnsi="Arial" w:cs="Arial"/>
          <w:sz w:val="22"/>
          <w:szCs w:val="22"/>
          <w:lang w:val="en-GB"/>
        </w:rPr>
      </w:pPr>
      <w:r>
        <w:rPr>
          <w:rFonts w:ascii="Arial" w:hAnsi="Arial" w:cs="Arial"/>
          <w:b/>
          <w:bCs/>
          <w:sz w:val="22"/>
          <w:szCs w:val="22"/>
          <w:lang w:val="en-GB"/>
        </w:rPr>
        <w:t>Question 2.1</w:t>
      </w:r>
      <w:r>
        <w:rPr>
          <w:rFonts w:ascii="Arial" w:hAnsi="Arial" w:cs="Arial"/>
          <w:b/>
          <w:bCs/>
          <w:sz w:val="22"/>
          <w:szCs w:val="22"/>
          <w:lang w:val="en-GB"/>
        </w:rPr>
        <w:tab/>
      </w:r>
      <w:r>
        <w:rPr>
          <w:rFonts w:ascii="Arial" w:hAnsi="Arial" w:cs="Arial"/>
          <w:b/>
          <w:bCs/>
          <w:sz w:val="22"/>
          <w:szCs w:val="22"/>
          <w:lang w:val="en-GB"/>
        </w:rPr>
        <w:t>[maximum 3 marks]</w:t>
      </w:r>
    </w:p>
    <w:p>
      <w:pPr>
        <w:ind w:left="720" w:hanging="720"/>
        <w:jc w:val="both"/>
        <w:rPr>
          <w:rFonts w:ascii="Arial" w:hAnsi="Arial" w:cs="Arial"/>
          <w:sz w:val="22"/>
          <w:szCs w:val="22"/>
          <w:lang w:val="en-GB"/>
        </w:rPr>
      </w:pPr>
    </w:p>
    <w:p>
      <w:pPr>
        <w:jc w:val="both"/>
        <w:rPr>
          <w:rFonts w:ascii="Arial" w:hAnsi="Arial" w:cs="Arial"/>
          <w:sz w:val="22"/>
          <w:szCs w:val="22"/>
          <w:highlight w:val="none"/>
          <w:lang w:val="en-GB"/>
        </w:rPr>
      </w:pPr>
      <w:r>
        <w:rPr>
          <w:rFonts w:ascii="Arial" w:hAnsi="Arial" w:cs="Arial"/>
          <w:sz w:val="22"/>
          <w:szCs w:val="22"/>
          <w:highlight w:val="none"/>
          <w:lang w:val="en-GB"/>
        </w:rPr>
        <w:t>Name the three types of voidable transactions that can be reversed by a bankruptcy trustee and describe the circumstances in which such a transaction will not be reversible.</w:t>
      </w:r>
    </w:p>
    <w:p>
      <w:pPr>
        <w:ind w:left="720" w:hanging="720"/>
        <w:jc w:val="both"/>
        <w:rPr>
          <w:rFonts w:ascii="Arial" w:hAnsi="Arial" w:cs="Arial"/>
          <w:sz w:val="22"/>
          <w:szCs w:val="22"/>
          <w:lang w:val="en-GB"/>
        </w:rPr>
      </w:pPr>
    </w:p>
    <w:p>
      <w:pPr>
        <w:ind w:left="0" w:leftChars="0" w:firstLine="0" w:firstLineChars="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There are three types of voidable transactions that can be reversed by a bankruptcy trustee are :-</w:t>
      </w:r>
    </w:p>
    <w:p>
      <w:pPr>
        <w:numPr>
          <w:ilvl w:val="0"/>
          <w:numId w:val="11"/>
        </w:numPr>
        <w:ind w:left="0" w:leftChars="0" w:firstLine="0" w:firstLineChars="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undervalued transactions;</w:t>
      </w:r>
    </w:p>
    <w:p>
      <w:pPr>
        <w:numPr>
          <w:ilvl w:val="0"/>
          <w:numId w:val="11"/>
        </w:numPr>
        <w:ind w:left="0" w:leftChars="0" w:firstLine="0" w:firstLineChars="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transfer to defeat creditors; or</w:t>
      </w:r>
    </w:p>
    <w:p>
      <w:pPr>
        <w:numPr>
          <w:ilvl w:val="0"/>
          <w:numId w:val="11"/>
        </w:numPr>
        <w:ind w:left="0" w:leftChars="0" w:firstLine="0" w:firstLineChars="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preferential payment to creditors.</w:t>
      </w:r>
    </w:p>
    <w:p>
      <w:pPr>
        <w:numPr>
          <w:ilvl w:val="0"/>
          <w:numId w:val="0"/>
        </w:numPr>
        <w:jc w:val="both"/>
        <w:rPr>
          <w:rFonts w:hint="eastAsia" w:ascii="Arial" w:hAnsi="Arial" w:eastAsia="新細明體" w:cs="Arial"/>
          <w:color w:val="7C7C7C" w:themeColor="accent3" w:themeShade="BF"/>
          <w:sz w:val="22"/>
          <w:szCs w:val="22"/>
          <w:lang w:val="en-US" w:eastAsia="zh-TW"/>
        </w:rPr>
      </w:pPr>
    </w:p>
    <w:p>
      <w:pPr>
        <w:numPr>
          <w:ilvl w:val="0"/>
          <w:numId w:val="0"/>
        </w:numPr>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However, if the transaction occurred during the relation back period but were transacted in good faith in the ordinary course of business and in the absence of notice of a creditor</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s petition or debtor</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s petition, such a transaction will not be reversible. Also, if the original debtor transferred the property to a third party who received in good faith and for market value, such transfer is not reversible by a bankruptcy trustee.</w:t>
      </w:r>
    </w:p>
    <w:p>
      <w:pPr>
        <w:ind w:left="0" w:leftChars="0" w:firstLine="0" w:firstLineChars="0"/>
        <w:jc w:val="both"/>
        <w:rPr>
          <w:rFonts w:ascii="Arial" w:hAnsi="Arial" w:cs="Arial"/>
          <w:sz w:val="22"/>
          <w:szCs w:val="22"/>
        </w:rPr>
      </w:pPr>
      <w:r>
        <w:rPr>
          <w:rFonts w:hint="eastAsia" w:ascii="Arial" w:hAnsi="Arial" w:eastAsia="新細明體" w:cs="Arial"/>
          <w:color w:val="7C7C7C" w:themeColor="accent3" w:themeShade="BF"/>
          <w:sz w:val="22"/>
          <w:szCs w:val="22"/>
          <w:lang w:val="en-US" w:eastAsia="zh-TW"/>
        </w:rPr>
        <w:t xml:space="preserve"> </w:t>
      </w:r>
    </w:p>
    <w:p>
      <w:pPr>
        <w:jc w:val="both"/>
        <w:rPr>
          <w:rFonts w:ascii="Arial" w:hAnsi="Arial" w:cs="Arial"/>
          <w:sz w:val="22"/>
          <w:szCs w:val="22"/>
        </w:rPr>
      </w:pPr>
    </w:p>
    <w:p>
      <w:pPr>
        <w:ind w:left="720" w:hanging="720"/>
        <w:jc w:val="both"/>
        <w:rPr>
          <w:rFonts w:ascii="Arial" w:hAnsi="Arial" w:cs="Arial"/>
          <w:sz w:val="22"/>
          <w:szCs w:val="22"/>
        </w:rPr>
      </w:pPr>
      <w:r>
        <w:rPr>
          <w:rFonts w:ascii="Arial" w:hAnsi="Arial" w:cs="Arial"/>
          <w:b/>
          <w:bCs/>
          <w:sz w:val="22"/>
          <w:szCs w:val="22"/>
        </w:rPr>
        <w:t>Question 2.2</w:t>
      </w:r>
      <w:r>
        <w:rPr>
          <w:rFonts w:ascii="Arial" w:hAnsi="Arial" w:cs="Arial"/>
          <w:b/>
          <w:bCs/>
          <w:sz w:val="22"/>
          <w:szCs w:val="22"/>
        </w:rPr>
        <w:tab/>
      </w:r>
      <w:r>
        <w:rPr>
          <w:rFonts w:ascii="Arial" w:hAnsi="Arial" w:cs="Arial"/>
          <w:b/>
          <w:bCs/>
          <w:sz w:val="22"/>
          <w:szCs w:val="22"/>
        </w:rPr>
        <w:t>[maximum 3 marks]</w:t>
      </w:r>
      <w:r>
        <w:rPr>
          <w:rFonts w:ascii="Arial" w:hAnsi="Arial" w:cs="Arial"/>
          <w:sz w:val="22"/>
          <w:szCs w:val="22"/>
        </w:rPr>
        <w:t xml:space="preserve"> </w:t>
      </w:r>
    </w:p>
    <w:p>
      <w:pPr>
        <w:ind w:left="720" w:hanging="720"/>
        <w:jc w:val="both"/>
        <w:rPr>
          <w:rFonts w:ascii="Arial" w:hAnsi="Arial" w:cs="Arial"/>
          <w:sz w:val="22"/>
          <w:szCs w:val="22"/>
        </w:rPr>
      </w:pPr>
    </w:p>
    <w:p>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pPr>
        <w:ind w:left="720" w:hanging="720"/>
        <w:jc w:val="both"/>
        <w:rPr>
          <w:rFonts w:ascii="Arial" w:hAnsi="Arial" w:cs="Arial"/>
          <w:sz w:val="22"/>
          <w:szCs w:val="22"/>
        </w:rPr>
      </w:pPr>
    </w:p>
    <w:p>
      <w:pPr>
        <w:numPr>
          <w:ilvl w:val="0"/>
          <w:numId w:val="0"/>
        </w:numPr>
        <w:jc w:val="both"/>
        <w:rPr>
          <w:rFonts w:ascii="Arial" w:hAnsi="Arial" w:cs="Arial"/>
          <w:color w:val="7C7C7C" w:themeColor="accent3" w:themeShade="BF"/>
          <w:sz w:val="22"/>
          <w:szCs w:val="22"/>
        </w:rPr>
      </w:pPr>
      <w:r>
        <w:rPr>
          <w:rFonts w:hint="eastAsia" w:ascii="Arial" w:hAnsi="Arial" w:eastAsia="新細明體" w:cs="Arial"/>
          <w:color w:val="7C7C7C" w:themeColor="accent3" w:themeShade="BF"/>
          <w:sz w:val="22"/>
          <w:szCs w:val="22"/>
          <w:lang w:val="en-US" w:eastAsia="zh-TW"/>
        </w:rPr>
        <w:t>Under Australia</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s implementation of Article 20 of the Model Law, it was specified that the stay would apply if the stay or suspension arose under the Bankruptcy Act or Chapter 5 (other than Parts 5.2 and 5.4A) of the Corporations Act as the case requires. Hence, the court has to consider the nature of the case whether the cases required to grant a recognition application and determine the extent of the stay which was required in the case. Under the case law of Rizzo-Bottiglieri-De Carlini Armatori SpA v Rizzo-Bottiglieri-De Carlini Armatori SpA [2018], the Judge commented that the court should determine the scope of the stay by the nature of the proceeding so as to determine whether it is more analogous to an Australian voluntary administration or a liquidation. If the foreign proceeding is clearly a business rescue procedure, it requires the boarder voluntary administration stay which affects secured creditors.  However, if the foreign proceeding is more analogous to liquidation, a standard liquidation stay should be apply.  </w:t>
      </w:r>
    </w:p>
    <w:p>
      <w:pPr>
        <w:jc w:val="both"/>
        <w:rPr>
          <w:rFonts w:ascii="Arial" w:hAnsi="Arial" w:cs="Arial"/>
          <w:sz w:val="22"/>
          <w:szCs w:val="22"/>
          <w:lang w:val="en-GB"/>
        </w:rPr>
      </w:pPr>
      <w:bookmarkStart w:id="2" w:name="_GoBack"/>
      <w:bookmarkEnd w:id="2"/>
    </w:p>
    <w:p>
      <w:pPr>
        <w:ind w:left="720" w:hanging="720"/>
        <w:jc w:val="both"/>
        <w:rPr>
          <w:rFonts w:hint="default" w:ascii="Arial" w:hAnsi="Arial" w:eastAsia="新細明體" w:cs="Arial"/>
          <w:b/>
          <w:bCs/>
          <w:sz w:val="22"/>
          <w:szCs w:val="22"/>
          <w:lang w:val="en-US" w:eastAsia="zh-TW"/>
        </w:rPr>
      </w:pPr>
      <w:r>
        <w:rPr>
          <w:rFonts w:ascii="Arial" w:hAnsi="Arial" w:cs="Arial"/>
          <w:b/>
          <w:bCs/>
          <w:sz w:val="22"/>
          <w:szCs w:val="22"/>
          <w:lang w:val="en-GB"/>
        </w:rPr>
        <w:t>Question 2.3</w:t>
      </w:r>
      <w:r>
        <w:rPr>
          <w:rFonts w:ascii="Arial" w:hAnsi="Arial" w:cs="Arial"/>
          <w:b/>
          <w:bCs/>
          <w:sz w:val="22"/>
          <w:szCs w:val="22"/>
          <w:lang w:val="en-GB"/>
        </w:rPr>
        <w:tab/>
      </w:r>
      <w:r>
        <w:rPr>
          <w:rFonts w:ascii="Arial" w:hAnsi="Arial" w:cs="Arial"/>
          <w:b/>
          <w:bCs/>
          <w:sz w:val="22"/>
          <w:szCs w:val="22"/>
          <w:lang w:val="en-GB"/>
        </w:rPr>
        <w:t>[maximum 4 marks]</w:t>
      </w:r>
      <w:r>
        <w:rPr>
          <w:rFonts w:hint="default" w:ascii="Arial" w:hAnsi="Arial" w:cs="Arial"/>
          <w:b/>
          <w:bCs/>
          <w:sz w:val="22"/>
          <w:szCs w:val="22"/>
          <w:lang w:val="en-US"/>
        </w:rPr>
        <w:t xml:space="preserve"> </w:t>
      </w:r>
    </w:p>
    <w:p>
      <w:pPr>
        <w:rPr>
          <w:rFonts w:ascii="Arial" w:hAnsi="Arial" w:cs="Arial"/>
          <w:sz w:val="22"/>
          <w:szCs w:val="22"/>
          <w:lang w:val="en-GB"/>
        </w:rPr>
      </w:pPr>
    </w:p>
    <w:p>
      <w:pPr>
        <w:jc w:val="both"/>
        <w:rPr>
          <w:rFonts w:ascii="Arial" w:hAnsi="Arial" w:cs="Arial"/>
          <w:sz w:val="22"/>
          <w:szCs w:val="22"/>
          <w:highlight w:val="none"/>
          <w:lang w:val="en-GB"/>
        </w:rPr>
      </w:pPr>
      <w:r>
        <w:rPr>
          <w:rFonts w:ascii="Arial" w:hAnsi="Arial" w:cs="Arial"/>
          <w:sz w:val="22"/>
          <w:szCs w:val="22"/>
          <w:highlight w:val="none"/>
          <w:lang w:val="en-GB"/>
        </w:rPr>
        <w:t xml:space="preserve">What is an </w:t>
      </w:r>
      <w:r>
        <w:rPr>
          <w:rFonts w:ascii="Arial" w:hAnsi="Arial" w:cs="Arial"/>
          <w:i/>
          <w:iCs/>
          <w:sz w:val="22"/>
          <w:szCs w:val="22"/>
          <w:highlight w:val="none"/>
          <w:lang w:val="en-GB"/>
        </w:rPr>
        <w:t>ipso facto</w:t>
      </w:r>
      <w:r>
        <w:rPr>
          <w:rFonts w:ascii="Arial" w:hAnsi="Arial" w:cs="Arial"/>
          <w:sz w:val="22"/>
          <w:szCs w:val="22"/>
          <w:highlight w:val="none"/>
          <w:lang w:val="en-GB"/>
        </w:rPr>
        <w:t xml:space="preserve"> clause and what is the relevance of </w:t>
      </w:r>
      <w:r>
        <w:rPr>
          <w:rFonts w:ascii="Arial" w:hAnsi="Arial" w:cs="Arial"/>
          <w:i/>
          <w:iCs/>
          <w:sz w:val="22"/>
          <w:szCs w:val="22"/>
          <w:highlight w:val="none"/>
          <w:lang w:val="en-GB"/>
        </w:rPr>
        <w:t>ipso facto</w:t>
      </w:r>
      <w:r>
        <w:rPr>
          <w:rFonts w:ascii="Arial" w:hAnsi="Arial" w:cs="Arial"/>
          <w:sz w:val="22"/>
          <w:szCs w:val="22"/>
          <w:highlight w:val="none"/>
          <w:lang w:val="en-GB"/>
        </w:rPr>
        <w:t xml:space="preserve"> clauses in liquidations?</w:t>
      </w:r>
    </w:p>
    <w:p>
      <w:pPr>
        <w:jc w:val="both"/>
        <w:rPr>
          <w:rFonts w:ascii="Arial" w:hAnsi="Arial" w:cs="Arial"/>
          <w:sz w:val="22"/>
          <w:szCs w:val="22"/>
          <w:lang w:val="en-GB"/>
        </w:rPr>
      </w:pPr>
    </w:p>
    <w:p>
      <w:pPr>
        <w:numPr>
          <w:ilvl w:val="0"/>
          <w:numId w:val="0"/>
        </w:numPr>
        <w:jc w:val="both"/>
        <w:rPr>
          <w:rFonts w:hint="eastAsia" w:ascii="Arial" w:hAnsi="Arial" w:eastAsia="新細明體" w:cs="Arial"/>
          <w:color w:val="7C7C7C" w:themeColor="accent3" w:themeShade="BF"/>
          <w:sz w:val="22"/>
          <w:szCs w:val="22"/>
          <w:lang w:val="en-US" w:eastAsia="zh-TW"/>
        </w:rPr>
      </w:pPr>
      <w:r>
        <w:rPr>
          <w:rFonts w:hint="eastAsia" w:ascii="Arial" w:hAnsi="Arial" w:cs="Arial"/>
          <w:color w:val="7C7C7C" w:themeColor="accent3" w:themeShade="BF"/>
          <w:sz w:val="22"/>
          <w:szCs w:val="22"/>
          <w:lang w:val="en-GB"/>
        </w:rPr>
        <w:t xml:space="preserve">An ipso facto </w:t>
      </w:r>
      <w:r>
        <w:rPr>
          <w:rFonts w:hint="eastAsia" w:ascii="Arial" w:hAnsi="Arial" w:eastAsia="新細明體" w:cs="Arial"/>
          <w:color w:val="7C7C7C" w:themeColor="accent3" w:themeShade="BF"/>
          <w:sz w:val="22"/>
          <w:szCs w:val="22"/>
          <w:lang w:val="en-GB" w:eastAsia="zh-TW"/>
        </w:rPr>
        <w:t xml:space="preserve">clause </w:t>
      </w:r>
      <w:r>
        <w:rPr>
          <w:rFonts w:hint="eastAsia" w:ascii="Arial" w:hAnsi="Arial" w:cs="Arial"/>
          <w:color w:val="7C7C7C" w:themeColor="accent3" w:themeShade="BF"/>
          <w:sz w:val="22"/>
          <w:szCs w:val="22"/>
          <w:lang w:val="en-GB"/>
        </w:rPr>
        <w:t>is a contractual provision</w:t>
      </w:r>
      <w:r>
        <w:rPr>
          <w:rFonts w:hint="eastAsia" w:ascii="Arial" w:hAnsi="Arial" w:eastAsia="新細明體" w:cs="Arial"/>
          <w:color w:val="7C7C7C" w:themeColor="accent3" w:themeShade="BF"/>
          <w:sz w:val="22"/>
          <w:szCs w:val="22"/>
          <w:lang w:val="en-US" w:eastAsia="zh-TW"/>
        </w:rPr>
        <w:t xml:space="preserve"> which was entered into prior to </w:t>
      </w:r>
      <w:r>
        <w:rPr>
          <w:rFonts w:hint="eastAsia" w:ascii="Arial" w:hAnsi="Arial" w:cs="Arial"/>
          <w:color w:val="7C7C7C" w:themeColor="accent3" w:themeShade="BF"/>
          <w:sz w:val="22"/>
          <w:szCs w:val="22"/>
          <w:lang w:val="en-GB"/>
        </w:rPr>
        <w:t xml:space="preserve">a specified </w:t>
      </w:r>
      <w:r>
        <w:rPr>
          <w:rFonts w:hint="eastAsia" w:ascii="Arial" w:hAnsi="Arial" w:eastAsia="新細明體" w:cs="Arial"/>
          <w:color w:val="7C7C7C" w:themeColor="accent3" w:themeShade="BF"/>
          <w:sz w:val="22"/>
          <w:szCs w:val="22"/>
          <w:lang w:val="en-GB" w:eastAsia="zh-TW"/>
        </w:rPr>
        <w:t xml:space="preserve">insolvency </w:t>
      </w:r>
      <w:r>
        <w:rPr>
          <w:rFonts w:hint="eastAsia" w:ascii="Arial" w:hAnsi="Arial" w:cs="Arial"/>
          <w:color w:val="7C7C7C" w:themeColor="accent3" w:themeShade="BF"/>
          <w:sz w:val="22"/>
          <w:szCs w:val="22"/>
          <w:lang w:val="en-GB"/>
        </w:rPr>
        <w:t xml:space="preserve">related event </w:t>
      </w:r>
      <w:r>
        <w:rPr>
          <w:rFonts w:hint="eastAsia" w:ascii="Arial" w:hAnsi="Arial" w:eastAsia="新細明體" w:cs="Arial"/>
          <w:color w:val="7C7C7C" w:themeColor="accent3" w:themeShade="BF"/>
          <w:sz w:val="22"/>
          <w:szCs w:val="22"/>
          <w:lang w:val="en-US" w:eastAsia="zh-TW"/>
        </w:rPr>
        <w:t xml:space="preserve">of restructuring </w:t>
      </w:r>
      <w:r>
        <w:rPr>
          <w:rFonts w:hint="eastAsia" w:ascii="Arial" w:hAnsi="Arial" w:cs="Arial"/>
          <w:color w:val="7C7C7C" w:themeColor="accent3" w:themeShade="BF"/>
          <w:sz w:val="22"/>
          <w:szCs w:val="22"/>
          <w:lang w:val="en-GB"/>
        </w:rPr>
        <w:t>(such as the appointment of an administrator, receiver or liquidator)</w:t>
      </w:r>
      <w:r>
        <w:rPr>
          <w:rFonts w:hint="eastAsia" w:ascii="Arial" w:hAnsi="Arial" w:eastAsia="新細明體" w:cs="Arial"/>
          <w:color w:val="7C7C7C" w:themeColor="accent3" w:themeShade="BF"/>
          <w:sz w:val="22"/>
          <w:szCs w:val="22"/>
          <w:lang w:val="en-US" w:eastAsia="zh-TW"/>
        </w:rPr>
        <w:t xml:space="preserve">.  It allows </w:t>
      </w:r>
      <w:r>
        <w:rPr>
          <w:rFonts w:hint="eastAsia" w:ascii="Arial" w:hAnsi="Arial" w:cs="Arial"/>
          <w:color w:val="7C7C7C" w:themeColor="accent3" w:themeShade="BF"/>
          <w:sz w:val="22"/>
          <w:szCs w:val="22"/>
          <w:lang w:val="en-GB"/>
        </w:rPr>
        <w:t>one party to the contract to terminate</w:t>
      </w:r>
      <w:r>
        <w:rPr>
          <w:rFonts w:hint="eastAsia" w:ascii="Arial" w:hAnsi="Arial" w:eastAsia="新細明體" w:cs="Arial"/>
          <w:color w:val="7C7C7C" w:themeColor="accent3" w:themeShade="BF"/>
          <w:sz w:val="22"/>
          <w:szCs w:val="22"/>
          <w:lang w:val="en-US" w:eastAsia="zh-TW"/>
        </w:rPr>
        <w:t>, not to enforce</w:t>
      </w:r>
      <w:r>
        <w:rPr>
          <w:rFonts w:hint="eastAsia" w:ascii="Arial" w:hAnsi="Arial" w:cs="Arial"/>
          <w:color w:val="7C7C7C" w:themeColor="accent3" w:themeShade="BF"/>
          <w:sz w:val="22"/>
          <w:szCs w:val="22"/>
          <w:lang w:val="en-GB"/>
        </w:rPr>
        <w:t xml:space="preserve"> or modify the operation of the contract upon the occurrence of a specified insolvency related event </w:t>
      </w:r>
      <w:r>
        <w:rPr>
          <w:rFonts w:hint="eastAsia" w:ascii="Arial" w:hAnsi="Arial" w:eastAsia="新細明體" w:cs="Arial"/>
          <w:color w:val="7C7C7C" w:themeColor="accent3" w:themeShade="BF"/>
          <w:sz w:val="22"/>
          <w:szCs w:val="22"/>
          <w:lang w:val="en-US" w:eastAsia="zh-TW"/>
        </w:rPr>
        <w:t xml:space="preserve">of restructuring </w:t>
      </w:r>
      <w:r>
        <w:rPr>
          <w:rFonts w:hint="eastAsia" w:ascii="Arial" w:hAnsi="Arial" w:cs="Arial"/>
          <w:color w:val="7C7C7C" w:themeColor="accent3" w:themeShade="BF"/>
          <w:sz w:val="22"/>
          <w:szCs w:val="22"/>
          <w:lang w:val="en-GB"/>
        </w:rPr>
        <w:t>in respect of another party.</w:t>
      </w:r>
      <w:r>
        <w:rPr>
          <w:rFonts w:hint="eastAsia" w:ascii="Arial" w:hAnsi="Arial" w:eastAsia="新細明體" w:cs="Arial"/>
          <w:color w:val="7C7C7C" w:themeColor="accent3" w:themeShade="BF"/>
          <w:sz w:val="22"/>
          <w:szCs w:val="22"/>
          <w:lang w:val="en-US" w:eastAsia="zh-TW"/>
        </w:rPr>
        <w:t xml:space="preserve">  However, such clause to stay on enforcing rights should be created in the contracts prior to the company comes under restructuring.  Otherwise, such rights are not stayed.  Subject to the Court</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s approval, the ipso facto clauses could be extended or limited or enforced with its leave.</w:t>
      </w:r>
    </w:p>
    <w:p>
      <w:pPr>
        <w:jc w:val="both"/>
        <w:rPr>
          <w:rFonts w:ascii="Arial" w:hAnsi="Arial" w:cs="Arial"/>
          <w:bCs/>
          <w:sz w:val="22"/>
          <w:szCs w:val="22"/>
          <w:lang w:val="en-GB"/>
        </w:rPr>
      </w:pPr>
    </w:p>
    <w:p>
      <w:pPr>
        <w:jc w:val="both"/>
        <w:rPr>
          <w:rFonts w:ascii="Arial" w:hAnsi="Arial" w:cs="Arial"/>
          <w:bCs/>
          <w:sz w:val="22"/>
          <w:szCs w:val="22"/>
          <w:lang w:val="en-GB"/>
        </w:rPr>
      </w:pPr>
    </w:p>
    <w:p>
      <w:pPr>
        <w:jc w:val="both"/>
        <w:rPr>
          <w:rFonts w:hint="default" w:ascii="Arial" w:hAnsi="Arial" w:eastAsia="新細明體" w:cs="Arial"/>
          <w:sz w:val="22"/>
          <w:szCs w:val="22"/>
          <w:highlight w:val="green"/>
          <w:lang w:val="en-US" w:eastAsia="zh-TW"/>
        </w:rPr>
      </w:pPr>
      <w:r>
        <w:rPr>
          <w:rFonts w:ascii="Arial" w:hAnsi="Arial" w:cs="Arial"/>
          <w:b/>
          <w:sz w:val="22"/>
          <w:szCs w:val="22"/>
          <w:lang w:val="en-GB"/>
        </w:rPr>
        <w:t xml:space="preserve">QUESTION 3 (essay-type questions) [15 marks in total] </w:t>
      </w:r>
      <w:r>
        <w:rPr>
          <w:rFonts w:hint="eastAsia" w:ascii="Arial" w:hAnsi="Arial" w:eastAsia="新細明體" w:cs="Arial"/>
          <w:b/>
          <w:sz w:val="22"/>
          <w:szCs w:val="22"/>
          <w:lang w:val="en-US" w:eastAsia="zh-TW"/>
        </w:rPr>
        <w:t xml:space="preserve"> </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“Creditors’ schemes of arrangement are costly and time-consuming and are an ineffective corporate rescue mechanism in Australia.”</w:t>
      </w:r>
    </w:p>
    <w:p>
      <w:pPr>
        <w:ind w:left="720" w:hanging="720"/>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pPr>
        <w:jc w:val="both"/>
        <w:rPr>
          <w:rFonts w:ascii="Arial" w:hAnsi="Arial" w:cs="Arial"/>
          <w:sz w:val="22"/>
          <w:szCs w:val="22"/>
        </w:rPr>
      </w:pPr>
    </w:p>
    <w:p>
      <w:pPr>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Undeniably, the creditors</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 scheme </w:t>
      </w:r>
      <w:r>
        <w:rPr>
          <w:rFonts w:hint="eastAsia" w:ascii="Arial" w:hAnsi="Arial" w:eastAsia="新細明體" w:cs="Arial"/>
          <w:color w:val="7C7C7C" w:themeColor="accent3" w:themeShade="BF"/>
          <w:sz w:val="22"/>
          <w:szCs w:val="22"/>
          <w:highlight w:val="none"/>
          <w:lang w:val="en-US" w:eastAsia="zh-TW"/>
        </w:rPr>
        <w:t>of arrangement is a complex, costly and time-consuming process compared with other corporate rescue process, such as voluntary administration or deed of company arrangement process.</w:t>
      </w:r>
      <w:r>
        <w:rPr>
          <w:rFonts w:hint="eastAsia" w:ascii="Arial" w:hAnsi="Arial" w:eastAsia="新細明體" w:cs="Arial"/>
          <w:color w:val="7C7C7C" w:themeColor="accent3" w:themeShade="BF"/>
          <w:sz w:val="22"/>
          <w:szCs w:val="22"/>
          <w:lang w:val="en-US" w:eastAsia="zh-TW"/>
        </w:rPr>
        <w:t xml:space="preserve">  </w:t>
      </w:r>
    </w:p>
    <w:p>
      <w:pPr>
        <w:jc w:val="both"/>
        <w:rPr>
          <w:rFonts w:hint="eastAsia" w:ascii="Arial" w:hAnsi="Arial" w:eastAsia="新細明體" w:cs="Arial"/>
          <w:color w:val="7C7C7C" w:themeColor="accent3" w:themeShade="BF"/>
          <w:sz w:val="22"/>
          <w:szCs w:val="22"/>
          <w:lang w:val="en-US" w:eastAsia="zh-TW"/>
        </w:rPr>
      </w:pPr>
    </w:p>
    <w:p>
      <w:pPr>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The complexity and the cost of the creditors</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 scheme of arrangement is due to the significant involvement of the court and high percentage of creditors</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 agreement being required. The creditors</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 scheme of arrangement requires 2 court applications.  Firstly, after the directors obtain a good level of support for the proposed scheme of arrangement, they would make an initial application to court for an order to convene the creditors</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 meeting.  The court will require resolutions to be obtained in multiple meetings each class of creditors. In each class of the creditor</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s meeting, the majority of creditors should be present and voting at the meeting while 75 percent of the total amount of the debts and claims of creditors present and voting at the meeting should be in support of the Scheme. To achieve the approval from creditors in each class, it was not uncommon to take months to come up with a treatment which are widely accepted by each class and/ or take more time to reach consent from creditors from each class at the multiple meetings.</w:t>
      </w:r>
    </w:p>
    <w:p>
      <w:pPr>
        <w:jc w:val="both"/>
        <w:rPr>
          <w:rFonts w:hint="eastAsia" w:ascii="Arial" w:hAnsi="Arial" w:eastAsia="新細明體" w:cs="Arial"/>
          <w:color w:val="7C7C7C" w:themeColor="accent3" w:themeShade="BF"/>
          <w:sz w:val="22"/>
          <w:szCs w:val="22"/>
          <w:lang w:val="en-US" w:eastAsia="zh-TW"/>
        </w:rPr>
      </w:pPr>
    </w:p>
    <w:p>
      <w:pPr>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This arrangement requested the company to provide a scheme which could be widely accepted by the majority of the creditors in each class.  Also, creditors in each class are given the chance to vote separately which lower the chance of unfairness or unjust situation such as major creditors being given preferential treatment dominate the creditors</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 meeting.  </w:t>
      </w:r>
    </w:p>
    <w:p>
      <w:pPr>
        <w:jc w:val="both"/>
        <w:rPr>
          <w:rFonts w:hint="eastAsia" w:ascii="Arial" w:hAnsi="Arial" w:eastAsia="新細明體" w:cs="Arial"/>
          <w:color w:val="7C7C7C" w:themeColor="accent3" w:themeShade="BF"/>
          <w:sz w:val="22"/>
          <w:szCs w:val="22"/>
          <w:lang w:val="en-US" w:eastAsia="zh-TW"/>
        </w:rPr>
      </w:pPr>
    </w:p>
    <w:p>
      <w:pPr>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 xml:space="preserve">After the scheme is approved, a subsequent court application is required to formally approve the Scheme.  The court would review the before granting the approval. Such arrangement would create less subsequent challenges from creditors as the fairness of the meeting was reviewed by court. The arrangement was also approved by court.  Hence, the chance of further rebut was slim.  </w:t>
      </w:r>
    </w:p>
    <w:p>
      <w:pPr>
        <w:jc w:val="both"/>
        <w:rPr>
          <w:rFonts w:hint="eastAsia" w:ascii="Arial" w:hAnsi="Arial" w:eastAsia="新細明體" w:cs="Arial"/>
          <w:color w:val="7C7C7C" w:themeColor="accent3" w:themeShade="BF"/>
          <w:sz w:val="22"/>
          <w:szCs w:val="22"/>
          <w:lang w:val="en-US" w:eastAsia="zh-TW"/>
        </w:rPr>
      </w:pPr>
    </w:p>
    <w:p>
      <w:pPr>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The scheme of arrangement procedure is established under the Corporations Act.  Even the proposed scheme documents are prescribed which required certain matters being compulsory to be disclosed to creditors, such as creditors</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 expected dividends under the scheme compared to a winding up of the company, the extent and amount of creditors</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 claim and comprehensive information about the company</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s financial and other affairs. The strict requirement, even its format and content of the documents, creates more transparency to the scheme and allow a easy comparison for the creditors to make their decision.  It allows the creditors to make a rational decision after receiving a rather full picture of the financial situation of the company.</w:t>
      </w:r>
    </w:p>
    <w:p>
      <w:pPr>
        <w:jc w:val="both"/>
        <w:rPr>
          <w:rFonts w:hint="eastAsia" w:ascii="Arial" w:hAnsi="Arial" w:eastAsia="新細明體" w:cs="Arial"/>
          <w:color w:val="7C7C7C" w:themeColor="accent3" w:themeShade="BF"/>
          <w:sz w:val="22"/>
          <w:szCs w:val="22"/>
          <w:lang w:val="en-GB" w:eastAsia="zh-TW"/>
        </w:rPr>
      </w:pPr>
    </w:p>
    <w:p>
      <w:pPr>
        <w:jc w:val="both"/>
        <w:rPr>
          <w:rFonts w:ascii="Arial" w:hAnsi="Arial" w:cs="Arial"/>
          <w:sz w:val="22"/>
          <w:szCs w:val="22"/>
          <w:shd w:val="clear" w:color="auto" w:fill="FFFFFF"/>
        </w:rPr>
      </w:pPr>
      <w:r>
        <w:rPr>
          <w:rFonts w:hint="eastAsia" w:ascii="Arial" w:hAnsi="Arial" w:eastAsia="新細明體" w:cs="Arial"/>
          <w:color w:val="7C7C7C" w:themeColor="accent3" w:themeShade="BF"/>
          <w:sz w:val="22"/>
          <w:szCs w:val="22"/>
          <w:lang w:val="en-US" w:eastAsia="zh-TW"/>
        </w:rPr>
        <w:t>Hence, these processes, though lengthy and costly, increases its recognition and legitimacy among other voluntary administration.  It permits less challenges from dissent stakeholders which might also release the creditor</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s rights against third parties other than the company.  Hence, this is an effective corporate rescue mechanism in Australia.</w:t>
      </w:r>
    </w:p>
    <w:p>
      <w:pPr>
        <w:jc w:val="both"/>
        <w:rPr>
          <w:rFonts w:ascii="Arial" w:hAnsi="Arial" w:cs="Arial"/>
          <w:sz w:val="22"/>
          <w:szCs w:val="22"/>
          <w:shd w:val="clear" w:color="auto" w:fill="FFFFFF"/>
        </w:rPr>
      </w:pPr>
    </w:p>
    <w:p>
      <w:pPr>
        <w:jc w:val="both"/>
        <w:rPr>
          <w:rFonts w:ascii="Arial" w:hAnsi="Arial" w:cs="Arial"/>
          <w:b/>
          <w:sz w:val="22"/>
          <w:szCs w:val="22"/>
          <w:lang w:val="en-GB"/>
        </w:rPr>
      </w:pPr>
      <w:r>
        <w:rPr>
          <w:rFonts w:ascii="Arial" w:hAnsi="Arial" w:cs="Arial"/>
          <w:b/>
          <w:sz w:val="22"/>
          <w:szCs w:val="22"/>
          <w:lang w:val="en-GB"/>
        </w:rPr>
        <w:t>QUESTION 4 (fact-based application-type question) [15 marks in total]</w:t>
      </w:r>
    </w:p>
    <w:p>
      <w:pPr>
        <w:jc w:val="both"/>
        <w:rPr>
          <w:rFonts w:ascii="Arial" w:hAnsi="Arial" w:cs="Arial"/>
          <w:sz w:val="22"/>
          <w:szCs w:val="22"/>
          <w:lang w:val="en-GB"/>
        </w:rPr>
      </w:pPr>
    </w:p>
    <w:p>
      <w:pPr>
        <w:jc w:val="both"/>
        <w:rPr>
          <w:rFonts w:ascii="Arial" w:hAnsi="Arial" w:cs="Arial"/>
          <w:b/>
          <w:bCs/>
          <w:sz w:val="22"/>
          <w:szCs w:val="22"/>
          <w:lang w:val="en-GB"/>
        </w:rPr>
      </w:pPr>
      <w:bookmarkStart w:id="0" w:name="_Hlk17745211"/>
      <w:r>
        <w:rPr>
          <w:rFonts w:ascii="Arial" w:hAnsi="Arial" w:cs="Arial"/>
          <w:b/>
          <w:bCs/>
          <w:sz w:val="22"/>
          <w:szCs w:val="22"/>
          <w:lang w:val="en-GB"/>
        </w:rPr>
        <w:t>Question 4.1 [maximum 9 marks]</w:t>
      </w:r>
    </w:p>
    <w:p>
      <w:pPr>
        <w:jc w:val="both"/>
        <w:rPr>
          <w:rFonts w:ascii="Arial" w:hAnsi="Arial" w:cs="Arial"/>
          <w:b/>
          <w:bCs/>
          <w:sz w:val="22"/>
          <w:szCs w:val="22"/>
          <w:lang w:val="en-GB"/>
        </w:rPr>
      </w:pPr>
    </w:p>
    <w:p>
      <w:pPr>
        <w:jc w:val="both"/>
        <w:rPr>
          <w:rFonts w:ascii="Arial" w:hAnsi="Arial" w:cs="Arial"/>
          <w:sz w:val="22"/>
          <w:szCs w:val="22"/>
          <w:lang w:val="en-GB"/>
        </w:rPr>
      </w:pPr>
      <w:r>
        <w:rPr>
          <w:rFonts w:ascii="Arial" w:hAnsi="Arial" w:cs="Arial"/>
          <w:sz w:val="22"/>
          <w:szCs w:val="22"/>
          <w:lang w:val="en-GB"/>
        </w:rPr>
        <w:t>Aussiebee Pty Ltd (</w:t>
      </w:r>
      <w:r>
        <w:rPr>
          <w:rFonts w:ascii="Arial" w:hAnsi="Arial" w:cs="Arial"/>
          <w:bCs/>
          <w:sz w:val="22"/>
          <w:szCs w:val="22"/>
          <w:lang w:val="en-GB"/>
        </w:rPr>
        <w:t>Aussiebee</w:t>
      </w:r>
      <w:r>
        <w:rPr>
          <w:rFonts w:ascii="Arial" w:hAnsi="Arial" w:cs="Arial"/>
          <w:sz w:val="22"/>
          <w:szCs w:val="22"/>
          <w:lang w:val="en-GB"/>
        </w:rPr>
        <w:t xml:space="preserve">), a company incorporated in the fictional country of Lyonesse, sells chocolates flavoured with Australian native plants. The chocolates are manufactured in Australia by NewYums Pty Ltd (NewYums), an Australian-incorporated wholly-owned subsidiary of Aussiebee. </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sells its chocolates all over the world, from both its Lyonesse and its Sydney offices and warehouses. AussieBee and NewYums share a board of directors, made up of six Australians and one Lyonessian. Aussiebee employed 40 staff: 20 in Sydney and 20 in Lyonesse. Aussiebee’s CEO is an Australian, but resident in Lyonesse. Aussiebee’s CFO is an Australian, resident in Australia.</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Aussiebee is insolvent. NewYums, however, remains solvent.</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 20 million) to her, so that she can realise them for the benefit of creditors in the Lyonessian liquidation.</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Aussiebee owes AUD 12 million in taxes in Australia, payable to the Australian Taxation Office (ATO). Assume that revenue creditors such as the ATO are not entitled to prove in the Lyonessian liquidation.</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pPr>
        <w:autoSpaceDE w:val="0"/>
        <w:autoSpaceDN w:val="0"/>
        <w:adjustRightInd w:val="0"/>
        <w:jc w:val="both"/>
        <w:rPr>
          <w:rFonts w:hint="eastAsia" w:ascii="Arial" w:hAnsi="Arial" w:cs="Arial"/>
          <w:color w:val="7C7C7C" w:themeColor="accent3" w:themeShade="BF"/>
          <w:sz w:val="22"/>
          <w:szCs w:val="22"/>
          <w:lang w:val="en-GB"/>
        </w:rPr>
      </w:pP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The liquidator of the Aussiebee applied to the Federal Court of Australia for recognition of Lyonessian liquidation as a foreign main proceeding in Australia.  However, Aussiebee owes AUD 12 million in taxes in Australia being payable to the Australian Taxation Office (</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ATO</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which was not admissible to proof in Lyonessian Liquidation.    To improve the situation of ATO, when the liquidator was applying orders entrusting Aussiebee</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s assets (including Aussiebee</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s shares in NewYums which are worth AUD 20 million) to her, ATO could make an application seeking modification of the recognition orders to issue statutory notices and take other recovery action, including action to obtain payment of the tax debt on a pari passu basis from the assets in Australia. </w:t>
      </w: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The Model Law which imported foreign insolvency law into Australia do not disallow domestic tax debts not to be recovered.  Also, there was no legislative or common law basis which destroyed the rights of the ATO to seek leave to proceed against Aussiebee in liquidation or to employ his enforcement rights under tax legislation.</w:t>
      </w: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 xml:space="preserve">When granting or modifying relief under the Model Law, the Court must ensure that the interest of local creditors are protected.  The Courts in Australia have the power to make orders under the Model Law to protect the ATO's ability to recover revenue liabilities from assets located in Australia in circumstances where the debt would not be admitted in a foreign liquidation. The court could exercise discretion by making the modification orders that the ATO's rights as a local creditor would have been transformed into a foreign creditor.  Also, the court permitted the ATO to recover a pari passu entitlement which also uphold the principles of fairness between all creditors. </w:t>
      </w:r>
    </w:p>
    <w:p>
      <w:pPr>
        <w:autoSpaceDE w:val="0"/>
        <w:autoSpaceDN w:val="0"/>
        <w:adjustRightInd w:val="0"/>
        <w:jc w:val="both"/>
        <w:rPr>
          <w:rFonts w:hint="eastAsia" w:ascii="Arial" w:hAnsi="Arial" w:cs="Arial"/>
          <w:color w:val="7C7C7C" w:themeColor="accent3" w:themeShade="BF"/>
          <w:sz w:val="22"/>
          <w:szCs w:val="22"/>
          <w:lang w:val="en-GB"/>
        </w:rPr>
      </w:pPr>
    </w:p>
    <w:p>
      <w:pPr>
        <w:jc w:val="both"/>
        <w:rPr>
          <w:rFonts w:ascii="Arial" w:hAnsi="Arial" w:cs="Arial"/>
          <w:b/>
          <w:bCs/>
          <w:sz w:val="22"/>
          <w:szCs w:val="22"/>
          <w:lang w:val="en-GB"/>
        </w:rPr>
      </w:pPr>
      <w:r>
        <w:rPr>
          <w:rFonts w:ascii="Arial" w:hAnsi="Arial" w:cs="Arial"/>
          <w:b/>
          <w:bCs/>
          <w:sz w:val="22"/>
          <w:szCs w:val="22"/>
          <w:lang w:val="en-GB"/>
        </w:rPr>
        <w:t>Question 4.2 [maximum 6 marks]</w:t>
      </w:r>
    </w:p>
    <w:p>
      <w:pPr>
        <w:jc w:val="both"/>
        <w:rPr>
          <w:rFonts w:ascii="Arial" w:hAnsi="Arial" w:cs="Arial"/>
          <w:sz w:val="22"/>
          <w:szCs w:val="22"/>
          <w:lang w:val="en-GB"/>
        </w:rPr>
      </w:pPr>
    </w:p>
    <w:p>
      <w:pPr>
        <w:jc w:val="both"/>
        <w:rPr>
          <w:rFonts w:ascii="Arial" w:hAnsi="Arial" w:cs="Arial"/>
          <w:iCs/>
          <w:sz w:val="22"/>
          <w:szCs w:val="22"/>
          <w:lang w:val="en-GB"/>
        </w:rPr>
      </w:pPr>
      <w:bookmarkStart w:id="1" w:name="_Hlk60755414"/>
      <w:r>
        <w:rPr>
          <w:rFonts w:ascii="Arial" w:hAnsi="Arial" w:cs="Arial"/>
          <w:sz w:val="22"/>
          <w:szCs w:val="22"/>
          <w:lang w:val="en-GB"/>
        </w:rPr>
        <w:t>Shipmin Pty Ltd (Shipmin) is a company incorporated in Australia.</w:t>
      </w:r>
      <w:r>
        <w:rPr>
          <w:rFonts w:ascii="Arial" w:hAnsi="Arial" w:cs="Arial"/>
          <w:i/>
          <w:sz w:val="22"/>
          <w:szCs w:val="22"/>
          <w:lang w:val="en-GB"/>
        </w:rPr>
        <w:t xml:space="preserve"> </w:t>
      </w:r>
      <w:r>
        <w:rPr>
          <w:rFonts w:ascii="Arial" w:hAnsi="Arial" w:cs="Arial"/>
          <w:iCs/>
          <w:sz w:val="22"/>
          <w:szCs w:val="22"/>
          <w:lang w:val="en-GB"/>
        </w:rPr>
        <w:t>Shipmin owned two cargo ships, one valued at AUD 20 million, the other at AUD 15 million. About 3 months ago, Shipmin sold the AUD 20 million cargo ship and paid the full proceeds of AUD 20 million to its parent company Shipmax Ltd (Shipmax) to reduce Shipmin’s intercompany debt to Shipmax. Shipmax is also incorporated in Australia and owns 100% of the shares in Shipmin.</w:t>
      </w:r>
    </w:p>
    <w:p>
      <w:pPr>
        <w:jc w:val="both"/>
        <w:rPr>
          <w:rFonts w:ascii="Arial" w:hAnsi="Arial" w:cs="Arial"/>
          <w:iCs/>
          <w:sz w:val="22"/>
          <w:szCs w:val="22"/>
          <w:lang w:val="en-GB"/>
        </w:rPr>
      </w:pPr>
    </w:p>
    <w:p>
      <w:pPr>
        <w:jc w:val="both"/>
        <w:rPr>
          <w:rFonts w:ascii="Arial" w:hAnsi="Arial" w:cs="Arial"/>
          <w:sz w:val="22"/>
          <w:szCs w:val="22"/>
          <w:lang w:val="en-GB"/>
        </w:rPr>
      </w:pPr>
      <w:r>
        <w:rPr>
          <w:rFonts w:ascii="Arial" w:hAnsi="Arial" w:cs="Arial"/>
          <w:sz w:val="22"/>
          <w:szCs w:val="22"/>
          <w:lang w:val="en-GB"/>
        </w:rPr>
        <w:t>Shipmin now owns only the one cargo ship with a value of AUD 15 million. Shipmin owes AUD 20 million to the Commonwealth Bank of Australia (</w:t>
      </w:r>
      <w:r>
        <w:rPr>
          <w:rFonts w:ascii="Arial" w:hAnsi="Arial" w:cs="Arial"/>
          <w:bCs/>
          <w:sz w:val="22"/>
          <w:szCs w:val="22"/>
          <w:lang w:val="en-GB"/>
        </w:rPr>
        <w:t>CBA</w:t>
      </w:r>
      <w:r>
        <w:rPr>
          <w:rFonts w:ascii="Arial" w:hAnsi="Arial" w:cs="Arial"/>
          <w:sz w:val="22"/>
          <w:szCs w:val="22"/>
          <w:lang w:val="en-GB"/>
        </w:rPr>
        <w:t xml:space="preserve">), which is secured by a mortgage over the remaining ship. The mortgage is not registered on the Personal Property Securities Register. </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Shipmin’s debt to CBA has been guaranteed by Shipmax. Shipmin owes Shipmax AUD 180 million in inter-company debt. Shipmin has no other creditors.</w:t>
      </w:r>
    </w:p>
    <w:p>
      <w:pPr>
        <w:jc w:val="both"/>
        <w:rPr>
          <w:rFonts w:ascii="Arial" w:hAnsi="Arial" w:cs="Arial"/>
          <w:sz w:val="22"/>
          <w:szCs w:val="22"/>
          <w:lang w:val="en-GB"/>
        </w:rPr>
      </w:pPr>
    </w:p>
    <w:p>
      <w:pPr>
        <w:jc w:val="both"/>
        <w:rPr>
          <w:rFonts w:ascii="Arial" w:hAnsi="Arial" w:cs="Arial"/>
          <w:color w:val="000000" w:themeColor="text1"/>
          <w:sz w:val="22"/>
          <w:szCs w:val="22"/>
          <w:lang w:val="en-GB"/>
          <w14:textFill>
            <w14:solidFill>
              <w14:schemeClr w14:val="tx1"/>
            </w14:solidFill>
          </w14:textFill>
        </w:rPr>
      </w:pPr>
      <w:r>
        <w:rPr>
          <w:rFonts w:ascii="Arial" w:hAnsi="Arial" w:cs="Arial"/>
          <w:sz w:val="22"/>
          <w:szCs w:val="22"/>
          <w:lang w:val="en-GB"/>
        </w:rPr>
        <w:t xml:space="preserve">Shipmax has been placed into liquidation. Advise Shipmax’s liquidator on the best way to bring the operations of Shipmin to an end and maximise the return to Shipmax from the assets of Shipmin. </w:t>
      </w:r>
      <w:bookmarkEnd w:id="0"/>
    </w:p>
    <w:bookmarkEnd w:id="1"/>
    <w:p>
      <w:pPr>
        <w:autoSpaceDE w:val="0"/>
        <w:autoSpaceDN w:val="0"/>
        <w:adjustRightInd w:val="0"/>
        <w:jc w:val="both"/>
        <w:rPr>
          <w:rFonts w:ascii="Arial" w:hAnsi="Arial" w:cs="Arial"/>
          <w:color w:val="7C7C7C" w:themeColor="accent3" w:themeShade="BF"/>
          <w:sz w:val="22"/>
          <w:szCs w:val="22"/>
          <w:lang w:val="en-GB"/>
        </w:rPr>
      </w:pPr>
    </w:p>
    <w:p>
      <w:pPr>
        <w:autoSpaceDE w:val="0"/>
        <w:autoSpaceDN w:val="0"/>
        <w:adjustRightInd w:val="0"/>
        <w:jc w:val="both"/>
        <w:rPr>
          <w:rFonts w:ascii="Arial" w:hAnsi="Arial" w:cs="Arial"/>
          <w:color w:val="7C7C7C" w:themeColor="accent3" w:themeShade="BF"/>
          <w:sz w:val="22"/>
          <w:szCs w:val="22"/>
          <w:lang w:val="en-GB"/>
        </w:rPr>
      </w:pPr>
      <w:r>
        <w:rPr>
          <w:rFonts w:hint="eastAsia" w:ascii="Arial" w:hAnsi="Arial" w:cs="Arial"/>
          <w:color w:val="7C7C7C" w:themeColor="accent3" w:themeShade="BF"/>
          <w:sz w:val="22"/>
          <w:szCs w:val="22"/>
          <w:lang w:val="en-GB"/>
        </w:rPr>
        <w:t>Shipmin owes AUD 20 million to the Commonwealth Bank of Australia (</w:t>
      </w:r>
      <w:r>
        <w:rPr>
          <w:rFonts w:hint="default" w:ascii="Arial" w:hAnsi="Arial" w:eastAsia="新細明體" w:cs="Arial"/>
          <w:color w:val="7C7C7C" w:themeColor="accent3" w:themeShade="BF"/>
          <w:sz w:val="22"/>
          <w:szCs w:val="22"/>
          <w:lang w:val="en-US" w:eastAsia="zh-TW"/>
        </w:rPr>
        <w:t>“</w:t>
      </w:r>
      <w:r>
        <w:rPr>
          <w:rFonts w:hint="eastAsia" w:ascii="Arial" w:hAnsi="Arial" w:cs="Arial"/>
          <w:color w:val="7C7C7C" w:themeColor="accent3" w:themeShade="BF"/>
          <w:sz w:val="22"/>
          <w:szCs w:val="22"/>
          <w:lang w:val="en-GB"/>
        </w:rPr>
        <w:t>CBA</w:t>
      </w:r>
      <w:r>
        <w:rPr>
          <w:rFonts w:hint="default" w:ascii="Arial" w:hAnsi="Arial" w:eastAsia="新細明體" w:cs="Arial"/>
          <w:color w:val="7C7C7C" w:themeColor="accent3" w:themeShade="BF"/>
          <w:sz w:val="22"/>
          <w:szCs w:val="22"/>
          <w:lang w:val="en-US" w:eastAsia="zh-TW"/>
        </w:rPr>
        <w:t>”</w:t>
      </w:r>
      <w:r>
        <w:rPr>
          <w:rFonts w:hint="eastAsia" w:ascii="Arial" w:hAnsi="Arial" w:cs="Arial"/>
          <w:color w:val="7C7C7C" w:themeColor="accent3" w:themeShade="BF"/>
          <w:sz w:val="22"/>
          <w:szCs w:val="22"/>
          <w:lang w:val="en-GB"/>
        </w:rPr>
        <w:t>), which is secured by a mortgage over the remaining ship</w:t>
      </w:r>
      <w:r>
        <w:rPr>
          <w:rFonts w:hint="eastAsia" w:ascii="Arial" w:hAnsi="Arial" w:eastAsia="新細明體" w:cs="Arial"/>
          <w:color w:val="7C7C7C" w:themeColor="accent3" w:themeShade="BF"/>
          <w:sz w:val="22"/>
          <w:szCs w:val="22"/>
          <w:lang w:val="en-US" w:eastAsia="zh-TW"/>
        </w:rPr>
        <w:t xml:space="preserve"> (a cargo ship which worth around AUD 15 million</w:t>
      </w:r>
      <w:r>
        <w:rPr>
          <w:rFonts w:hint="eastAsia" w:ascii="Arial" w:hAnsi="Arial" w:cs="Arial"/>
          <w:color w:val="7C7C7C" w:themeColor="accent3" w:themeShade="BF"/>
          <w:sz w:val="22"/>
          <w:szCs w:val="22"/>
          <w:lang w:val="en-GB"/>
        </w:rPr>
        <w:t xml:space="preserve">. </w:t>
      </w:r>
      <w:r>
        <w:rPr>
          <w:rFonts w:hint="eastAsia" w:ascii="Arial" w:hAnsi="Arial" w:eastAsia="新細明體" w:cs="Arial"/>
          <w:color w:val="7C7C7C" w:themeColor="accent3" w:themeShade="BF"/>
          <w:sz w:val="22"/>
          <w:szCs w:val="22"/>
          <w:lang w:val="en-US" w:eastAsia="zh-TW"/>
        </w:rPr>
        <w:t>However, such</w:t>
      </w:r>
      <w:r>
        <w:rPr>
          <w:rFonts w:hint="eastAsia" w:ascii="Arial" w:hAnsi="Arial" w:cs="Arial"/>
          <w:color w:val="7C7C7C" w:themeColor="accent3" w:themeShade="BF"/>
          <w:sz w:val="22"/>
          <w:szCs w:val="22"/>
          <w:lang w:val="en-GB"/>
        </w:rPr>
        <w:t xml:space="preserve"> mortgage is not registered on the Personal Property Securities Register</w:t>
      </w:r>
      <w:r>
        <w:rPr>
          <w:rFonts w:hint="eastAsia" w:ascii="Arial" w:hAnsi="Arial" w:eastAsia="新細明體" w:cs="Arial"/>
          <w:color w:val="7C7C7C" w:themeColor="accent3" w:themeShade="BF"/>
          <w:sz w:val="22"/>
          <w:szCs w:val="22"/>
          <w:lang w:val="en-US" w:eastAsia="zh-TW"/>
        </w:rPr>
        <w:t>. Failure to register or otherwise perfect a security interest can cause the loss of the security on insolvency unless an application by CBA to court to extend the time for registration showing sufficient cause or the security interest was granted more than six months before the external administration or it was registered within 20 days of its having been created.  Shipmin owed AUD 180 million to Shipmax who was the largest creditor of Shipmin.  To maximize the return to Shipmax from the assets of Shipmin, Shipmax</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s liquidator should consider to pursue a creditors</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 voluntary liquidation/ compulsory liquidation  against Shipmin.  When the liquidator was appointed, the liquidator could proceed to take possession of the Shipmin</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s property.   After realizing the assets, Shipmax and CBA could be paid pari passu from the remaining assets.  </w:t>
      </w:r>
    </w:p>
    <w:p>
      <w:pPr>
        <w:autoSpaceDE w:val="0"/>
        <w:autoSpaceDN w:val="0"/>
        <w:adjustRightInd w:val="0"/>
        <w:jc w:val="both"/>
        <w:rPr>
          <w:rFonts w:ascii="Arial" w:hAnsi="Arial" w:cs="Arial"/>
          <w:sz w:val="22"/>
          <w:szCs w:val="22"/>
          <w:lang w:val="en-GB"/>
        </w:rPr>
      </w:pPr>
    </w:p>
    <w:sectPr>
      <w:footerReference r:id="rId3" w:type="default"/>
      <w:footerReference r:id="rId4" w:type="even"/>
      <w:pgSz w:w="11906" w:h="16838"/>
      <w:pgMar w:top="1440" w:right="1440" w:bottom="1440" w:left="1440" w:header="720" w:footer="720" w:gutter="0"/>
      <w:pgBorders w:offsetFrom="page">
        <w:top w:val="double" w:color="auto" w:sz="12" w:space="24"/>
        <w:left w:val="double" w:color="auto" w:sz="12" w:space="24"/>
        <w:bottom w:val="double" w:color="auto" w:sz="12" w:space="24"/>
        <w:right w:val="double" w:color="auto" w:sz="12" w:space="24"/>
      </w:pgBorders>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黑体">
    <w:altName w:val="SimSun"/>
    <w:panose1 w:val="02010600030101010101"/>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DengXian">
    <w:altName w:val="Segoe Print"/>
    <w:panose1 w:val="00000000000000000000"/>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Fonts w:ascii="Arial" w:hAnsi="Arial" w:cs="Arial"/>
        <w:b/>
        <w:bCs/>
        <w:sz w:val="18"/>
        <w:szCs w:val="18"/>
      </w:rPr>
      <w:id w:val="-1409602822"/>
    </w:sdtPr>
    <w:sdtEndPr>
      <w:rPr>
        <w:rStyle w:val="13"/>
        <w:rFonts w:ascii="Arial" w:hAnsi="Arial" w:cs="Arial"/>
        <w:b w:val="0"/>
        <w:bCs w:val="0"/>
        <w:sz w:val="18"/>
        <w:szCs w:val="18"/>
      </w:rPr>
    </w:sdtEndPr>
    <w:sdtContent>
      <w:p>
        <w:pPr>
          <w:pStyle w:val="5"/>
          <w:framePr w:wrap="around" w:vAnchor="text" w:hAnchor="margin" w:xAlign="right" w:y="1"/>
          <w:rPr>
            <w:rStyle w:val="13"/>
            <w:rFonts w:ascii="Arial" w:hAnsi="Arial" w:cs="Arial"/>
            <w:sz w:val="18"/>
            <w:szCs w:val="18"/>
          </w:rPr>
        </w:pPr>
        <w:r>
          <w:rPr>
            <w:rStyle w:val="13"/>
            <w:rFonts w:ascii="Arial" w:hAnsi="Arial" w:cs="Arial"/>
            <w:b/>
            <w:bCs/>
            <w:sz w:val="18"/>
            <w:szCs w:val="18"/>
          </w:rPr>
          <w:t xml:space="preserve">Page </w:t>
        </w:r>
        <w:r>
          <w:rPr>
            <w:rStyle w:val="13"/>
            <w:rFonts w:ascii="Arial" w:hAnsi="Arial" w:cs="Arial"/>
            <w:b/>
            <w:bCs/>
            <w:sz w:val="18"/>
            <w:szCs w:val="18"/>
          </w:rPr>
          <w:fldChar w:fldCharType="begin"/>
        </w:r>
        <w:r>
          <w:rPr>
            <w:rStyle w:val="13"/>
            <w:rFonts w:ascii="Arial" w:hAnsi="Arial" w:cs="Arial"/>
            <w:b/>
            <w:bCs/>
            <w:sz w:val="18"/>
            <w:szCs w:val="18"/>
          </w:rPr>
          <w:instrText xml:space="preserve"> PAGE </w:instrText>
        </w:r>
        <w:r>
          <w:rPr>
            <w:rStyle w:val="13"/>
            <w:rFonts w:ascii="Arial" w:hAnsi="Arial" w:cs="Arial"/>
            <w:b/>
            <w:bCs/>
            <w:sz w:val="18"/>
            <w:szCs w:val="18"/>
          </w:rPr>
          <w:fldChar w:fldCharType="separate"/>
        </w:r>
        <w:r>
          <w:rPr>
            <w:rStyle w:val="13"/>
            <w:rFonts w:ascii="Arial" w:hAnsi="Arial" w:cs="Arial"/>
            <w:b/>
            <w:bCs/>
            <w:sz w:val="18"/>
            <w:szCs w:val="18"/>
          </w:rPr>
          <w:t>7</w:t>
        </w:r>
        <w:r>
          <w:rPr>
            <w:rStyle w:val="13"/>
            <w:rFonts w:ascii="Arial" w:hAnsi="Arial" w:cs="Arial"/>
            <w:b/>
            <w:bCs/>
            <w:sz w:val="18"/>
            <w:szCs w:val="18"/>
          </w:rPr>
          <w:fldChar w:fldCharType="end"/>
        </w:r>
      </w:p>
    </w:sdtContent>
  </w:sdt>
  <w:p>
    <w:pPr>
      <w:pStyle w:val="5"/>
      <w:ind w:right="360"/>
      <w:rPr>
        <w:rFonts w:ascii="Arial" w:hAnsi="Arial" w:cs="Arial"/>
        <w:sz w:val="18"/>
        <w:szCs w:val="18"/>
        <w:lang w:val="en-GB"/>
      </w:rPr>
    </w:pPr>
    <w:r>
      <w:rPr>
        <w:rFonts w:hint="eastAsia" w:ascii="Arial" w:hAnsi="Arial" w:cs="Arial"/>
        <w:sz w:val="18"/>
        <w:szCs w:val="18"/>
        <w:lang w:val="en-GB"/>
      </w:rPr>
      <w:t>202021IFU-331</w:t>
    </w:r>
    <w:r>
      <w:rPr>
        <w:rFonts w:ascii="Arial" w:hAnsi="Arial" w:cs="Arial"/>
        <w:sz w:val="18"/>
        <w:szCs w:val="18"/>
        <w:lang w:val="en-GB"/>
      </w:rPr>
      <w:t>.assessment8A.docx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Fonts w:ascii="Arial" w:hAnsi="Arial" w:cs="Arial"/>
        <w:b/>
      </w:rPr>
      <w:id w:val="-758512077"/>
    </w:sdtPr>
    <w:sdtEndPr>
      <w:rPr>
        <w:rStyle w:val="13"/>
        <w:rFonts w:ascii="Arial" w:hAnsi="Arial" w:cs="Arial"/>
        <w:b w:val="0"/>
        <w:sz w:val="22"/>
        <w:szCs w:val="22"/>
      </w:rPr>
    </w:sdtEndPr>
    <w:sdtContent>
      <w:p>
        <w:pPr>
          <w:pStyle w:val="5"/>
          <w:framePr w:wrap="around" w:vAnchor="text" w:hAnchor="margin" w:xAlign="right" w:y="1"/>
          <w:rPr>
            <w:rStyle w:val="13"/>
            <w:rFonts w:ascii="Arial" w:hAnsi="Arial" w:cs="Arial"/>
            <w:sz w:val="22"/>
            <w:szCs w:val="22"/>
          </w:rPr>
        </w:pPr>
        <w:r>
          <w:rPr>
            <w:rStyle w:val="13"/>
            <w:rFonts w:ascii="Arial" w:hAnsi="Arial" w:cs="Arial"/>
            <w:b/>
          </w:rPr>
          <w:t xml:space="preserve">Page </w:t>
        </w:r>
        <w:r>
          <w:rPr>
            <w:rStyle w:val="13"/>
            <w:rFonts w:ascii="Arial" w:hAnsi="Arial" w:cs="Arial"/>
            <w:b/>
            <w:sz w:val="22"/>
            <w:szCs w:val="22"/>
          </w:rPr>
          <w:fldChar w:fldCharType="begin"/>
        </w:r>
        <w:r>
          <w:rPr>
            <w:rStyle w:val="13"/>
            <w:rFonts w:ascii="Arial" w:hAnsi="Arial" w:cs="Arial"/>
            <w:b/>
            <w:sz w:val="22"/>
            <w:szCs w:val="22"/>
          </w:rPr>
          <w:instrText xml:space="preserve"> PAGE </w:instrText>
        </w:r>
        <w:r>
          <w:rPr>
            <w:rStyle w:val="13"/>
            <w:rFonts w:ascii="Arial" w:hAnsi="Arial" w:cs="Arial"/>
            <w:b/>
            <w:sz w:val="22"/>
            <w:szCs w:val="22"/>
          </w:rPr>
          <w:fldChar w:fldCharType="separate"/>
        </w:r>
        <w:r>
          <w:rPr>
            <w:rStyle w:val="13"/>
            <w:rFonts w:ascii="Arial" w:hAnsi="Arial" w:cs="Arial"/>
            <w:b/>
            <w:sz w:val="22"/>
            <w:szCs w:val="22"/>
          </w:rPr>
          <w:t>10</w:t>
        </w:r>
        <w:r>
          <w:rPr>
            <w:rStyle w:val="13"/>
            <w:rFonts w:ascii="Arial" w:hAnsi="Arial" w:cs="Arial"/>
            <w:b/>
            <w:sz w:val="22"/>
            <w:szCs w:val="22"/>
          </w:rPr>
          <w:fldChar w:fldCharType="end"/>
        </w:r>
      </w:p>
    </w:sdtContent>
  </w:sdt>
  <w:p>
    <w:pPr>
      <w:pStyle w:val="5"/>
      <w:ind w:right="360"/>
      <w:rPr>
        <w:rFonts w:ascii="Arial" w:hAnsi="Arial" w:cs="Arial"/>
        <w:sz w:val="22"/>
        <w:szCs w:val="22"/>
      </w:rPr>
    </w:pPr>
    <w:r>
      <w:t>student number.assessment2B.docx</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7641"/>
    <w:multiLevelType w:val="multilevel"/>
    <w:tmpl w:val="31E97641"/>
    <w:lvl w:ilvl="0" w:tentative="0">
      <w:start w:val="1"/>
      <w:numFmt w:val="lowerLetter"/>
      <w:lvlText w:val="(%1)"/>
      <w:lvlJc w:val="left"/>
      <w:pPr>
        <w:ind w:left="862" w:hanging="360"/>
      </w:pPr>
      <w:rPr>
        <w:rFonts w:hint="default"/>
        <w:i w:val="0"/>
        <w:i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B951225"/>
    <w:multiLevelType w:val="multilevel"/>
    <w:tmpl w:val="3B951225"/>
    <w:lvl w:ilvl="0" w:tentative="0">
      <w:start w:val="1"/>
      <w:numFmt w:val="lowerLetter"/>
      <w:lvlText w:val="(%1)"/>
      <w:lvlJc w:val="left"/>
      <w:pPr>
        <w:ind w:left="862" w:hanging="360"/>
      </w:pPr>
      <w:rPr>
        <w:rFonts w:hint="default"/>
        <w:i w:val="0"/>
        <w:iCs/>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2">
    <w:nsid w:val="409D073C"/>
    <w:multiLevelType w:val="multilevel"/>
    <w:tmpl w:val="409D073C"/>
    <w:lvl w:ilvl="0" w:tentative="0">
      <w:start w:val="1"/>
      <w:numFmt w:val="lowerLetter"/>
      <w:lvlText w:val="(%1)"/>
      <w:lvlJc w:val="left"/>
      <w:pPr>
        <w:ind w:left="862" w:hanging="360"/>
      </w:pPr>
      <w:rPr>
        <w:rFonts w:hint="default"/>
        <w:i w:val="0"/>
        <w:iCs/>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3">
    <w:nsid w:val="4EF54680"/>
    <w:multiLevelType w:val="multilevel"/>
    <w:tmpl w:val="4EF54680"/>
    <w:lvl w:ilvl="0" w:tentative="0">
      <w:start w:val="1"/>
      <w:numFmt w:val="lowerLetter"/>
      <w:lvlText w:val="(%1)"/>
      <w:lvlJc w:val="left"/>
      <w:pPr>
        <w:ind w:left="862" w:hanging="360"/>
      </w:pPr>
      <w:rPr>
        <w:rFonts w:hint="default"/>
        <w:i w:val="0"/>
        <w:iCs/>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4">
    <w:nsid w:val="4F0D7144"/>
    <w:multiLevelType w:val="multilevel"/>
    <w:tmpl w:val="4F0D7144"/>
    <w:lvl w:ilvl="0" w:tentative="0">
      <w:start w:val="1"/>
      <w:numFmt w:val="lowerLetter"/>
      <w:lvlText w:val="(%1)"/>
      <w:lvlJc w:val="left"/>
      <w:pPr>
        <w:ind w:left="862" w:hanging="360"/>
      </w:pPr>
      <w:rPr>
        <w:rFonts w:hint="default"/>
        <w:i w:val="0"/>
        <w:iCs/>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5">
    <w:nsid w:val="51457C81"/>
    <w:multiLevelType w:val="multilevel"/>
    <w:tmpl w:val="51457C81"/>
    <w:lvl w:ilvl="0" w:tentative="0">
      <w:start w:val="1"/>
      <w:numFmt w:val="lowerLetter"/>
      <w:lvlText w:val="(%1)"/>
      <w:lvlJc w:val="left"/>
      <w:pPr>
        <w:ind w:left="862" w:hanging="360"/>
      </w:pPr>
      <w:rPr>
        <w:rFonts w:hint="default"/>
        <w:i w:val="0"/>
        <w:iCs/>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6">
    <w:nsid w:val="60DD5564"/>
    <w:multiLevelType w:val="singleLevel"/>
    <w:tmpl w:val="60DD5564"/>
    <w:lvl w:ilvl="0" w:tentative="0">
      <w:start w:val="1"/>
      <w:numFmt w:val="lowerLetter"/>
      <w:suff w:val="space"/>
      <w:lvlText w:val="%1)"/>
      <w:lvlJc w:val="left"/>
    </w:lvl>
  </w:abstractNum>
  <w:abstractNum w:abstractNumId="7">
    <w:nsid w:val="6D496183"/>
    <w:multiLevelType w:val="multilevel"/>
    <w:tmpl w:val="6D496183"/>
    <w:lvl w:ilvl="0" w:tentative="0">
      <w:start w:val="1"/>
      <w:numFmt w:val="lowerLetter"/>
      <w:lvlText w:val="(%1)"/>
      <w:lvlJc w:val="left"/>
      <w:pPr>
        <w:ind w:left="862" w:hanging="360"/>
      </w:pPr>
      <w:rPr>
        <w:rFonts w:hint="default"/>
        <w:i w:val="0"/>
        <w:iCs/>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8">
    <w:nsid w:val="6D5A6F2B"/>
    <w:multiLevelType w:val="multilevel"/>
    <w:tmpl w:val="6D5A6F2B"/>
    <w:lvl w:ilvl="0" w:tentative="0">
      <w:start w:val="1"/>
      <w:numFmt w:val="lowerLetter"/>
      <w:lvlText w:val="(%1)"/>
      <w:lvlJc w:val="left"/>
      <w:pPr>
        <w:ind w:left="862" w:hanging="360"/>
      </w:pPr>
      <w:rPr>
        <w:rFonts w:hint="default"/>
        <w:i w:val="0"/>
        <w:iCs/>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9">
    <w:nsid w:val="77152D98"/>
    <w:multiLevelType w:val="multilevel"/>
    <w:tmpl w:val="77152D98"/>
    <w:lvl w:ilvl="0" w:tentative="0">
      <w:start w:val="1"/>
      <w:numFmt w:val="lowerLetter"/>
      <w:lvlText w:val="(%1)"/>
      <w:lvlJc w:val="left"/>
      <w:pPr>
        <w:ind w:left="862" w:hanging="360"/>
      </w:pPr>
      <w:rPr>
        <w:rFonts w:hint="default"/>
        <w:i w:val="0"/>
        <w:iCs/>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0">
    <w:nsid w:val="7EAE3267"/>
    <w:multiLevelType w:val="multilevel"/>
    <w:tmpl w:val="7EAE3267"/>
    <w:lvl w:ilvl="0" w:tentative="0">
      <w:start w:val="1"/>
      <w:numFmt w:val="lowerLetter"/>
      <w:lvlText w:val="(%1)"/>
      <w:lvlJc w:val="left"/>
      <w:pPr>
        <w:ind w:left="862" w:hanging="360"/>
      </w:pPr>
      <w:rPr>
        <w:rFonts w:hint="default"/>
        <w:i w:val="0"/>
        <w:iCs/>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num w:numId="1">
    <w:abstractNumId w:val="7"/>
  </w:num>
  <w:num w:numId="2">
    <w:abstractNumId w:val="1"/>
  </w:num>
  <w:num w:numId="3">
    <w:abstractNumId w:val="8"/>
  </w:num>
  <w:num w:numId="4">
    <w:abstractNumId w:val="9"/>
  </w:num>
  <w:num w:numId="5">
    <w:abstractNumId w:val="5"/>
  </w:num>
  <w:num w:numId="6">
    <w:abstractNumId w:val="10"/>
  </w:num>
  <w:num w:numId="7">
    <w:abstractNumId w:val="4"/>
  </w:num>
  <w:num w:numId="8">
    <w:abstractNumId w:val="0"/>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val="1"/>
  <w:documentProtection w:enforcement="0"/>
  <w:defaultTabStop w:val="720"/>
  <w:drawingGridHorizontalSpacing w:val="100"/>
  <w:displayHorizontalDrawingGridEvery w:val="0"/>
  <w:displayVerticalDrawingGridEvery w:val="2"/>
  <w:doNotShadeFormData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10BA0"/>
    <w:rsid w:val="00020557"/>
    <w:rsid w:val="00021FC2"/>
    <w:rsid w:val="00023705"/>
    <w:rsid w:val="000250C7"/>
    <w:rsid w:val="00026F16"/>
    <w:rsid w:val="00037621"/>
    <w:rsid w:val="00044D46"/>
    <w:rsid w:val="00045088"/>
    <w:rsid w:val="00045904"/>
    <w:rsid w:val="000502FD"/>
    <w:rsid w:val="00054BD6"/>
    <w:rsid w:val="00065166"/>
    <w:rsid w:val="00082609"/>
    <w:rsid w:val="000851CC"/>
    <w:rsid w:val="00087F21"/>
    <w:rsid w:val="00093BE8"/>
    <w:rsid w:val="000A0066"/>
    <w:rsid w:val="000A407B"/>
    <w:rsid w:val="000A68ED"/>
    <w:rsid w:val="000B5FF1"/>
    <w:rsid w:val="000B609F"/>
    <w:rsid w:val="000C648D"/>
    <w:rsid w:val="000D2487"/>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2660"/>
    <w:rsid w:val="001A7E9A"/>
    <w:rsid w:val="001B0F70"/>
    <w:rsid w:val="001B5016"/>
    <w:rsid w:val="001C45FC"/>
    <w:rsid w:val="001D0469"/>
    <w:rsid w:val="001D29C0"/>
    <w:rsid w:val="001D4862"/>
    <w:rsid w:val="001D5785"/>
    <w:rsid w:val="001E25B9"/>
    <w:rsid w:val="001E49E0"/>
    <w:rsid w:val="001E7B5A"/>
    <w:rsid w:val="001F7412"/>
    <w:rsid w:val="0020090A"/>
    <w:rsid w:val="00202DFE"/>
    <w:rsid w:val="0020725B"/>
    <w:rsid w:val="002110F1"/>
    <w:rsid w:val="00216FA9"/>
    <w:rsid w:val="002172B8"/>
    <w:rsid w:val="002356EA"/>
    <w:rsid w:val="0024116D"/>
    <w:rsid w:val="00241B44"/>
    <w:rsid w:val="00241FA3"/>
    <w:rsid w:val="00245EFB"/>
    <w:rsid w:val="002476AF"/>
    <w:rsid w:val="0025386E"/>
    <w:rsid w:val="002638B0"/>
    <w:rsid w:val="0026647A"/>
    <w:rsid w:val="002668D3"/>
    <w:rsid w:val="0027299F"/>
    <w:rsid w:val="00284EBE"/>
    <w:rsid w:val="002903A7"/>
    <w:rsid w:val="0029433F"/>
    <w:rsid w:val="00294829"/>
    <w:rsid w:val="002956E6"/>
    <w:rsid w:val="0029690F"/>
    <w:rsid w:val="00297C8A"/>
    <w:rsid w:val="002A2A60"/>
    <w:rsid w:val="002A37BB"/>
    <w:rsid w:val="002A4B95"/>
    <w:rsid w:val="002B1C45"/>
    <w:rsid w:val="002C13C8"/>
    <w:rsid w:val="002C3547"/>
    <w:rsid w:val="002D0021"/>
    <w:rsid w:val="002D299D"/>
    <w:rsid w:val="002D3473"/>
    <w:rsid w:val="002F1956"/>
    <w:rsid w:val="002F3440"/>
    <w:rsid w:val="002F75A3"/>
    <w:rsid w:val="00303C2F"/>
    <w:rsid w:val="003042CB"/>
    <w:rsid w:val="003144EF"/>
    <w:rsid w:val="00321D73"/>
    <w:rsid w:val="00326292"/>
    <w:rsid w:val="00326415"/>
    <w:rsid w:val="00330937"/>
    <w:rsid w:val="00330F31"/>
    <w:rsid w:val="00334648"/>
    <w:rsid w:val="003361F2"/>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D0A6D"/>
    <w:rsid w:val="003E0B16"/>
    <w:rsid w:val="003E67D1"/>
    <w:rsid w:val="004003CF"/>
    <w:rsid w:val="00404329"/>
    <w:rsid w:val="00405DC1"/>
    <w:rsid w:val="00415F1F"/>
    <w:rsid w:val="00416D2B"/>
    <w:rsid w:val="0042108F"/>
    <w:rsid w:val="00430FED"/>
    <w:rsid w:val="00434A8C"/>
    <w:rsid w:val="00437297"/>
    <w:rsid w:val="00444284"/>
    <w:rsid w:val="00445CE6"/>
    <w:rsid w:val="004534C2"/>
    <w:rsid w:val="0045446F"/>
    <w:rsid w:val="0045683E"/>
    <w:rsid w:val="00477C72"/>
    <w:rsid w:val="00491675"/>
    <w:rsid w:val="00493855"/>
    <w:rsid w:val="00495E79"/>
    <w:rsid w:val="004A2D83"/>
    <w:rsid w:val="004A57DD"/>
    <w:rsid w:val="004A7B51"/>
    <w:rsid w:val="004A7D71"/>
    <w:rsid w:val="004A7EF3"/>
    <w:rsid w:val="004B11FD"/>
    <w:rsid w:val="004B23A2"/>
    <w:rsid w:val="004C15FB"/>
    <w:rsid w:val="004D05ED"/>
    <w:rsid w:val="004D1A5A"/>
    <w:rsid w:val="004D2FFF"/>
    <w:rsid w:val="004D3721"/>
    <w:rsid w:val="004D64F9"/>
    <w:rsid w:val="004E3A6B"/>
    <w:rsid w:val="004E622C"/>
    <w:rsid w:val="004F5FDF"/>
    <w:rsid w:val="005177FE"/>
    <w:rsid w:val="0052263B"/>
    <w:rsid w:val="00524728"/>
    <w:rsid w:val="00532230"/>
    <w:rsid w:val="005331CA"/>
    <w:rsid w:val="00537970"/>
    <w:rsid w:val="00540E3A"/>
    <w:rsid w:val="00542A3A"/>
    <w:rsid w:val="00544127"/>
    <w:rsid w:val="00544FF6"/>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0B67"/>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39DB"/>
    <w:rsid w:val="006661EF"/>
    <w:rsid w:val="00671AF1"/>
    <w:rsid w:val="00677AEB"/>
    <w:rsid w:val="00680EF2"/>
    <w:rsid w:val="00687A1D"/>
    <w:rsid w:val="00690AFA"/>
    <w:rsid w:val="00692909"/>
    <w:rsid w:val="00697EA1"/>
    <w:rsid w:val="006A2646"/>
    <w:rsid w:val="006A5375"/>
    <w:rsid w:val="006A56DF"/>
    <w:rsid w:val="006A6530"/>
    <w:rsid w:val="006B435A"/>
    <w:rsid w:val="006B4C64"/>
    <w:rsid w:val="006B7879"/>
    <w:rsid w:val="006D6BD5"/>
    <w:rsid w:val="006E481A"/>
    <w:rsid w:val="006E5298"/>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603F5"/>
    <w:rsid w:val="00764DB0"/>
    <w:rsid w:val="0076764D"/>
    <w:rsid w:val="0077498C"/>
    <w:rsid w:val="007809BC"/>
    <w:rsid w:val="00784128"/>
    <w:rsid w:val="00787BCC"/>
    <w:rsid w:val="00793173"/>
    <w:rsid w:val="007A2A33"/>
    <w:rsid w:val="007B22CF"/>
    <w:rsid w:val="007B3A5E"/>
    <w:rsid w:val="007B5C89"/>
    <w:rsid w:val="007C1FCC"/>
    <w:rsid w:val="007C6201"/>
    <w:rsid w:val="007D7C92"/>
    <w:rsid w:val="007E1154"/>
    <w:rsid w:val="007E6BA4"/>
    <w:rsid w:val="007F41F8"/>
    <w:rsid w:val="007F659B"/>
    <w:rsid w:val="0080454E"/>
    <w:rsid w:val="00804C32"/>
    <w:rsid w:val="00806302"/>
    <w:rsid w:val="00807119"/>
    <w:rsid w:val="008235B7"/>
    <w:rsid w:val="00823B29"/>
    <w:rsid w:val="0082483F"/>
    <w:rsid w:val="008279C0"/>
    <w:rsid w:val="00867701"/>
    <w:rsid w:val="008723F3"/>
    <w:rsid w:val="00876F56"/>
    <w:rsid w:val="00881DE6"/>
    <w:rsid w:val="008837A6"/>
    <w:rsid w:val="0089145D"/>
    <w:rsid w:val="008A4DF2"/>
    <w:rsid w:val="008A6CFE"/>
    <w:rsid w:val="008B5333"/>
    <w:rsid w:val="008B6223"/>
    <w:rsid w:val="008C3FB9"/>
    <w:rsid w:val="008C66E0"/>
    <w:rsid w:val="008D4D4A"/>
    <w:rsid w:val="008E3339"/>
    <w:rsid w:val="008E52BC"/>
    <w:rsid w:val="008F20FC"/>
    <w:rsid w:val="008F2C4E"/>
    <w:rsid w:val="008F5FFE"/>
    <w:rsid w:val="00905A43"/>
    <w:rsid w:val="00912C79"/>
    <w:rsid w:val="00921B8C"/>
    <w:rsid w:val="00942123"/>
    <w:rsid w:val="0095207B"/>
    <w:rsid w:val="00962045"/>
    <w:rsid w:val="0097581F"/>
    <w:rsid w:val="00980E61"/>
    <w:rsid w:val="00991428"/>
    <w:rsid w:val="0099169D"/>
    <w:rsid w:val="00992676"/>
    <w:rsid w:val="009954B2"/>
    <w:rsid w:val="00996691"/>
    <w:rsid w:val="009A3AB7"/>
    <w:rsid w:val="009B0723"/>
    <w:rsid w:val="009B07AD"/>
    <w:rsid w:val="009B0883"/>
    <w:rsid w:val="009B15E2"/>
    <w:rsid w:val="009B1757"/>
    <w:rsid w:val="009B4976"/>
    <w:rsid w:val="009C0B8E"/>
    <w:rsid w:val="009C1BC8"/>
    <w:rsid w:val="009C2442"/>
    <w:rsid w:val="009D0811"/>
    <w:rsid w:val="009D0EE1"/>
    <w:rsid w:val="009D20B1"/>
    <w:rsid w:val="009D3F45"/>
    <w:rsid w:val="009E2AEB"/>
    <w:rsid w:val="009E2E27"/>
    <w:rsid w:val="009E45DF"/>
    <w:rsid w:val="009E4DE3"/>
    <w:rsid w:val="009F275E"/>
    <w:rsid w:val="00A047EE"/>
    <w:rsid w:val="00A2274A"/>
    <w:rsid w:val="00A235B7"/>
    <w:rsid w:val="00A27A7A"/>
    <w:rsid w:val="00A34ABE"/>
    <w:rsid w:val="00A407EF"/>
    <w:rsid w:val="00A46B4C"/>
    <w:rsid w:val="00A5117B"/>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68D5"/>
    <w:rsid w:val="00AC7082"/>
    <w:rsid w:val="00AC750A"/>
    <w:rsid w:val="00AD12C7"/>
    <w:rsid w:val="00AD4BE8"/>
    <w:rsid w:val="00AF228E"/>
    <w:rsid w:val="00B016A8"/>
    <w:rsid w:val="00B14819"/>
    <w:rsid w:val="00B15E2F"/>
    <w:rsid w:val="00B17AA9"/>
    <w:rsid w:val="00B37C3C"/>
    <w:rsid w:val="00B44713"/>
    <w:rsid w:val="00B51B95"/>
    <w:rsid w:val="00B53FBE"/>
    <w:rsid w:val="00B55DD2"/>
    <w:rsid w:val="00B56103"/>
    <w:rsid w:val="00B64929"/>
    <w:rsid w:val="00B736DF"/>
    <w:rsid w:val="00B743D6"/>
    <w:rsid w:val="00B74FBD"/>
    <w:rsid w:val="00B77F46"/>
    <w:rsid w:val="00B811C1"/>
    <w:rsid w:val="00B82586"/>
    <w:rsid w:val="00B829A3"/>
    <w:rsid w:val="00B8406D"/>
    <w:rsid w:val="00B86DB1"/>
    <w:rsid w:val="00B87869"/>
    <w:rsid w:val="00B91EA1"/>
    <w:rsid w:val="00B953FA"/>
    <w:rsid w:val="00B9639B"/>
    <w:rsid w:val="00BA3AE6"/>
    <w:rsid w:val="00BA4008"/>
    <w:rsid w:val="00BB0F2B"/>
    <w:rsid w:val="00BE4FF3"/>
    <w:rsid w:val="00BF50F7"/>
    <w:rsid w:val="00C02F29"/>
    <w:rsid w:val="00C06B6D"/>
    <w:rsid w:val="00C17718"/>
    <w:rsid w:val="00C20AFE"/>
    <w:rsid w:val="00C22A25"/>
    <w:rsid w:val="00C26E97"/>
    <w:rsid w:val="00C35671"/>
    <w:rsid w:val="00C35B77"/>
    <w:rsid w:val="00C376EB"/>
    <w:rsid w:val="00C46A92"/>
    <w:rsid w:val="00C46EC1"/>
    <w:rsid w:val="00C52796"/>
    <w:rsid w:val="00C53E2C"/>
    <w:rsid w:val="00C550C8"/>
    <w:rsid w:val="00C55824"/>
    <w:rsid w:val="00C56B61"/>
    <w:rsid w:val="00C60379"/>
    <w:rsid w:val="00C606C3"/>
    <w:rsid w:val="00C620F4"/>
    <w:rsid w:val="00C72848"/>
    <w:rsid w:val="00C7736C"/>
    <w:rsid w:val="00C82D87"/>
    <w:rsid w:val="00C8712A"/>
    <w:rsid w:val="00C902C8"/>
    <w:rsid w:val="00C919D1"/>
    <w:rsid w:val="00C963D3"/>
    <w:rsid w:val="00CB1983"/>
    <w:rsid w:val="00CB2CBB"/>
    <w:rsid w:val="00CB7CAC"/>
    <w:rsid w:val="00CC144C"/>
    <w:rsid w:val="00CC5335"/>
    <w:rsid w:val="00CC5BA4"/>
    <w:rsid w:val="00CC6748"/>
    <w:rsid w:val="00CD4998"/>
    <w:rsid w:val="00CE1035"/>
    <w:rsid w:val="00CE6E50"/>
    <w:rsid w:val="00CF2819"/>
    <w:rsid w:val="00CF4F9D"/>
    <w:rsid w:val="00CF70DC"/>
    <w:rsid w:val="00D0796B"/>
    <w:rsid w:val="00D14424"/>
    <w:rsid w:val="00D148DC"/>
    <w:rsid w:val="00D17FDC"/>
    <w:rsid w:val="00D21D8C"/>
    <w:rsid w:val="00D45B4F"/>
    <w:rsid w:val="00D53719"/>
    <w:rsid w:val="00D6188D"/>
    <w:rsid w:val="00D63EFD"/>
    <w:rsid w:val="00D74D32"/>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4FED"/>
    <w:rsid w:val="00E15BA9"/>
    <w:rsid w:val="00E26E19"/>
    <w:rsid w:val="00E31DF3"/>
    <w:rsid w:val="00E450A4"/>
    <w:rsid w:val="00E506BE"/>
    <w:rsid w:val="00E51A79"/>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5B00"/>
    <w:rsid w:val="00EB146B"/>
    <w:rsid w:val="00EB45AC"/>
    <w:rsid w:val="00EC441F"/>
    <w:rsid w:val="00EC4755"/>
    <w:rsid w:val="00ED0BC4"/>
    <w:rsid w:val="00ED447D"/>
    <w:rsid w:val="00ED5BDC"/>
    <w:rsid w:val="00EE4971"/>
    <w:rsid w:val="00EE6CB0"/>
    <w:rsid w:val="00EF090E"/>
    <w:rsid w:val="00EF5572"/>
    <w:rsid w:val="00F033DA"/>
    <w:rsid w:val="00F134FE"/>
    <w:rsid w:val="00F13691"/>
    <w:rsid w:val="00F13FB1"/>
    <w:rsid w:val="00F219B4"/>
    <w:rsid w:val="00F27CD8"/>
    <w:rsid w:val="00F30351"/>
    <w:rsid w:val="00F32C2B"/>
    <w:rsid w:val="00F3323E"/>
    <w:rsid w:val="00F341F4"/>
    <w:rsid w:val="00F34F9D"/>
    <w:rsid w:val="00F35CCE"/>
    <w:rsid w:val="00F5165C"/>
    <w:rsid w:val="00F5524B"/>
    <w:rsid w:val="00F60531"/>
    <w:rsid w:val="00F60538"/>
    <w:rsid w:val="00F61DD2"/>
    <w:rsid w:val="00F66AFF"/>
    <w:rsid w:val="00F71433"/>
    <w:rsid w:val="00F97C5B"/>
    <w:rsid w:val="00FA18CF"/>
    <w:rsid w:val="00FA3D50"/>
    <w:rsid w:val="00FB4C6B"/>
    <w:rsid w:val="00FB7FBD"/>
    <w:rsid w:val="00FC374A"/>
    <w:rsid w:val="00FC490B"/>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 w:val="01BE08EE"/>
    <w:rsid w:val="02383DD1"/>
    <w:rsid w:val="033B30C2"/>
    <w:rsid w:val="08546617"/>
    <w:rsid w:val="0C150FD3"/>
    <w:rsid w:val="0CA23AE2"/>
    <w:rsid w:val="0E74790B"/>
    <w:rsid w:val="0F756459"/>
    <w:rsid w:val="0F9B4607"/>
    <w:rsid w:val="0FCA1F98"/>
    <w:rsid w:val="100D485A"/>
    <w:rsid w:val="18B3232B"/>
    <w:rsid w:val="1FEC5547"/>
    <w:rsid w:val="20676555"/>
    <w:rsid w:val="22DC4F69"/>
    <w:rsid w:val="23314700"/>
    <w:rsid w:val="25FC32F2"/>
    <w:rsid w:val="26364E2F"/>
    <w:rsid w:val="27526B1E"/>
    <w:rsid w:val="29496044"/>
    <w:rsid w:val="2B0036B6"/>
    <w:rsid w:val="2C8E0168"/>
    <w:rsid w:val="2C950D82"/>
    <w:rsid w:val="2E0D5534"/>
    <w:rsid w:val="2F601B64"/>
    <w:rsid w:val="354F05BF"/>
    <w:rsid w:val="36CC0776"/>
    <w:rsid w:val="37C546BE"/>
    <w:rsid w:val="38754F04"/>
    <w:rsid w:val="38BC3DB7"/>
    <w:rsid w:val="3E990693"/>
    <w:rsid w:val="3F462853"/>
    <w:rsid w:val="3F620EE3"/>
    <w:rsid w:val="412F2010"/>
    <w:rsid w:val="43290269"/>
    <w:rsid w:val="439A133D"/>
    <w:rsid w:val="4DC82DB1"/>
    <w:rsid w:val="54240BC3"/>
    <w:rsid w:val="551D1E2D"/>
    <w:rsid w:val="56BB03A6"/>
    <w:rsid w:val="598A3E2C"/>
    <w:rsid w:val="619E51B6"/>
    <w:rsid w:val="66366DF2"/>
    <w:rsid w:val="67EF4DBA"/>
    <w:rsid w:val="681313AE"/>
    <w:rsid w:val="68AE06AE"/>
    <w:rsid w:val="6B4F16E8"/>
    <w:rsid w:val="6E5A0949"/>
    <w:rsid w:val="6FA24D09"/>
    <w:rsid w:val="70BC3805"/>
    <w:rsid w:val="732E7AAB"/>
    <w:rsid w:val="74EC2A8B"/>
    <w:rsid w:val="784061BA"/>
    <w:rsid w:val="7900766A"/>
    <w:rsid w:val="791A0976"/>
    <w:rsid w:val="7B4D5F64"/>
    <w:rsid w:val="7B5C52F2"/>
    <w:rsid w:val="7B7B5F72"/>
    <w:rsid w:val="7C7911CB"/>
    <w:rsid w:val="7F8704D9"/>
    <w:rsid w:val="7F8E00C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MS Mincho"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imes New Roman" w:asciiTheme="minorHAnsi" w:hAnsiTheme="minorHAnsi" w:cstheme="minorBidi"/>
      <w:sz w:val="20"/>
      <w:szCs w:val="24"/>
      <w:lang w:val="en-US" w:eastAsia="en-US" w:bidi="ar-SA"/>
    </w:rPr>
  </w:style>
  <w:style w:type="character" w:default="1" w:styleId="9">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25"/>
    <w:unhideWhenUsed/>
    <w:qFormat/>
    <w:uiPriority w:val="99"/>
    <w:pPr>
      <w:tabs>
        <w:tab w:val="center" w:pos="4513"/>
        <w:tab w:val="right" w:pos="9026"/>
      </w:tabs>
    </w:pPr>
  </w:style>
  <w:style w:type="paragraph" w:styleId="3">
    <w:name w:val="annotation text"/>
    <w:basedOn w:val="1"/>
    <w:link w:val="21"/>
    <w:unhideWhenUsed/>
    <w:qFormat/>
    <w:uiPriority w:val="99"/>
    <w:rPr>
      <w:szCs w:val="20"/>
    </w:rPr>
  </w:style>
  <w:style w:type="paragraph" w:styleId="4">
    <w:name w:val="footnote text"/>
    <w:basedOn w:val="1"/>
    <w:link w:val="19"/>
    <w:unhideWhenUsed/>
    <w:qFormat/>
    <w:uiPriority w:val="0"/>
    <w:rPr>
      <w:szCs w:val="20"/>
    </w:rPr>
  </w:style>
  <w:style w:type="paragraph" w:styleId="5">
    <w:name w:val="footer"/>
    <w:basedOn w:val="1"/>
    <w:link w:val="24"/>
    <w:unhideWhenUsed/>
    <w:qFormat/>
    <w:uiPriority w:val="99"/>
    <w:pPr>
      <w:tabs>
        <w:tab w:val="center" w:pos="4513"/>
        <w:tab w:val="right" w:pos="9026"/>
      </w:tabs>
    </w:pPr>
  </w:style>
  <w:style w:type="paragraph" w:styleId="6">
    <w:name w:val="annotation subject"/>
    <w:basedOn w:val="3"/>
    <w:next w:val="3"/>
    <w:link w:val="22"/>
    <w:unhideWhenUsed/>
    <w:qFormat/>
    <w:uiPriority w:val="99"/>
    <w:rPr>
      <w:b/>
      <w:bCs/>
    </w:rPr>
  </w:style>
  <w:style w:type="paragraph" w:styleId="7">
    <w:name w:val="Normal (Web)"/>
    <w:basedOn w:val="1"/>
    <w:unhideWhenUsed/>
    <w:qFormat/>
    <w:uiPriority w:val="99"/>
    <w:pPr>
      <w:spacing w:before="100" w:beforeAutospacing="1" w:after="100" w:afterAutospacing="1"/>
    </w:pPr>
    <w:rPr>
      <w:rFonts w:ascii="Times New Roman" w:hAnsi="Times New Roman" w:cs="Times New Roman"/>
      <w:sz w:val="24"/>
    </w:rPr>
  </w:style>
  <w:style w:type="paragraph" w:styleId="8">
    <w:name w:val="Balloon Text"/>
    <w:basedOn w:val="1"/>
    <w:link w:val="23"/>
    <w:unhideWhenUsed/>
    <w:qFormat/>
    <w:uiPriority w:val="99"/>
    <w:rPr>
      <w:rFonts w:ascii="Tahoma" w:hAnsi="Tahoma" w:cs="Tahoma"/>
      <w:sz w:val="16"/>
      <w:szCs w:val="16"/>
    </w:rPr>
  </w:style>
  <w:style w:type="character" w:styleId="10">
    <w:name w:val="footnote reference"/>
    <w:basedOn w:val="9"/>
    <w:unhideWhenUsed/>
    <w:qFormat/>
    <w:uiPriority w:val="0"/>
    <w:rPr>
      <w:vertAlign w:val="superscript"/>
    </w:rPr>
  </w:style>
  <w:style w:type="character" w:styleId="11">
    <w:name w:val="annotation reference"/>
    <w:basedOn w:val="9"/>
    <w:unhideWhenUsed/>
    <w:qFormat/>
    <w:uiPriority w:val="99"/>
    <w:rPr>
      <w:sz w:val="16"/>
      <w:szCs w:val="16"/>
    </w:rPr>
  </w:style>
  <w:style w:type="character" w:styleId="12">
    <w:name w:val="Hyperlink"/>
    <w:basedOn w:val="9"/>
    <w:unhideWhenUsed/>
    <w:qFormat/>
    <w:uiPriority w:val="99"/>
    <w:rPr>
      <w:color w:val="0563C1" w:themeColor="hyperlink"/>
      <w:u w:val="single"/>
      <w14:textFill>
        <w14:solidFill>
          <w14:schemeClr w14:val="hlink"/>
        </w14:solidFill>
      </w14:textFill>
    </w:rPr>
  </w:style>
  <w:style w:type="character" w:styleId="13">
    <w:name w:val="page number"/>
    <w:basedOn w:val="9"/>
    <w:unhideWhenUsed/>
    <w:qFormat/>
    <w:uiPriority w:val="99"/>
  </w:style>
  <w:style w:type="character" w:styleId="14">
    <w:name w:val="Strong"/>
    <w:basedOn w:val="9"/>
    <w:qFormat/>
    <w:uiPriority w:val="22"/>
    <w:rPr>
      <w:b/>
      <w:bCs/>
    </w:rPr>
  </w:style>
  <w:style w:type="character" w:styleId="15">
    <w:name w:val="FollowedHyperlink"/>
    <w:basedOn w:val="9"/>
    <w:unhideWhenUsed/>
    <w:qFormat/>
    <w:uiPriority w:val="99"/>
    <w:rPr>
      <w:color w:val="954F72" w:themeColor="followedHyperlink"/>
      <w:u w:val="single"/>
      <w14:textFill>
        <w14:solidFill>
          <w14:schemeClr w14:val="folHlink"/>
        </w14:solidFill>
      </w14:textFill>
    </w:rPr>
  </w:style>
  <w:style w:type="character" w:customStyle="1" w:styleId="17">
    <w:name w:val="apple-converted-space"/>
    <w:basedOn w:val="9"/>
    <w:qFormat/>
    <w:uiPriority w:val="0"/>
  </w:style>
  <w:style w:type="paragraph" w:customStyle="1" w:styleId="18">
    <w:name w:val="List Paragraph"/>
    <w:basedOn w:val="1"/>
    <w:qFormat/>
    <w:uiPriority w:val="34"/>
    <w:pPr>
      <w:ind w:left="720"/>
      <w:contextualSpacing/>
    </w:pPr>
  </w:style>
  <w:style w:type="character" w:customStyle="1" w:styleId="19">
    <w:name w:val="Footnote Text Char"/>
    <w:basedOn w:val="9"/>
    <w:link w:val="4"/>
    <w:qFormat/>
    <w:uiPriority w:val="0"/>
    <w:rPr>
      <w:sz w:val="20"/>
      <w:szCs w:val="20"/>
    </w:rPr>
  </w:style>
  <w:style w:type="character" w:customStyle="1" w:styleId="20">
    <w:name w:val="Unresolved Mention1"/>
    <w:basedOn w:val="9"/>
    <w:qFormat/>
    <w:uiPriority w:val="99"/>
    <w:rPr>
      <w:color w:val="605E5C"/>
      <w:shd w:val="clear" w:color="auto" w:fill="E1DFDD"/>
    </w:rPr>
  </w:style>
  <w:style w:type="character" w:customStyle="1" w:styleId="21">
    <w:name w:val="Comment Text Char"/>
    <w:basedOn w:val="9"/>
    <w:link w:val="3"/>
    <w:semiHidden/>
    <w:qFormat/>
    <w:uiPriority w:val="99"/>
    <w:rPr>
      <w:rFonts w:eastAsia="Times New Roman"/>
      <w:sz w:val="20"/>
      <w:szCs w:val="20"/>
    </w:rPr>
  </w:style>
  <w:style w:type="character" w:customStyle="1" w:styleId="22">
    <w:name w:val="Comment Subject Char"/>
    <w:basedOn w:val="21"/>
    <w:link w:val="6"/>
    <w:semiHidden/>
    <w:qFormat/>
    <w:uiPriority w:val="99"/>
    <w:rPr>
      <w:rFonts w:eastAsia="Times New Roman"/>
      <w:b/>
      <w:bCs/>
      <w:sz w:val="20"/>
      <w:szCs w:val="20"/>
    </w:rPr>
  </w:style>
  <w:style w:type="character" w:customStyle="1" w:styleId="23">
    <w:name w:val="Balloon Text Char"/>
    <w:basedOn w:val="9"/>
    <w:link w:val="8"/>
    <w:semiHidden/>
    <w:qFormat/>
    <w:uiPriority w:val="99"/>
    <w:rPr>
      <w:rFonts w:ascii="Tahoma" w:hAnsi="Tahoma" w:eastAsia="Times New Roman" w:cs="Tahoma"/>
      <w:sz w:val="16"/>
      <w:szCs w:val="16"/>
    </w:rPr>
  </w:style>
  <w:style w:type="character" w:customStyle="1" w:styleId="24">
    <w:name w:val="Footer Char"/>
    <w:basedOn w:val="9"/>
    <w:link w:val="5"/>
    <w:qFormat/>
    <w:uiPriority w:val="99"/>
    <w:rPr>
      <w:rFonts w:eastAsia="Times New Roman"/>
      <w:sz w:val="20"/>
    </w:rPr>
  </w:style>
  <w:style w:type="character" w:customStyle="1" w:styleId="25">
    <w:name w:val="Header Char"/>
    <w:basedOn w:val="9"/>
    <w:link w:val="2"/>
    <w:qFormat/>
    <w:uiPriority w:val="99"/>
    <w:rPr>
      <w:rFonts w:eastAsia="Times New Roman"/>
      <w:sz w:val="20"/>
    </w:rPr>
  </w:style>
  <w:style w:type="character" w:customStyle="1" w:styleId="26">
    <w:name w:val="Unresolved Mention2"/>
    <w:basedOn w:val="9"/>
    <w:unhideWhenUsed/>
    <w:qFormat/>
    <w:uiPriority w:val="99"/>
    <w:rPr>
      <w:color w:val="605E5C"/>
      <w:shd w:val="clear" w:color="auto" w:fill="E1DFDD"/>
    </w:rPr>
  </w:style>
  <w:style w:type="paragraph" w:customStyle="1" w:styleId="27">
    <w:name w:val="INSOL style heading 4"/>
    <w:next w:val="1"/>
    <w:qFormat/>
    <w:uiPriority w:val="0"/>
    <w:pPr>
      <w:ind w:left="720" w:right="851" w:hanging="720"/>
    </w:pPr>
    <w:rPr>
      <w:rFonts w:ascii="Arial" w:hAnsi="Arial" w:cs="Arial" w:eastAsiaTheme="minorEastAsia"/>
      <w:i/>
      <w:sz w:val="22"/>
      <w:szCs w:val="2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2656DA-DA24-114D-9302-484551B6BBCD}">
  <ds:schemaRefs/>
</ds:datastoreItem>
</file>

<file path=docProps/app.xml><?xml version="1.0" encoding="utf-8"?>
<Properties xmlns="http://schemas.openxmlformats.org/officeDocument/2006/extended-properties" xmlns:vt="http://schemas.openxmlformats.org/officeDocument/2006/docPropsVTypes">
  <Template>Normal.dotm</Template>
  <Company>University of Wolverhampton</Company>
  <Pages>7</Pages>
  <Words>1799</Words>
  <Characters>10256</Characters>
  <Lines>85</Lines>
  <Paragraphs>24</Paragraphs>
  <ScaleCrop>false</ScaleCrop>
  <LinksUpToDate>false</LinksUpToDate>
  <CharactersWithSpaces>12031</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2021-01-05T08:59:00Z</dcterms:created>
  <dc:creator>Microsoft Office User</dc:creator>
  <cp:lastModifiedBy>user</cp:lastModifiedBy>
  <cp:lastPrinted>2019-08-27T05:42:00Z</cp:lastPrinted>
  <dcterms:modified xsi:type="dcterms:W3CDTF">2021-07-25T07:37:07Z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