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386208" w:rsidRDefault="002B2F9F" w:rsidP="00BE65AA">
      <w:pPr>
        <w:pStyle w:val="ListParagraph"/>
        <w:numPr>
          <w:ilvl w:val="0"/>
          <w:numId w:val="4"/>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Adoption of the UNCITRAL Model Law on Cross-Border Insolvency</w:t>
      </w:r>
      <w:r w:rsidR="00E95C42" w:rsidRPr="00386208">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386208" w:rsidRDefault="0007291B" w:rsidP="00BE65AA">
      <w:pPr>
        <w:pStyle w:val="ListParagraph"/>
        <w:numPr>
          <w:ilvl w:val="0"/>
          <w:numId w:val="5"/>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A</w:t>
      </w:r>
      <w:r w:rsidR="001A4484" w:rsidRPr="00386208">
        <w:rPr>
          <w:rFonts w:ascii="Arial" w:hAnsi="Arial" w:cs="Arial"/>
          <w:sz w:val="22"/>
          <w:szCs w:val="22"/>
          <w:highlight w:val="yellow"/>
          <w:lang w:val="en-GB"/>
        </w:rPr>
        <w:t>ny of the above</w:t>
      </w:r>
      <w:r w:rsidRPr="00386208">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386208" w:rsidRDefault="00FC32B6" w:rsidP="00BE65AA">
      <w:pPr>
        <w:pStyle w:val="ListParagraph"/>
        <w:numPr>
          <w:ilvl w:val="0"/>
          <w:numId w:val="6"/>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Any of the above</w:t>
      </w:r>
      <w:r w:rsidR="00EA6F96" w:rsidRPr="00386208">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386208" w:rsidRDefault="0007291B" w:rsidP="00BE65AA">
      <w:pPr>
        <w:pStyle w:val="ListParagraph"/>
        <w:numPr>
          <w:ilvl w:val="0"/>
          <w:numId w:val="7"/>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 xml:space="preserve">Over 50% in </w:t>
      </w:r>
      <w:r w:rsidR="00416B96" w:rsidRPr="00386208">
        <w:rPr>
          <w:rFonts w:ascii="Arial" w:hAnsi="Arial" w:cs="Arial"/>
          <w:sz w:val="22"/>
          <w:szCs w:val="22"/>
          <w:highlight w:val="yellow"/>
          <w:lang w:val="en-GB"/>
        </w:rPr>
        <w:t>number</w:t>
      </w:r>
      <w:r w:rsidR="00F50041" w:rsidRPr="00386208">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386208" w:rsidRDefault="00C041E8" w:rsidP="00BE65AA">
      <w:pPr>
        <w:pStyle w:val="ListParagraph"/>
        <w:numPr>
          <w:ilvl w:val="0"/>
          <w:numId w:val="8"/>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The automatic moratorium can be obtained without filing an application to Court</w:t>
      </w:r>
      <w:r w:rsidR="003E22E2" w:rsidRPr="00386208">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386208" w:rsidRDefault="00A92054" w:rsidP="00BE65AA">
      <w:pPr>
        <w:pStyle w:val="ListParagraph"/>
        <w:numPr>
          <w:ilvl w:val="0"/>
          <w:numId w:val="9"/>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A receiver is appointed over the assets of the company</w:t>
      </w:r>
      <w:r w:rsidR="00B50EA0" w:rsidRPr="00386208">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386208" w:rsidRDefault="0007291B" w:rsidP="00BE65AA">
      <w:pPr>
        <w:pStyle w:val="ListParagraph"/>
        <w:numPr>
          <w:ilvl w:val="0"/>
          <w:numId w:val="10"/>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P</w:t>
      </w:r>
      <w:r w:rsidR="001A4484" w:rsidRPr="00386208">
        <w:rPr>
          <w:rFonts w:ascii="Arial" w:hAnsi="Arial" w:cs="Arial"/>
          <w:sz w:val="22"/>
          <w:szCs w:val="22"/>
          <w:highlight w:val="yellow"/>
          <w:lang w:val="en-GB"/>
        </w:rPr>
        <w:t>reserving all or part of the company</w:t>
      </w:r>
      <w:r w:rsidR="004D7749" w:rsidRPr="00386208">
        <w:rPr>
          <w:rFonts w:ascii="Arial" w:hAnsi="Arial" w:cs="Arial"/>
          <w:sz w:val="22"/>
          <w:szCs w:val="22"/>
          <w:highlight w:val="yellow"/>
          <w:lang w:val="en-GB"/>
        </w:rPr>
        <w:t>’</w:t>
      </w:r>
      <w:r w:rsidR="001A4484" w:rsidRPr="00386208">
        <w:rPr>
          <w:rFonts w:ascii="Arial" w:hAnsi="Arial" w:cs="Arial"/>
          <w:sz w:val="22"/>
          <w:szCs w:val="22"/>
          <w:highlight w:val="yellow"/>
          <w:lang w:val="en-GB"/>
        </w:rPr>
        <w:t>s business as a going concern</w:t>
      </w:r>
      <w:r w:rsidRPr="00386208">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386208" w:rsidRDefault="006F2457" w:rsidP="00BE65AA">
      <w:pPr>
        <w:pStyle w:val="ListParagraph"/>
        <w:numPr>
          <w:ilvl w:val="0"/>
          <w:numId w:val="11"/>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Receivership</w:t>
      </w:r>
      <w:r w:rsidR="000C2AB6" w:rsidRPr="00386208">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386208" w:rsidRDefault="00C041E8" w:rsidP="00BE65AA">
      <w:pPr>
        <w:pStyle w:val="ListParagraph"/>
        <w:numPr>
          <w:ilvl w:val="0"/>
          <w:numId w:val="12"/>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Brunei</w:t>
      </w:r>
      <w:r w:rsidR="00361BAA" w:rsidRPr="00386208">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386208" w:rsidRDefault="0007291B" w:rsidP="00BE65AA">
      <w:pPr>
        <w:pStyle w:val="ListParagraph"/>
        <w:numPr>
          <w:ilvl w:val="0"/>
          <w:numId w:val="13"/>
        </w:numPr>
        <w:ind w:left="426"/>
        <w:jc w:val="both"/>
        <w:rPr>
          <w:rFonts w:ascii="Arial" w:hAnsi="Arial" w:cs="Arial"/>
          <w:sz w:val="22"/>
          <w:szCs w:val="22"/>
          <w:highlight w:val="yellow"/>
          <w:lang w:val="en-GB"/>
        </w:rPr>
      </w:pPr>
      <w:r w:rsidRPr="00386208">
        <w:rPr>
          <w:rFonts w:ascii="Arial" w:hAnsi="Arial" w:cs="Arial"/>
          <w:sz w:val="22"/>
          <w:szCs w:val="22"/>
          <w:highlight w:val="yellow"/>
          <w:lang w:val="en-GB"/>
        </w:rPr>
        <w:t xml:space="preserve">The Court held that the omission of the word </w:t>
      </w:r>
      <w:r w:rsidR="004D7749" w:rsidRPr="00386208">
        <w:rPr>
          <w:rFonts w:ascii="Arial" w:hAnsi="Arial" w:cs="Arial"/>
          <w:sz w:val="22"/>
          <w:szCs w:val="22"/>
          <w:highlight w:val="yellow"/>
          <w:lang w:val="en-GB"/>
        </w:rPr>
        <w:t>“</w:t>
      </w:r>
      <w:r w:rsidRPr="00386208">
        <w:rPr>
          <w:rFonts w:ascii="Arial" w:hAnsi="Arial" w:cs="Arial"/>
          <w:sz w:val="22"/>
          <w:szCs w:val="22"/>
          <w:highlight w:val="yellow"/>
          <w:lang w:val="en-GB"/>
        </w:rPr>
        <w:t>manifestly</w:t>
      </w:r>
      <w:r w:rsidR="004D7749" w:rsidRPr="00386208">
        <w:rPr>
          <w:rFonts w:ascii="Arial" w:hAnsi="Arial" w:cs="Arial"/>
          <w:sz w:val="22"/>
          <w:szCs w:val="22"/>
          <w:highlight w:val="yellow"/>
          <w:lang w:val="en-GB"/>
        </w:rPr>
        <w:t>”</w:t>
      </w:r>
      <w:r w:rsidRPr="00386208">
        <w:rPr>
          <w:rFonts w:ascii="Arial" w:hAnsi="Arial" w:cs="Arial"/>
          <w:sz w:val="22"/>
          <w:szCs w:val="22"/>
          <w:highlight w:val="yellow"/>
          <w:lang w:val="en-GB"/>
        </w:rPr>
        <w:t xml:space="preserve"> from Article 6 of the Singapore Model Law meant that the standard of exclusion on public policy grounds was </w:t>
      </w:r>
      <w:r w:rsidR="00416B96" w:rsidRPr="00386208">
        <w:rPr>
          <w:rFonts w:ascii="Arial" w:hAnsi="Arial" w:cs="Arial"/>
          <w:sz w:val="22"/>
          <w:szCs w:val="22"/>
          <w:highlight w:val="yellow"/>
          <w:lang w:val="en-GB"/>
        </w:rPr>
        <w:t>higher</w:t>
      </w:r>
      <w:r w:rsidRPr="00386208">
        <w:rPr>
          <w:rFonts w:ascii="Arial" w:hAnsi="Arial" w:cs="Arial"/>
          <w:sz w:val="22"/>
          <w:szCs w:val="22"/>
          <w:highlight w:val="yellow"/>
          <w:lang w:val="en-GB"/>
        </w:rPr>
        <w:t xml:space="preserve"> than in jurisdictions where the Model Law had been enacted unmodified</w:t>
      </w:r>
      <w:r w:rsidR="00726B93" w:rsidRPr="00386208">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6F5952FF" w14:textId="77777777" w:rsidR="00386208" w:rsidRDefault="0007291B" w:rsidP="00386208">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86208">
        <w:rPr>
          <w:rFonts w:ascii="Arial" w:hAnsi="Arial" w:cs="Arial"/>
          <w:color w:val="7B7B7B" w:themeColor="accent3" w:themeShade="BF"/>
          <w:sz w:val="22"/>
          <w:szCs w:val="22"/>
          <w:lang w:val="en-GB"/>
        </w:rPr>
        <w:t>Two types of impeachable transactions under Singapore insolvency law are transactions at undervalue and unfair preferences.</w:t>
      </w:r>
      <w:r w:rsidR="00386208">
        <w:rPr>
          <w:rFonts w:ascii="Arial" w:hAnsi="Arial" w:cs="Arial"/>
          <w:color w:val="7B7B7B" w:themeColor="accent3" w:themeShade="BF"/>
          <w:lang w:val="en-GB"/>
        </w:rPr>
        <w:t xml:space="preserve"> </w:t>
      </w:r>
      <w:r w:rsidR="00386208">
        <w:rPr>
          <w:rFonts w:ascii="Arial" w:hAnsi="Arial" w:cs="Arial"/>
          <w:color w:val="7B7B7B" w:themeColor="accent3" w:themeShade="BF"/>
          <w:sz w:val="22"/>
          <w:szCs w:val="22"/>
          <w:lang w:val="en-GB"/>
        </w:rPr>
        <w:t xml:space="preserve">I will seek to outline the elements associated with a transaction at undervalue in terms of a personal bankruptcy and a unfair preference in a </w:t>
      </w:r>
      <w:r w:rsidR="00386208">
        <w:rPr>
          <w:rFonts w:ascii="Arial" w:hAnsi="Arial" w:cs="Arial"/>
          <w:color w:val="7B7B7B" w:themeColor="accent3" w:themeShade="BF"/>
          <w:sz w:val="22"/>
          <w:szCs w:val="22"/>
          <w:lang w:val="en-GB"/>
        </w:rPr>
        <w:lastRenderedPageBreak/>
        <w:t>corporate liquidation (per the provisions of the Insolvency and Restructuring Dissolution Act 2018</w:t>
      </w:r>
      <w:r w:rsidR="00386208">
        <w:rPr>
          <w:rStyle w:val="FootnoteReference"/>
          <w:rFonts w:ascii="Arial" w:hAnsi="Arial" w:cs="Arial"/>
          <w:color w:val="7B7B7B" w:themeColor="accent3" w:themeShade="BF"/>
          <w:sz w:val="22"/>
          <w:szCs w:val="22"/>
          <w:lang w:val="en-GB"/>
        </w:rPr>
        <w:footnoteReference w:id="1"/>
      </w:r>
      <w:r w:rsidR="00386208">
        <w:rPr>
          <w:rFonts w:ascii="Arial" w:hAnsi="Arial" w:cs="Arial"/>
          <w:color w:val="7B7B7B" w:themeColor="accent3" w:themeShade="BF"/>
          <w:sz w:val="22"/>
          <w:szCs w:val="22"/>
          <w:lang w:val="en-GB"/>
        </w:rPr>
        <w:t>) (“IRDA”) and the applicable defences for both.</w:t>
      </w:r>
    </w:p>
    <w:p w14:paraId="50D1F885" w14:textId="77777777" w:rsidR="00386208" w:rsidRDefault="00386208" w:rsidP="00386208">
      <w:pPr>
        <w:jc w:val="both"/>
        <w:rPr>
          <w:rFonts w:ascii="Arial" w:hAnsi="Arial" w:cs="Arial"/>
          <w:color w:val="7B7B7B" w:themeColor="accent3" w:themeShade="BF"/>
          <w:sz w:val="22"/>
          <w:szCs w:val="22"/>
          <w:lang w:val="en-GB"/>
        </w:rPr>
      </w:pPr>
    </w:p>
    <w:p w14:paraId="2237F822" w14:textId="77777777" w:rsidR="00386208" w:rsidRDefault="00386208" w:rsidP="00386208">
      <w:pPr>
        <w:jc w:val="both"/>
        <w:rPr>
          <w:rFonts w:ascii="Arial" w:hAnsi="Arial" w:cs="Arial"/>
          <w:color w:val="7B7B7B" w:themeColor="accent3" w:themeShade="BF"/>
          <w:sz w:val="22"/>
          <w:szCs w:val="22"/>
          <w:lang w:val="en-GB"/>
        </w:rPr>
      </w:pPr>
      <w:r w:rsidRPr="00FF40EA">
        <w:rPr>
          <w:rFonts w:ascii="Arial" w:hAnsi="Arial" w:cs="Arial"/>
          <w:b/>
          <w:bCs/>
          <w:color w:val="7B7B7B" w:themeColor="accent3" w:themeShade="BF"/>
          <w:sz w:val="22"/>
          <w:szCs w:val="22"/>
          <w:lang w:val="en-GB"/>
        </w:rPr>
        <w:t>Personal bankruptcy</w:t>
      </w:r>
      <w:r>
        <w:rPr>
          <w:rFonts w:ascii="Arial" w:hAnsi="Arial" w:cs="Arial"/>
          <w:color w:val="7B7B7B" w:themeColor="accent3" w:themeShade="BF"/>
          <w:sz w:val="22"/>
          <w:szCs w:val="22"/>
          <w:lang w:val="en-GB"/>
        </w:rPr>
        <w:t>- Section 361 of the IRDA refers to transactions at undervalue initiated by an adjudged bankrupt and states the following as elements associated with this act:</w:t>
      </w:r>
    </w:p>
    <w:p w14:paraId="583706D1" w14:textId="77777777" w:rsidR="00386208" w:rsidRDefault="00386208" w:rsidP="00386208">
      <w:pPr>
        <w:pStyle w:val="ListParagraph"/>
        <w:numPr>
          <w:ilvl w:val="0"/>
          <w:numId w:val="18"/>
        </w:numPr>
        <w:spacing w:after="160" w:line="256" w:lineRule="auto"/>
        <w:rPr>
          <w:rFonts w:ascii="Arial" w:hAnsi="Arial" w:cs="Arial"/>
          <w:color w:val="7B7B7B" w:themeColor="accent3" w:themeShade="BF"/>
          <w:sz w:val="22"/>
          <w:szCs w:val="22"/>
        </w:rPr>
      </w:pPr>
      <w:r>
        <w:rPr>
          <w:rFonts w:ascii="Arial" w:hAnsi="Arial" w:cs="Arial"/>
          <w:color w:val="7B7B7B" w:themeColor="accent3" w:themeShade="BF"/>
          <w:sz w:val="22"/>
          <w:szCs w:val="22"/>
        </w:rPr>
        <w:t>the bankrupt makes a gift or engages in a transaction in exchange for no consideration;</w:t>
      </w:r>
    </w:p>
    <w:p w14:paraId="520D714B" w14:textId="77777777" w:rsidR="00386208" w:rsidRDefault="00386208" w:rsidP="00386208">
      <w:pPr>
        <w:pStyle w:val="ListParagraph"/>
        <w:numPr>
          <w:ilvl w:val="0"/>
          <w:numId w:val="18"/>
        </w:numPr>
        <w:spacing w:after="160" w:line="256" w:lineRule="auto"/>
        <w:rPr>
          <w:rFonts w:ascii="Arial" w:hAnsi="Arial" w:cs="Arial"/>
          <w:color w:val="7B7B7B" w:themeColor="accent3" w:themeShade="BF"/>
          <w:sz w:val="22"/>
          <w:szCs w:val="22"/>
        </w:rPr>
      </w:pPr>
      <w:r>
        <w:rPr>
          <w:rFonts w:ascii="Arial" w:hAnsi="Arial" w:cs="Arial"/>
          <w:color w:val="7B7B7B" w:themeColor="accent3" w:themeShade="BF"/>
          <w:sz w:val="22"/>
          <w:szCs w:val="22"/>
        </w:rPr>
        <w:t>the bankrupt promises something of value or transfers something of value to another party on the condition that they become or are married;</w:t>
      </w:r>
    </w:p>
    <w:p w14:paraId="68C01D44" w14:textId="77777777" w:rsidR="00386208" w:rsidRDefault="00386208" w:rsidP="00386208">
      <w:pPr>
        <w:pStyle w:val="ListParagraph"/>
        <w:numPr>
          <w:ilvl w:val="0"/>
          <w:numId w:val="18"/>
        </w:numPr>
        <w:spacing w:after="160" w:line="256" w:lineRule="auto"/>
        <w:rPr>
          <w:rFonts w:ascii="Arial" w:hAnsi="Arial" w:cs="Arial"/>
          <w:color w:val="7B7B7B" w:themeColor="accent3" w:themeShade="BF"/>
          <w:sz w:val="22"/>
          <w:szCs w:val="22"/>
        </w:rPr>
      </w:pPr>
      <w:r>
        <w:rPr>
          <w:rFonts w:ascii="Arial" w:hAnsi="Arial" w:cs="Arial"/>
          <w:color w:val="7B7B7B" w:themeColor="accent3" w:themeShade="BF"/>
          <w:sz w:val="22"/>
          <w:szCs w:val="22"/>
        </w:rPr>
        <w:t>the bankrupt engages in a transaction with another for consideration of a value which is significantly less than the value or in money’s worth.</w:t>
      </w:r>
    </w:p>
    <w:p w14:paraId="2D2F9D6F" w14:textId="77777777" w:rsidR="00386208" w:rsidRDefault="00386208" w:rsidP="00386208">
      <w:pPr>
        <w:jc w:val="both"/>
        <w:rPr>
          <w:rFonts w:ascii="Arial" w:hAnsi="Arial" w:cs="Arial"/>
          <w:color w:val="7B7B7B" w:themeColor="accent3" w:themeShade="BF"/>
          <w:sz w:val="22"/>
          <w:szCs w:val="22"/>
        </w:rPr>
      </w:pPr>
      <w:proofErr w:type="spellStart"/>
      <w:r w:rsidRPr="00FF40EA">
        <w:rPr>
          <w:rFonts w:ascii="Arial" w:hAnsi="Arial" w:cs="Arial"/>
          <w:b/>
          <w:bCs/>
          <w:color w:val="7B7B7B" w:themeColor="accent3" w:themeShade="BF"/>
          <w:sz w:val="22"/>
          <w:szCs w:val="22"/>
        </w:rPr>
        <w:t>Defence</w:t>
      </w:r>
      <w:proofErr w:type="spellEnd"/>
      <w:r w:rsidRPr="00FF40EA">
        <w:rPr>
          <w:rFonts w:ascii="Arial" w:hAnsi="Arial" w:cs="Arial"/>
          <w:b/>
          <w:bCs/>
          <w:color w:val="7B7B7B" w:themeColor="accent3" w:themeShade="BF"/>
          <w:sz w:val="22"/>
          <w:szCs w:val="22"/>
        </w:rPr>
        <w:t>:</w:t>
      </w:r>
      <w:r>
        <w:rPr>
          <w:rFonts w:ascii="Arial" w:hAnsi="Arial" w:cs="Arial"/>
          <w:color w:val="7B7B7B" w:themeColor="accent3" w:themeShade="BF"/>
          <w:sz w:val="22"/>
          <w:szCs w:val="22"/>
        </w:rPr>
        <w:t xml:space="preserve"> Section 365(3)(a) states that if the transaction was conducted in good faith and for value, the transaction will stand. In the contrary, if the individual had notice of the bankruptcy circumstance, relevant proceedings, was an associate or connected to the bankrupt, the transaction will be deemed as not conducted in good faith. </w:t>
      </w:r>
    </w:p>
    <w:p w14:paraId="16B77C1A" w14:textId="77777777" w:rsidR="00386208" w:rsidRDefault="00386208" w:rsidP="00386208">
      <w:pPr>
        <w:jc w:val="both"/>
        <w:rPr>
          <w:rFonts w:ascii="Arial" w:hAnsi="Arial" w:cs="Arial"/>
          <w:color w:val="7B7B7B" w:themeColor="accent3" w:themeShade="BF"/>
          <w:sz w:val="22"/>
          <w:szCs w:val="22"/>
        </w:rPr>
      </w:pPr>
    </w:p>
    <w:p w14:paraId="18209D95" w14:textId="77777777" w:rsidR="00386208" w:rsidRDefault="00386208" w:rsidP="00386208">
      <w:pPr>
        <w:jc w:val="both"/>
        <w:rPr>
          <w:rFonts w:ascii="Arial" w:hAnsi="Arial" w:cs="Arial"/>
          <w:color w:val="7B7B7B" w:themeColor="accent3" w:themeShade="BF"/>
          <w:sz w:val="22"/>
          <w:szCs w:val="22"/>
        </w:rPr>
      </w:pPr>
      <w:r w:rsidRPr="00FF40EA">
        <w:rPr>
          <w:rFonts w:ascii="Arial" w:hAnsi="Arial" w:cs="Arial"/>
          <w:b/>
          <w:bCs/>
          <w:color w:val="7B7B7B" w:themeColor="accent3" w:themeShade="BF"/>
          <w:sz w:val="22"/>
          <w:szCs w:val="22"/>
        </w:rPr>
        <w:t>Corporate liquidation</w:t>
      </w:r>
      <w:r>
        <w:rPr>
          <w:rFonts w:ascii="Arial" w:hAnsi="Arial" w:cs="Arial"/>
          <w:color w:val="7B7B7B" w:themeColor="accent3" w:themeShade="BF"/>
          <w:sz w:val="22"/>
          <w:szCs w:val="22"/>
        </w:rPr>
        <w:t>- Pursuant to Section 225 (Unfair preference) of the IRDA, a company engages in an unfair preference transaction if:</w:t>
      </w:r>
    </w:p>
    <w:p w14:paraId="364A1015" w14:textId="77777777" w:rsidR="00386208" w:rsidRDefault="00386208" w:rsidP="00386208">
      <w:pPr>
        <w:pStyle w:val="ListParagraph"/>
        <w:numPr>
          <w:ilvl w:val="0"/>
          <w:numId w:val="19"/>
        </w:numPr>
        <w:spacing w:after="160" w:line="25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beneficiary of the transaction is a creditor, a surety or a guarantor of the company;</w:t>
      </w:r>
    </w:p>
    <w:p w14:paraId="5257BCE3" w14:textId="77777777" w:rsidR="00386208" w:rsidRDefault="00386208" w:rsidP="00386208">
      <w:pPr>
        <w:pStyle w:val="ListParagraph"/>
        <w:numPr>
          <w:ilvl w:val="0"/>
          <w:numId w:val="19"/>
        </w:numPr>
        <w:spacing w:after="160" w:line="25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at the time of the transaction, the company was in a state of insolvency or became insolvent as a result of the transaction;</w:t>
      </w:r>
    </w:p>
    <w:p w14:paraId="0AF62058" w14:textId="77777777" w:rsidR="00386208" w:rsidRDefault="00386208" w:rsidP="00386208">
      <w:pPr>
        <w:pStyle w:val="ListParagraph"/>
        <w:numPr>
          <w:ilvl w:val="0"/>
          <w:numId w:val="19"/>
        </w:numPr>
        <w:spacing w:after="160" w:line="25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result of the transaction has place the benefactor in a better position than it would have if the transaction never occurred; or</w:t>
      </w:r>
    </w:p>
    <w:p w14:paraId="1F437536" w14:textId="77777777" w:rsidR="00386208" w:rsidRDefault="00386208" w:rsidP="00386208">
      <w:pPr>
        <w:pStyle w:val="ListParagraph"/>
        <w:numPr>
          <w:ilvl w:val="0"/>
          <w:numId w:val="19"/>
        </w:numPr>
        <w:spacing w:after="160" w:line="25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benefactor was an ‘associate’ or was connected to the company</w:t>
      </w:r>
      <w:r>
        <w:rPr>
          <w:rStyle w:val="FootnoteReference"/>
          <w:rFonts w:ascii="Arial" w:hAnsi="Arial" w:cs="Arial"/>
          <w:color w:val="7B7B7B" w:themeColor="accent3" w:themeShade="BF"/>
          <w:sz w:val="22"/>
          <w:szCs w:val="22"/>
        </w:rPr>
        <w:footnoteReference w:id="2"/>
      </w:r>
      <w:r>
        <w:rPr>
          <w:rFonts w:ascii="Arial" w:hAnsi="Arial" w:cs="Arial"/>
          <w:color w:val="7B7B7B" w:themeColor="accent3" w:themeShade="BF"/>
          <w:sz w:val="22"/>
          <w:szCs w:val="22"/>
        </w:rPr>
        <w:t xml:space="preserve"> and the company was influenced by a desire to prefer this particular party over another.</w:t>
      </w:r>
    </w:p>
    <w:p w14:paraId="79F456A8" w14:textId="77777777" w:rsidR="00386208" w:rsidRDefault="00386208" w:rsidP="00386208">
      <w:pPr>
        <w:jc w:val="both"/>
        <w:rPr>
          <w:rFonts w:ascii="Arial" w:hAnsi="Arial" w:cs="Arial"/>
          <w:color w:val="7B7B7B" w:themeColor="accent3" w:themeShade="BF"/>
          <w:sz w:val="22"/>
          <w:szCs w:val="22"/>
        </w:rPr>
      </w:pPr>
      <w:proofErr w:type="spellStart"/>
      <w:r w:rsidRPr="00E93D16">
        <w:rPr>
          <w:rFonts w:ascii="Arial" w:hAnsi="Arial" w:cs="Arial"/>
          <w:b/>
          <w:bCs/>
          <w:color w:val="7B7B7B" w:themeColor="accent3" w:themeShade="BF"/>
          <w:sz w:val="22"/>
          <w:szCs w:val="22"/>
        </w:rPr>
        <w:t>Defence</w:t>
      </w:r>
      <w:proofErr w:type="spellEnd"/>
      <w:r w:rsidRPr="00E93D16">
        <w:rPr>
          <w:rFonts w:ascii="Arial" w:hAnsi="Arial" w:cs="Arial"/>
          <w:b/>
          <w:bCs/>
          <w:color w:val="7B7B7B" w:themeColor="accent3" w:themeShade="BF"/>
          <w:sz w:val="22"/>
          <w:szCs w:val="22"/>
        </w:rPr>
        <w:t>:</w:t>
      </w:r>
      <w:r>
        <w:rPr>
          <w:rFonts w:ascii="Arial" w:hAnsi="Arial" w:cs="Arial"/>
          <w:color w:val="7B7B7B" w:themeColor="accent3" w:themeShade="BF"/>
          <w:sz w:val="22"/>
          <w:szCs w:val="22"/>
        </w:rPr>
        <w:t xml:space="preserve"> The Court will not question a preference if the Court is satisfied that the company</w:t>
      </w:r>
      <w:r>
        <w:rPr>
          <w:rStyle w:val="FootnoteReference"/>
          <w:rFonts w:ascii="Arial" w:hAnsi="Arial" w:cs="Arial"/>
          <w:color w:val="7B7B7B" w:themeColor="accent3" w:themeShade="BF"/>
          <w:sz w:val="22"/>
          <w:szCs w:val="22"/>
        </w:rPr>
        <w:footnoteReference w:id="3"/>
      </w:r>
      <w:r>
        <w:rPr>
          <w:rFonts w:ascii="Arial" w:hAnsi="Arial" w:cs="Arial"/>
          <w:color w:val="7B7B7B" w:themeColor="accent3" w:themeShade="BF"/>
          <w:sz w:val="22"/>
          <w:szCs w:val="22"/>
        </w:rPr>
        <w:t>:</w:t>
      </w:r>
    </w:p>
    <w:p w14:paraId="2DAD5428" w14:textId="77777777" w:rsidR="00386208" w:rsidRDefault="00386208" w:rsidP="00386208">
      <w:pPr>
        <w:pStyle w:val="ListParagraph"/>
        <w:numPr>
          <w:ilvl w:val="0"/>
          <w:numId w:val="20"/>
        </w:numPr>
        <w:spacing w:after="160" w:line="25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entered into the transaction in good faith and for the purposes of carrying on its business; or</w:t>
      </w:r>
    </w:p>
    <w:p w14:paraId="6D825660" w14:textId="77777777" w:rsidR="00386208" w:rsidRDefault="00386208" w:rsidP="00386208">
      <w:pPr>
        <w:pStyle w:val="ListParagraph"/>
        <w:numPr>
          <w:ilvl w:val="0"/>
          <w:numId w:val="20"/>
        </w:numPr>
        <w:spacing w:after="160" w:line="25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entered into the transaction on reasonable grounds that the transaction would benefit the company.</w:t>
      </w:r>
    </w:p>
    <w:p w14:paraId="5CB59DF4" w14:textId="3C388488" w:rsidR="009B07AD" w:rsidRPr="002A37BB" w:rsidRDefault="00386208" w:rsidP="00386208">
      <w:pPr>
        <w:jc w:val="both"/>
        <w:rPr>
          <w:rFonts w:ascii="Arial" w:hAnsi="Arial" w:cs="Arial"/>
          <w:sz w:val="22"/>
          <w:szCs w:val="22"/>
          <w:lang w:val="en-GB"/>
        </w:rPr>
      </w:pPr>
      <w:r w:rsidRPr="00FF40EA">
        <w:rPr>
          <w:rFonts w:ascii="Arial" w:hAnsi="Arial" w:cs="Arial"/>
          <w:color w:val="7B7B7B" w:themeColor="accent3" w:themeShade="BF"/>
          <w:sz w:val="22"/>
          <w:szCs w:val="22"/>
        </w:rPr>
        <w:t>It should be noted that, the Court will not “require a person who received a benefit from the transaction or unfair preference in good faith and for value, to pay a sum to the company” except where the transaction was proven or the recipient was a creditor of the company</w:t>
      </w:r>
      <w:r>
        <w:rPr>
          <w:rStyle w:val="FootnoteReference"/>
          <w:rFonts w:ascii="Arial" w:hAnsi="Arial" w:cs="Arial"/>
          <w:color w:val="7B7B7B" w:themeColor="accent3" w:themeShade="BF"/>
          <w:sz w:val="22"/>
          <w:szCs w:val="22"/>
        </w:rPr>
        <w:footnoteReference w:id="4"/>
      </w:r>
      <w:r w:rsidRPr="00FF40EA">
        <w:rPr>
          <w:rFonts w:ascii="Arial" w:hAnsi="Arial" w:cs="Arial"/>
          <w:color w:val="7B7B7B" w:themeColor="accent3" w:themeShade="BF"/>
          <w:sz w:val="22"/>
          <w:szCs w:val="22"/>
        </w:rPr>
        <w:t>.</w:t>
      </w:r>
      <w:r w:rsidR="0007291B" w:rsidRPr="002A37BB">
        <w:rPr>
          <w:rFonts w:ascii="Arial" w:hAnsi="Arial" w:cs="Arial"/>
          <w:color w:val="7B7B7B" w:themeColor="accent3" w:themeShade="BF"/>
          <w:sz w:val="22"/>
          <w:szCs w:val="22"/>
          <w:lang w:val="en-GB"/>
        </w:rPr>
        <w:t>]</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034A7ABB" w14:textId="77777777" w:rsidR="00386208" w:rsidRDefault="00386208" w:rsidP="002A37BB">
      <w:pPr>
        <w:ind w:left="720" w:hanging="720"/>
        <w:jc w:val="both"/>
        <w:rPr>
          <w:rFonts w:ascii="Arial" w:hAnsi="Arial" w:cs="Arial"/>
          <w:b/>
          <w:bCs/>
          <w:sz w:val="22"/>
          <w:szCs w:val="22"/>
        </w:rPr>
      </w:pPr>
    </w:p>
    <w:p w14:paraId="08FAFBBE" w14:textId="2F55A292"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5347A81" w14:textId="77777777" w:rsidR="00386208" w:rsidRDefault="0007291B" w:rsidP="00386208">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86208" w:rsidRPr="00386208">
        <w:rPr>
          <w:rFonts w:ascii="Arial" w:hAnsi="Arial" w:cs="Arial"/>
          <w:b/>
          <w:bCs/>
          <w:color w:val="7B7B7B" w:themeColor="accent3" w:themeShade="BF"/>
          <w:sz w:val="22"/>
          <w:szCs w:val="22"/>
        </w:rPr>
        <w:t>Objective of the JIN Guidelines:</w:t>
      </w:r>
      <w:r w:rsidR="00386208">
        <w:rPr>
          <w:rFonts w:ascii="Arial" w:hAnsi="Arial" w:cs="Arial"/>
          <w:color w:val="7B7B7B" w:themeColor="accent3" w:themeShade="BF"/>
          <w:sz w:val="22"/>
          <w:szCs w:val="22"/>
        </w:rPr>
        <w:t xml:space="preserve"> The guidelines were developed by a panel of specialized insolvency judges aimed at promoting judicial corporation and communication in cross-border insolvency matters.</w:t>
      </w:r>
    </w:p>
    <w:p w14:paraId="294CA4BF" w14:textId="77777777" w:rsidR="00386208" w:rsidRDefault="00386208" w:rsidP="00386208">
      <w:pPr>
        <w:jc w:val="both"/>
        <w:rPr>
          <w:rFonts w:ascii="Arial" w:hAnsi="Arial" w:cs="Arial"/>
          <w:color w:val="7B7B7B" w:themeColor="accent3" w:themeShade="BF"/>
          <w:sz w:val="22"/>
          <w:szCs w:val="22"/>
        </w:rPr>
      </w:pPr>
    </w:p>
    <w:p w14:paraId="63EBEC0C" w14:textId="7C58ECDA" w:rsidR="009B07AD" w:rsidRPr="002A37BB" w:rsidRDefault="00386208" w:rsidP="00386208">
      <w:pPr>
        <w:jc w:val="both"/>
        <w:rPr>
          <w:rFonts w:ascii="Arial" w:hAnsi="Arial" w:cs="Arial"/>
          <w:sz w:val="22"/>
          <w:szCs w:val="22"/>
        </w:rPr>
      </w:pPr>
      <w:r w:rsidRPr="00386208">
        <w:rPr>
          <w:rFonts w:ascii="Arial" w:hAnsi="Arial" w:cs="Arial"/>
          <w:b/>
          <w:bCs/>
          <w:color w:val="7B7B7B" w:themeColor="accent3" w:themeShade="BF"/>
          <w:sz w:val="22"/>
          <w:szCs w:val="22"/>
        </w:rPr>
        <w:lastRenderedPageBreak/>
        <w:t>Significance of the JIN Guidelines:</w:t>
      </w:r>
      <w:r>
        <w:rPr>
          <w:rFonts w:ascii="Arial" w:hAnsi="Arial" w:cs="Arial"/>
          <w:color w:val="7B7B7B" w:themeColor="accent3" w:themeShade="BF"/>
          <w:sz w:val="22"/>
          <w:szCs w:val="22"/>
        </w:rPr>
        <w:t xml:space="preserve"> On 1 February 2017, the Supreme Court of Singapore and the US Bankruptcy Court for the District of Delaware became the first two courts to adopt the JIN Guidelines. This marked the first time a judicial framework of this nature was adopted in Singapore and will further the objectives of the cross-border insolvency law modeled by the UNCITRAL Model law on Cross-Border Insolvency.</w:t>
      </w:r>
      <w:r w:rsidR="0007291B" w:rsidRPr="002A37BB">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B8F395A" w14:textId="77777777" w:rsidR="00EE02B3" w:rsidRDefault="0007291B" w:rsidP="00EE02B3">
      <w:pPr>
        <w:pStyle w:val="ListParagraph"/>
        <w:numPr>
          <w:ilvl w:val="0"/>
          <w:numId w:val="21"/>
        </w:num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E02B3">
        <w:rPr>
          <w:rFonts w:ascii="Arial" w:hAnsi="Arial" w:cs="Arial"/>
          <w:b/>
          <w:bCs/>
          <w:color w:val="7B7B7B" w:themeColor="accent3" w:themeShade="BF"/>
          <w:sz w:val="22"/>
          <w:szCs w:val="22"/>
          <w:lang w:val="en-GB"/>
        </w:rPr>
        <w:t>How a bankrupt can obtain an annulment of their bankruptcy under the Singapore IRDA</w:t>
      </w:r>
      <w:r w:rsidR="00EE02B3">
        <w:rPr>
          <w:rFonts w:ascii="Arial" w:hAnsi="Arial" w:cs="Arial"/>
          <w:color w:val="7B7B7B" w:themeColor="accent3" w:themeShade="BF"/>
          <w:sz w:val="22"/>
          <w:szCs w:val="22"/>
          <w:lang w:val="en-GB"/>
        </w:rPr>
        <w:t>:  According to section 392(2) a bankrupt can obtain an annulment of their bankruptcy by an application to the Court within 12 months after the bankruptcy order is made.</w:t>
      </w:r>
    </w:p>
    <w:p w14:paraId="509816D9" w14:textId="77777777" w:rsidR="00EE02B3" w:rsidRDefault="00EE02B3" w:rsidP="00EE02B3">
      <w:pPr>
        <w:pStyle w:val="ListParagraph"/>
        <w:ind w:left="360"/>
        <w:jc w:val="both"/>
        <w:rPr>
          <w:rFonts w:ascii="Arial" w:hAnsi="Arial" w:cs="Arial"/>
          <w:color w:val="7B7B7B" w:themeColor="accent3" w:themeShade="BF"/>
          <w:sz w:val="22"/>
          <w:szCs w:val="22"/>
          <w:lang w:val="en-GB"/>
        </w:rPr>
      </w:pPr>
    </w:p>
    <w:p w14:paraId="75B164E9" w14:textId="77777777" w:rsidR="00EE02B3" w:rsidRDefault="00EE02B3" w:rsidP="00EE02B3">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outlined in section 392(1) of the IRDA, the Court may annul the bankruptcy order if it appears to the Court that:</w:t>
      </w:r>
    </w:p>
    <w:p w14:paraId="317935EE" w14:textId="77777777" w:rsidR="00EE02B3" w:rsidRDefault="00EE02B3" w:rsidP="00EE02B3">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any ground existing at the time the order was made, the order ought not to have been made;</w:t>
      </w:r>
    </w:p>
    <w:p w14:paraId="1216CBE6" w14:textId="77777777" w:rsidR="00EE02B3" w:rsidRDefault="00EE02B3" w:rsidP="00EE02B3">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extent required by the regulations, both the debts and the expenses of the bankruptcy have all, since the making of the order, either been paid or secured for to the satisfaction of the Court;</w:t>
      </w:r>
    </w:p>
    <w:p w14:paraId="0F98E144" w14:textId="77777777" w:rsidR="00EE02B3" w:rsidRDefault="00EE02B3" w:rsidP="00EE02B3">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proceedings are pending in Malaysia for the distribution of the bankrupt’s estate and effects amongst the creditors under the bankruptcy law of Malaysia and that the distribution ought to take place there; or</w:t>
      </w:r>
    </w:p>
    <w:p w14:paraId="7706B5B5" w14:textId="77777777" w:rsidR="00EE02B3" w:rsidRDefault="00EE02B3" w:rsidP="00EE02B3">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majority of the creditors in number and value are resident in Malaysia, and that from the situation of the property of the bankrupt or for other causes the bankrupt’s estate and effects ought to be distributed among the creditors under the bankruptcy law of Malaysia.   </w:t>
      </w:r>
    </w:p>
    <w:p w14:paraId="5775CFF2" w14:textId="77777777" w:rsidR="00EE02B3" w:rsidRDefault="00EE02B3" w:rsidP="00EE02B3">
      <w:pPr>
        <w:autoSpaceDE w:val="0"/>
        <w:autoSpaceDN w:val="0"/>
        <w:adjustRightInd w:val="0"/>
        <w:ind w:left="720"/>
        <w:rPr>
          <w:rFonts w:ascii="Arial" w:hAnsi="Arial" w:cs="Arial"/>
          <w:color w:val="7B7B7B" w:themeColor="accent3" w:themeShade="BF"/>
          <w:sz w:val="22"/>
          <w:szCs w:val="22"/>
          <w:lang w:val="en-GB"/>
        </w:rPr>
      </w:pPr>
    </w:p>
    <w:p w14:paraId="5DB76608" w14:textId="77777777" w:rsidR="00EE02B3" w:rsidRDefault="00EE02B3" w:rsidP="00EE02B3">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How a bankrupt can obtain a discharge of his bankruptcy under the Singapore IRDA</w:t>
      </w:r>
      <w:r>
        <w:rPr>
          <w:rFonts w:ascii="Arial" w:hAnsi="Arial" w:cs="Arial"/>
          <w:color w:val="7B7B7B" w:themeColor="accent3" w:themeShade="BF"/>
          <w:sz w:val="22"/>
          <w:szCs w:val="22"/>
          <w:lang w:val="en-GB"/>
        </w:rPr>
        <w:t>: According to section 394 of the IRDA, a bankrupt can obtain a discharge by the Court subject to:</w:t>
      </w:r>
    </w:p>
    <w:p w14:paraId="5FD2290E" w14:textId="77777777" w:rsidR="00EE02B3" w:rsidRDefault="00EE02B3" w:rsidP="00EE02B3">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 paying a dividend to the bankrupt’s creditors of not less than 25%;</w:t>
      </w:r>
    </w:p>
    <w:p w14:paraId="1C7DEA5C" w14:textId="77777777" w:rsidR="00EE02B3" w:rsidRDefault="00EE02B3" w:rsidP="00EE02B3">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payment of any income or property acquired by the bankrupt after his discharge;</w:t>
      </w:r>
    </w:p>
    <w:p w14:paraId="259490F5" w14:textId="77777777" w:rsidR="00EE02B3" w:rsidRDefault="00EE02B3" w:rsidP="00EE02B3">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fulfilment of any condition as the court sees fit to impose.</w:t>
      </w:r>
    </w:p>
    <w:p w14:paraId="4F89D00F" w14:textId="77777777" w:rsidR="00EE02B3" w:rsidRDefault="00EE02B3" w:rsidP="00EE02B3">
      <w:pPr>
        <w:pStyle w:val="ListParagraph"/>
        <w:autoSpaceDE w:val="0"/>
        <w:autoSpaceDN w:val="0"/>
        <w:adjustRightInd w:val="0"/>
        <w:jc w:val="both"/>
        <w:rPr>
          <w:rFonts w:ascii="Arial" w:hAnsi="Arial" w:cs="Arial"/>
          <w:color w:val="7B7B7B" w:themeColor="accent3" w:themeShade="BF"/>
          <w:sz w:val="22"/>
          <w:szCs w:val="22"/>
          <w:lang w:val="en-GB"/>
        </w:rPr>
      </w:pPr>
    </w:p>
    <w:p w14:paraId="74FFAD1B" w14:textId="77777777" w:rsidR="00EE02B3" w:rsidRDefault="00EE02B3" w:rsidP="00EE02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bankrupt has satisfied the requirements, an application for the discharge of a bankruptcy can be made by the Official Assignee, the bankrupt or any other person having an interest in the matter. After the application is served on each creditor (who has submitted a proof), the court has the discretion to:</w:t>
      </w:r>
    </w:p>
    <w:p w14:paraId="0FA0E6F6" w14:textId="77777777" w:rsidR="00EE02B3" w:rsidRPr="009E113C" w:rsidRDefault="00EE02B3" w:rsidP="00EE02B3">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refuse the application;</w:t>
      </w:r>
    </w:p>
    <w:p w14:paraId="2AC9327A" w14:textId="0BFD61D1" w:rsidR="00EE02B3" w:rsidRPr="00EE02B3" w:rsidRDefault="00EE02B3" w:rsidP="00EE02B3">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issue an order discharging the bankruptcy absolutely; or</w:t>
      </w:r>
    </w:p>
    <w:p w14:paraId="129E384A" w14:textId="147E4494" w:rsidR="00EE02B3" w:rsidRPr="00EE02B3" w:rsidRDefault="00EE02B3" w:rsidP="00EE02B3">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issue an order on certain conditions.]</w:t>
      </w:r>
    </w:p>
    <w:p w14:paraId="0ED3771B" w14:textId="662A9E07" w:rsidR="00EE02B3" w:rsidRPr="002A37BB" w:rsidRDefault="00EE02B3" w:rsidP="00EE02B3">
      <w:pPr>
        <w:ind w:left="720" w:hanging="720"/>
        <w:jc w:val="both"/>
        <w:rPr>
          <w:rFonts w:ascii="Arial" w:hAnsi="Arial" w:cs="Arial"/>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3236DDE6" w14:textId="77777777" w:rsidR="00EE02B3" w:rsidRDefault="00EE02B3" w:rsidP="002A37BB">
      <w:pPr>
        <w:jc w:val="both"/>
        <w:rPr>
          <w:rFonts w:ascii="Arial" w:hAnsi="Arial" w:cs="Arial"/>
          <w:b/>
          <w:sz w:val="22"/>
          <w:szCs w:val="22"/>
          <w:lang w:val="en-GB"/>
        </w:rPr>
      </w:pPr>
    </w:p>
    <w:p w14:paraId="528366E1" w14:textId="77777777" w:rsidR="00EE02B3" w:rsidRDefault="00EE02B3" w:rsidP="002A37BB">
      <w:pPr>
        <w:jc w:val="both"/>
        <w:rPr>
          <w:rFonts w:ascii="Arial" w:hAnsi="Arial" w:cs="Arial"/>
          <w:b/>
          <w:sz w:val="22"/>
          <w:szCs w:val="22"/>
          <w:lang w:val="en-GB"/>
        </w:rPr>
      </w:pPr>
    </w:p>
    <w:p w14:paraId="4982587C" w14:textId="7DEB9A1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lastRenderedPageBreak/>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3F491D74" w14:textId="77777777" w:rsidR="00EE02B3" w:rsidRDefault="0007291B" w:rsidP="00EE02B3">
      <w:pPr>
        <w:jc w:val="both"/>
        <w:rPr>
          <w:rFonts w:ascii="Arial" w:hAnsi="Arial" w:cs="Arial"/>
          <w:color w:val="7B7B7B" w:themeColor="accent3" w:themeShade="BF"/>
          <w:sz w:val="22"/>
          <w:szCs w:val="22"/>
          <w:lang w:val="en-GB"/>
        </w:rPr>
      </w:pPr>
      <w:r w:rsidRPr="00EE02B3">
        <w:rPr>
          <w:rFonts w:ascii="Arial" w:hAnsi="Arial" w:cs="Arial"/>
          <w:color w:val="7B7B7B" w:themeColor="accent3" w:themeShade="BF"/>
          <w:sz w:val="22"/>
          <w:szCs w:val="22"/>
          <w:lang w:val="en-GB"/>
        </w:rPr>
        <w:t>[</w:t>
      </w:r>
      <w:r w:rsidR="00EE02B3">
        <w:rPr>
          <w:rFonts w:ascii="Arial" w:hAnsi="Arial" w:cs="Arial"/>
          <w:color w:val="7B7B7B" w:themeColor="accent3" w:themeShade="BF"/>
          <w:sz w:val="22"/>
          <w:szCs w:val="22"/>
          <w:lang w:val="en-GB"/>
        </w:rPr>
        <w:t>(</w:t>
      </w:r>
      <w:proofErr w:type="spellStart"/>
      <w:r w:rsidR="00EE02B3">
        <w:rPr>
          <w:rFonts w:ascii="Arial" w:hAnsi="Arial" w:cs="Arial"/>
          <w:color w:val="7B7B7B" w:themeColor="accent3" w:themeShade="BF"/>
          <w:sz w:val="22"/>
          <w:szCs w:val="22"/>
          <w:lang w:val="en-GB"/>
        </w:rPr>
        <w:t>i</w:t>
      </w:r>
      <w:proofErr w:type="spellEnd"/>
      <w:r w:rsidR="00EE02B3">
        <w:rPr>
          <w:rFonts w:ascii="Arial" w:hAnsi="Arial" w:cs="Arial"/>
          <w:color w:val="7B7B7B" w:themeColor="accent3" w:themeShade="BF"/>
          <w:sz w:val="22"/>
          <w:szCs w:val="22"/>
          <w:lang w:val="en-GB"/>
        </w:rPr>
        <w:t xml:space="preserve">) </w:t>
      </w:r>
      <w:r w:rsidR="00EE02B3">
        <w:rPr>
          <w:rFonts w:ascii="Arial" w:hAnsi="Arial" w:cs="Arial"/>
          <w:b/>
          <w:bCs/>
          <w:color w:val="7B7B7B" w:themeColor="accent3" w:themeShade="BF"/>
          <w:sz w:val="22"/>
          <w:szCs w:val="22"/>
          <w:lang w:val="en-GB"/>
        </w:rPr>
        <w:t>The restrictions on ipso facto clauses under the Singapore IRDA:</w:t>
      </w:r>
    </w:p>
    <w:p w14:paraId="72FBD0E4" w14:textId="77777777" w:rsidR="00EE02B3" w:rsidRDefault="00EE02B3" w:rsidP="00EE02B3">
      <w:pPr>
        <w:jc w:val="both"/>
        <w:rPr>
          <w:rFonts w:ascii="Arial" w:hAnsi="Arial" w:cs="Arial"/>
          <w:color w:val="7B7B7B" w:themeColor="accent3" w:themeShade="BF"/>
          <w:sz w:val="22"/>
          <w:szCs w:val="22"/>
          <w:lang w:val="en-GB"/>
        </w:rPr>
      </w:pPr>
    </w:p>
    <w:p w14:paraId="4189AE4B" w14:textId="77777777" w:rsidR="00EE02B3" w:rsidRDefault="00EE02B3" w:rsidP="00EE02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Latin phase “</w:t>
      </w:r>
      <w:proofErr w:type="spellStart"/>
      <w:r>
        <w:rPr>
          <w:rFonts w:ascii="Arial" w:hAnsi="Arial" w:cs="Arial"/>
          <w:color w:val="7B7B7B" w:themeColor="accent3" w:themeShade="BF"/>
          <w:sz w:val="22"/>
          <w:szCs w:val="22"/>
          <w:lang w:val="en-GB"/>
        </w:rPr>
        <w:t>ispo</w:t>
      </w:r>
      <w:proofErr w:type="spellEnd"/>
      <w:r>
        <w:rPr>
          <w:rFonts w:ascii="Arial" w:hAnsi="Arial" w:cs="Arial"/>
          <w:color w:val="7B7B7B" w:themeColor="accent3" w:themeShade="BF"/>
          <w:sz w:val="22"/>
          <w:szCs w:val="22"/>
          <w:lang w:val="en-GB"/>
        </w:rPr>
        <w:t xml:space="preserve"> facto</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is translated to mean “by the fact itself”. The IRDA (which came into effect on 30 July 2020) includes provisions for restrictions on ipso facto clauses.</w:t>
      </w:r>
    </w:p>
    <w:p w14:paraId="59F049A3" w14:textId="77777777" w:rsidR="00EE02B3" w:rsidRDefault="00EE02B3" w:rsidP="00EE02B3">
      <w:pPr>
        <w:jc w:val="both"/>
        <w:rPr>
          <w:rFonts w:ascii="Arial" w:hAnsi="Arial" w:cs="Arial"/>
          <w:color w:val="7B7B7B" w:themeColor="accent3" w:themeShade="BF"/>
          <w:sz w:val="22"/>
          <w:szCs w:val="22"/>
          <w:lang w:val="en-GB"/>
        </w:rPr>
      </w:pPr>
    </w:p>
    <w:p w14:paraId="7245DC9C" w14:textId="3AC93FB3" w:rsidR="00EE02B3" w:rsidRDefault="00EE02B3" w:rsidP="00EE02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context, prior to the assent of this legislation, there were no restrictions with respect to contractual agreements which contained ipso facto clauses upon the insolvency of a Singapore company. This meant that parties to the contractual agreement could rely on such clauses to terminate a contract. In fact, commercial agreements often contained such ipso facto clauses as a form of protection for the parties. However in the case of a company experiencing financial distress, ipso facto clauses pose challenges for companies attempting to restructure their debts by subjecting the company to further financial obligations during its period of distress. </w:t>
      </w:r>
    </w:p>
    <w:p w14:paraId="7D2D4A2C" w14:textId="77777777" w:rsidR="00EE02B3" w:rsidRDefault="00EE02B3" w:rsidP="00EE02B3">
      <w:pPr>
        <w:jc w:val="both"/>
        <w:rPr>
          <w:rFonts w:ascii="Arial" w:hAnsi="Arial" w:cs="Arial"/>
          <w:color w:val="7B7B7B" w:themeColor="accent3" w:themeShade="BF"/>
          <w:sz w:val="22"/>
          <w:szCs w:val="22"/>
          <w:lang w:val="en-GB"/>
        </w:rPr>
      </w:pPr>
    </w:p>
    <w:p w14:paraId="4D8383C7"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440 of the IRDA ipso facto clauses are considered inoperative clauses when triggered by the insolvency of a contracting party or the commencement of corporate rescue proceedings (namely, judicial management and schemes of arrangements).</w:t>
      </w:r>
    </w:p>
    <w:p w14:paraId="496344A1"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p>
    <w:p w14:paraId="004CBE71" w14:textId="77777777" w:rsidR="00EE02B3" w:rsidRDefault="00EE02B3" w:rsidP="00EE02B3">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 as outlined in section 440(a)(b) restricts parties from relying on ipso facto clauses to:</w:t>
      </w:r>
    </w:p>
    <w:p w14:paraId="1B32A263" w14:textId="77777777" w:rsidR="00EE02B3" w:rsidRDefault="00EE02B3" w:rsidP="00EE02B3">
      <w:pPr>
        <w:pStyle w:val="ListParagraph"/>
        <w:numPr>
          <w:ilvl w:val="1"/>
          <w:numId w:val="2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terminate or amend the contract;</w:t>
      </w:r>
    </w:p>
    <w:p w14:paraId="008C5F53" w14:textId="77777777" w:rsidR="00EE02B3" w:rsidRDefault="00EE02B3" w:rsidP="00EE02B3">
      <w:pPr>
        <w:pStyle w:val="ListParagraph"/>
        <w:numPr>
          <w:ilvl w:val="1"/>
          <w:numId w:val="2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an accelerated payment under the contract;</w:t>
      </w:r>
    </w:p>
    <w:p w14:paraId="2431AD39" w14:textId="77777777" w:rsidR="00EE02B3" w:rsidRDefault="00EE02B3" w:rsidP="00EE02B3">
      <w:pPr>
        <w:pStyle w:val="ListParagraph"/>
        <w:numPr>
          <w:ilvl w:val="1"/>
          <w:numId w:val="2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 forfeiture of the term under the contract; or</w:t>
      </w:r>
    </w:p>
    <w:p w14:paraId="20CF34C8" w14:textId="77777777" w:rsidR="00EE02B3" w:rsidRDefault="00EE02B3" w:rsidP="00EE02B3">
      <w:pPr>
        <w:pStyle w:val="ListParagraph"/>
        <w:numPr>
          <w:ilvl w:val="1"/>
          <w:numId w:val="2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terminate or modify any right or obligation under the contract.</w:t>
      </w:r>
    </w:p>
    <w:p w14:paraId="4828B02A" w14:textId="77777777" w:rsidR="00EE02B3" w:rsidRDefault="00EE02B3" w:rsidP="00EE02B3">
      <w:pPr>
        <w:autoSpaceDE w:val="0"/>
        <w:autoSpaceDN w:val="0"/>
        <w:adjustRightInd w:val="0"/>
        <w:rPr>
          <w:rFonts w:ascii="Arial" w:hAnsi="Arial" w:cs="Arial"/>
          <w:color w:val="7B7B7B" w:themeColor="accent3" w:themeShade="BF"/>
          <w:sz w:val="22"/>
          <w:szCs w:val="22"/>
          <w:lang w:val="en-GB"/>
        </w:rPr>
      </w:pPr>
    </w:p>
    <w:p w14:paraId="5BFB12BC"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section 440 does not prevent parties from exercising their rights to terminate or amend contracts in other scenarios involving default such as, the appointment of a receiver or the passing of a resolution to wind up the company.</w:t>
      </w:r>
    </w:p>
    <w:p w14:paraId="4A0AA5CA"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p>
    <w:p w14:paraId="15871B04"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restriction provision excludes certain types of contracts. Pursuant to Section 440(5) these include</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w:t>
      </w:r>
    </w:p>
    <w:p w14:paraId="7B2419C1"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eligible financial contract as may be prescribed;</w:t>
      </w:r>
    </w:p>
    <w:p w14:paraId="32FCEEE2"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contract that is a licence, permit or approval issued by the Government or a statutory body;</w:t>
      </w:r>
    </w:p>
    <w:p w14:paraId="2C6531FD"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contract that is likely to affect the national or economical interest of Singapore, as may be prescribed;</w:t>
      </w:r>
    </w:p>
    <w:p w14:paraId="413B813D"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commercial charter of a ship;</w:t>
      </w:r>
    </w:p>
    <w:p w14:paraId="22D9E232"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agreement within the meaning of the Convention as defined in section 2(1) of the International Interests in Aircraft Equipment Act (Cap. 144B); or</w:t>
      </w:r>
    </w:p>
    <w:p w14:paraId="1BC75442" w14:textId="77777777" w:rsidR="00EE02B3" w:rsidRDefault="00EE02B3" w:rsidP="00EE02B3">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agreement that is the subject of a treaty to which Singapore is party, as may be prescribed.</w:t>
      </w:r>
    </w:p>
    <w:p w14:paraId="48F83561"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p>
    <w:p w14:paraId="75249610"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440 of the IRDA does not have retroactive effect and only applies to contracts entered into on or after 30 July 2020, and for proceedings commenced on or after 30 July 2020</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179DDD20"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p>
    <w:p w14:paraId="1E38CB1A" w14:textId="77777777" w:rsidR="00EE02B3" w:rsidRDefault="00EE02B3" w:rsidP="00EE02B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premises outlined above, directors of distressed companies who are involved in executing certain contracts will have to exercise care. However, in the defence of directors, it should be noted that the courts may relieve a director from personal liability if the courts are satisfied that the person acted honestly.</w:t>
      </w:r>
    </w:p>
    <w:p w14:paraId="03D459F3" w14:textId="77777777" w:rsidR="00EE02B3" w:rsidRDefault="00EE02B3" w:rsidP="00EE02B3">
      <w:pPr>
        <w:jc w:val="both"/>
        <w:rPr>
          <w:rFonts w:ascii="Arial" w:hAnsi="Arial" w:cs="Arial"/>
          <w:color w:val="7B7B7B" w:themeColor="accent3" w:themeShade="BF"/>
          <w:sz w:val="22"/>
          <w:szCs w:val="22"/>
          <w:lang w:val="en-GB"/>
        </w:rPr>
      </w:pPr>
    </w:p>
    <w:p w14:paraId="048B66EB" w14:textId="77777777" w:rsidR="00EE02B3" w:rsidRDefault="00EE02B3" w:rsidP="00EE02B3">
      <w:pPr>
        <w:tabs>
          <w:tab w:val="left" w:pos="360"/>
        </w:tabs>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(ii) Wrongful trading under the Singapore IRDA:</w:t>
      </w:r>
    </w:p>
    <w:p w14:paraId="72F7FC37" w14:textId="77777777" w:rsidR="00EE02B3" w:rsidRDefault="00EE02B3" w:rsidP="00EE02B3">
      <w:pPr>
        <w:pStyle w:val="Defaul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"wrongful trading" was introduced under section 239 of the IRDA. A company is deemed to have "traded wrongfully" if as a result of the trading:</w:t>
      </w:r>
    </w:p>
    <w:p w14:paraId="2E93C8B0" w14:textId="77777777" w:rsidR="00EE02B3" w:rsidRDefault="00EE02B3" w:rsidP="00EE02B3">
      <w:pPr>
        <w:pStyle w:val="Default"/>
        <w:jc w:val="both"/>
        <w:rPr>
          <w:rFonts w:ascii="Arial" w:hAnsi="Arial" w:cs="Arial"/>
          <w:color w:val="7B7B7B" w:themeColor="accent3" w:themeShade="BF"/>
          <w:sz w:val="22"/>
          <w:szCs w:val="22"/>
          <w:lang w:val="en-GB"/>
        </w:rPr>
      </w:pPr>
    </w:p>
    <w:p w14:paraId="7686C168" w14:textId="77777777" w:rsidR="00EE02B3" w:rsidRDefault="00EE02B3" w:rsidP="00EE02B3">
      <w:pPr>
        <w:pStyle w:val="Default"/>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incurs debts or other liabilities, when insolvent; or</w:t>
      </w:r>
    </w:p>
    <w:p w14:paraId="2AB698D6" w14:textId="77777777" w:rsidR="00EE02B3" w:rsidRDefault="00EE02B3" w:rsidP="00EE02B3">
      <w:pPr>
        <w:pStyle w:val="Default"/>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becomes insolvent as a result of incurring such debts or other liabilities), without reasonable prospect of meeting them in full.</w:t>
      </w:r>
    </w:p>
    <w:p w14:paraId="3A120C81" w14:textId="77777777" w:rsidR="00EE02B3" w:rsidRDefault="00EE02B3" w:rsidP="00EE02B3">
      <w:pPr>
        <w:pStyle w:val="Default"/>
        <w:jc w:val="both"/>
        <w:rPr>
          <w:rFonts w:ascii="Arial" w:hAnsi="Arial" w:cs="Arial"/>
          <w:color w:val="7B7B7B" w:themeColor="accent3" w:themeShade="BF"/>
          <w:sz w:val="22"/>
          <w:szCs w:val="22"/>
          <w:lang w:val="en-GB"/>
        </w:rPr>
      </w:pPr>
    </w:p>
    <w:p w14:paraId="617684A2" w14:textId="77777777" w:rsidR="00EE02B3" w:rsidRDefault="00EE02B3" w:rsidP="00EE02B3">
      <w:pPr>
        <w:pStyle w:val="Defaul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consequence of wrongful trading is the personal liability that can be imposed on a director or officer of the company may be found liable for wrongful trading if he or she ought to have known that the company was trading wrongfully. Furthermore, any person party to such wrongful trade, who knew that the company was trading wrongfully, may be liable. </w:t>
      </w:r>
    </w:p>
    <w:p w14:paraId="1ACB178A" w14:textId="77777777" w:rsidR="00EE02B3" w:rsidRDefault="00EE02B3" w:rsidP="00EE02B3">
      <w:pPr>
        <w:pStyle w:val="Default"/>
        <w:jc w:val="both"/>
        <w:rPr>
          <w:rFonts w:ascii="Arial" w:hAnsi="Arial" w:cs="Arial"/>
          <w:color w:val="7B7B7B" w:themeColor="accent3" w:themeShade="BF"/>
          <w:sz w:val="22"/>
          <w:szCs w:val="22"/>
          <w:lang w:val="en-GB"/>
        </w:rPr>
      </w:pPr>
    </w:p>
    <w:p w14:paraId="72F57A5C" w14:textId="4178082A" w:rsidR="00544127" w:rsidRPr="00966236" w:rsidRDefault="00EE02B3" w:rsidP="00EE02B3">
      <w:pPr>
        <w:jc w:val="both"/>
        <w:rPr>
          <w:rFonts w:ascii="Arial" w:hAnsi="Arial" w:cs="Arial"/>
          <w:sz w:val="22"/>
          <w:szCs w:val="22"/>
        </w:rPr>
      </w:pPr>
      <w:r>
        <w:rPr>
          <w:rFonts w:ascii="Arial" w:hAnsi="Arial" w:cs="Arial"/>
          <w:color w:val="7B7B7B" w:themeColor="accent3" w:themeShade="BF"/>
          <w:sz w:val="22"/>
          <w:szCs w:val="22"/>
          <w:lang w:val="en-GB"/>
        </w:rPr>
        <w:t>As a defence, “A company or any person party to, or interested in becoming party to, the carrying on of business with a company, may apply to the court for a declaration that a particular course of conduct, transaction or series of transactions would not constitute wrongful trading”</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w:t>
      </w:r>
      <w:r w:rsidR="0007291B" w:rsidRPr="00966236">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0E400577" w14:textId="77777777" w:rsidR="00E81CC0" w:rsidRDefault="0007291B" w:rsidP="00E81CC0">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bookmarkStart w:id="0" w:name="_Hlk78120612"/>
      <w:r w:rsidR="00E81CC0" w:rsidRPr="00BA1B8D">
        <w:rPr>
          <w:rFonts w:ascii="Arial" w:hAnsi="Arial" w:cs="Arial"/>
          <w:b/>
          <w:bCs/>
          <w:color w:val="7B7B7B" w:themeColor="accent3" w:themeShade="BF"/>
          <w:sz w:val="22"/>
          <w:szCs w:val="22"/>
          <w:lang w:val="en-GB"/>
        </w:rPr>
        <w:t>Introduction:</w:t>
      </w:r>
    </w:p>
    <w:p w14:paraId="491E501D" w14:textId="77777777" w:rsidR="00E81CC0" w:rsidRPr="007F175B" w:rsidRDefault="00E81CC0" w:rsidP="00E81CC0">
      <w:pPr>
        <w:jc w:val="both"/>
        <w:rPr>
          <w:rFonts w:ascii="Arial" w:hAnsi="Arial" w:cs="Arial"/>
          <w:color w:val="7B7B7B" w:themeColor="accent3" w:themeShade="BF"/>
          <w:sz w:val="22"/>
          <w:szCs w:val="22"/>
          <w:lang w:val="en-GB"/>
        </w:rPr>
      </w:pPr>
      <w:r w:rsidRPr="007F175B">
        <w:rPr>
          <w:rFonts w:ascii="Arial" w:hAnsi="Arial" w:cs="Arial"/>
          <w:color w:val="7B7B7B" w:themeColor="accent3" w:themeShade="BF"/>
          <w:sz w:val="22"/>
          <w:szCs w:val="22"/>
          <w:lang w:val="en-GB"/>
        </w:rPr>
        <w:t>The COVID-19 pandemic has touched almost every existing industry sector in the world and Singapore no doubt has had its share. Within the past year, the nation has experienced an increase in the number of insolvencies and restructurings, particularly in the oil and gas and marine-related industries</w:t>
      </w:r>
      <w:r>
        <w:rPr>
          <w:rStyle w:val="FootnoteReference"/>
          <w:rFonts w:ascii="Arial" w:hAnsi="Arial" w:cs="Arial"/>
          <w:color w:val="7B7B7B" w:themeColor="accent3" w:themeShade="BF"/>
          <w:sz w:val="22"/>
          <w:szCs w:val="22"/>
          <w:lang w:val="en-GB"/>
        </w:rPr>
        <w:footnoteReference w:id="9"/>
      </w:r>
      <w:r w:rsidRPr="007F175B">
        <w:rPr>
          <w:rFonts w:ascii="Arial" w:hAnsi="Arial" w:cs="Arial"/>
          <w:color w:val="7B7B7B" w:themeColor="accent3" w:themeShade="BF"/>
          <w:sz w:val="22"/>
          <w:szCs w:val="22"/>
          <w:lang w:val="en-GB"/>
        </w:rPr>
        <w:t>. The ripple effect of the number of failing businesses has resulted in the number of applications for judicial management</w:t>
      </w:r>
      <w:r>
        <w:rPr>
          <w:rFonts w:ascii="Arial" w:hAnsi="Arial" w:cs="Arial"/>
          <w:color w:val="7B7B7B" w:themeColor="accent3" w:themeShade="BF"/>
          <w:sz w:val="22"/>
          <w:szCs w:val="22"/>
          <w:lang w:val="en-GB"/>
        </w:rPr>
        <w:t>,</w:t>
      </w:r>
      <w:r w:rsidRPr="007F175B">
        <w:rPr>
          <w:rFonts w:ascii="Arial" w:hAnsi="Arial" w:cs="Arial"/>
          <w:color w:val="7B7B7B" w:themeColor="accent3" w:themeShade="BF"/>
          <w:sz w:val="22"/>
          <w:szCs w:val="22"/>
          <w:lang w:val="en-GB"/>
        </w:rPr>
        <w:t xml:space="preserve"> at one extreme</w:t>
      </w:r>
      <w:r>
        <w:rPr>
          <w:rFonts w:ascii="Arial" w:hAnsi="Arial" w:cs="Arial"/>
          <w:color w:val="7B7B7B" w:themeColor="accent3" w:themeShade="BF"/>
          <w:sz w:val="22"/>
          <w:szCs w:val="22"/>
          <w:lang w:val="en-GB"/>
        </w:rPr>
        <w:t>,</w:t>
      </w:r>
      <w:r w:rsidRPr="007F175B">
        <w:rPr>
          <w:rFonts w:ascii="Arial" w:hAnsi="Arial" w:cs="Arial"/>
          <w:color w:val="7B7B7B" w:themeColor="accent3" w:themeShade="BF"/>
          <w:sz w:val="22"/>
          <w:szCs w:val="22"/>
          <w:lang w:val="en-GB"/>
        </w:rPr>
        <w:t xml:space="preserve"> and liquidations at the other end of the spectrum. I will seek to examine the differences between both regimes under Singapore law.</w:t>
      </w:r>
    </w:p>
    <w:p w14:paraId="2AF456FB" w14:textId="77777777" w:rsidR="00E81CC0" w:rsidRPr="007F175B" w:rsidRDefault="00E81CC0" w:rsidP="00E81CC0">
      <w:pPr>
        <w:jc w:val="both"/>
        <w:rPr>
          <w:rFonts w:ascii="Arial" w:hAnsi="Arial" w:cs="Arial"/>
          <w:color w:val="7B7B7B" w:themeColor="accent3" w:themeShade="BF"/>
          <w:sz w:val="22"/>
          <w:szCs w:val="22"/>
          <w:lang w:val="en-GB"/>
        </w:rPr>
      </w:pPr>
    </w:p>
    <w:p w14:paraId="7AB9AAFB" w14:textId="77777777" w:rsidR="00E81CC0" w:rsidRPr="00BA1B8D" w:rsidRDefault="00E81CC0" w:rsidP="00E81CC0">
      <w:pPr>
        <w:jc w:val="both"/>
        <w:rPr>
          <w:rFonts w:ascii="Arial" w:hAnsi="Arial" w:cs="Arial"/>
          <w:b/>
          <w:bCs/>
          <w:color w:val="7B7B7B" w:themeColor="accent3" w:themeShade="BF"/>
          <w:sz w:val="22"/>
          <w:szCs w:val="22"/>
          <w:lang w:val="en-GB"/>
        </w:rPr>
      </w:pPr>
      <w:r w:rsidRPr="00BA1B8D">
        <w:rPr>
          <w:rFonts w:ascii="Arial" w:hAnsi="Arial" w:cs="Arial"/>
          <w:b/>
          <w:bCs/>
          <w:color w:val="7B7B7B" w:themeColor="accent3" w:themeShade="BF"/>
          <w:sz w:val="22"/>
          <w:szCs w:val="22"/>
          <w:lang w:val="en-GB"/>
        </w:rPr>
        <w:t>Objective of the process:</w:t>
      </w:r>
    </w:p>
    <w:p w14:paraId="3FE14A2E" w14:textId="77777777" w:rsidR="00E81CC0" w:rsidRPr="007F175B" w:rsidRDefault="00E81CC0" w:rsidP="00E81CC0">
      <w:pPr>
        <w:jc w:val="both"/>
        <w:rPr>
          <w:rFonts w:ascii="Arial" w:hAnsi="Arial" w:cs="Arial"/>
          <w:color w:val="7B7B7B" w:themeColor="accent3" w:themeShade="BF"/>
          <w:sz w:val="22"/>
          <w:szCs w:val="22"/>
          <w:lang w:val="en-GB"/>
        </w:rPr>
      </w:pPr>
      <w:r w:rsidRPr="007F175B">
        <w:rPr>
          <w:rFonts w:ascii="Arial" w:hAnsi="Arial" w:cs="Arial"/>
          <w:color w:val="7B7B7B" w:themeColor="accent3" w:themeShade="BF"/>
          <w:sz w:val="22"/>
          <w:szCs w:val="22"/>
          <w:lang w:val="en-GB"/>
        </w:rPr>
        <w:t xml:space="preserve">A key difference between the two processes is the fact that a judicial </w:t>
      </w:r>
      <w:r w:rsidRPr="007F175B">
        <w:rPr>
          <w:rFonts w:ascii="Arial" w:hAnsi="Arial" w:cs="Arial"/>
          <w:color w:val="7B7B7B" w:themeColor="accent3" w:themeShade="BF"/>
          <w:sz w:val="22"/>
          <w:szCs w:val="22"/>
          <w:shd w:val="clear" w:color="auto" w:fill="FFFFFF"/>
        </w:rPr>
        <w:t>management is a method of debt restructuring, whereas a liquidation is a winding-up insolvency process</w:t>
      </w:r>
      <w:r>
        <w:rPr>
          <w:rFonts w:ascii="Arial" w:hAnsi="Arial" w:cs="Arial"/>
          <w:color w:val="7B7B7B" w:themeColor="accent3" w:themeShade="BF"/>
          <w:sz w:val="22"/>
          <w:szCs w:val="22"/>
          <w:shd w:val="clear" w:color="auto" w:fill="FFFFFF"/>
        </w:rPr>
        <w:t>.</w:t>
      </w:r>
      <w:r w:rsidRPr="007F175B">
        <w:rPr>
          <w:rFonts w:ascii="Arial" w:hAnsi="Arial" w:cs="Arial"/>
          <w:color w:val="7B7B7B" w:themeColor="accent3" w:themeShade="BF"/>
          <w:sz w:val="22"/>
          <w:szCs w:val="22"/>
          <w:shd w:val="clear" w:color="auto" w:fill="FFFFFF"/>
        </w:rPr>
        <w:t xml:space="preserve"> The objective </w:t>
      </w:r>
      <w:r w:rsidRPr="007F175B">
        <w:rPr>
          <w:rFonts w:ascii="Arial" w:hAnsi="Arial" w:cs="Arial"/>
          <w:color w:val="7B7B7B" w:themeColor="accent3" w:themeShade="BF"/>
          <w:sz w:val="22"/>
          <w:szCs w:val="22"/>
          <w:shd w:val="clear" w:color="auto" w:fill="FFFFFF"/>
        </w:rPr>
        <w:lastRenderedPageBreak/>
        <w:t xml:space="preserve">of a </w:t>
      </w:r>
      <w:r w:rsidRPr="007F175B">
        <w:rPr>
          <w:rFonts w:ascii="Arial" w:hAnsi="Arial" w:cs="Arial"/>
          <w:color w:val="7B7B7B" w:themeColor="accent3" w:themeShade="BF"/>
          <w:sz w:val="22"/>
          <w:szCs w:val="22"/>
          <w:lang w:val="en-GB"/>
        </w:rPr>
        <w:t>judicial management is designed to allow the rehabilitation of a financially distressed company</w:t>
      </w:r>
      <w:r>
        <w:rPr>
          <w:rFonts w:ascii="Arial" w:hAnsi="Arial" w:cs="Arial"/>
          <w:color w:val="7B7B7B" w:themeColor="accent3" w:themeShade="BF"/>
          <w:sz w:val="22"/>
          <w:szCs w:val="22"/>
          <w:lang w:val="en-GB"/>
        </w:rPr>
        <w:t xml:space="preserve">- the goal being </w:t>
      </w:r>
      <w:r w:rsidRPr="007F175B">
        <w:rPr>
          <w:rFonts w:ascii="Arial" w:hAnsi="Arial" w:cs="Arial"/>
          <w:color w:val="7B7B7B" w:themeColor="accent3" w:themeShade="BF"/>
          <w:sz w:val="22"/>
          <w:szCs w:val="22"/>
          <w:lang w:val="en-GB"/>
        </w:rPr>
        <w:t xml:space="preserve">the survival of the company while preserving the </w:t>
      </w:r>
      <w:r>
        <w:rPr>
          <w:rFonts w:ascii="Arial" w:hAnsi="Arial" w:cs="Arial"/>
          <w:color w:val="7B7B7B" w:themeColor="accent3" w:themeShade="BF"/>
          <w:sz w:val="22"/>
          <w:szCs w:val="22"/>
          <w:lang w:val="en-GB"/>
        </w:rPr>
        <w:t>business</w:t>
      </w:r>
      <w:r w:rsidRPr="007F175B">
        <w:rPr>
          <w:rFonts w:ascii="Arial" w:hAnsi="Arial" w:cs="Arial"/>
          <w:color w:val="7B7B7B" w:themeColor="accent3" w:themeShade="BF"/>
          <w:sz w:val="22"/>
          <w:szCs w:val="22"/>
          <w:lang w:val="en-GB"/>
        </w:rPr>
        <w:t xml:space="preserve"> as a going concern. The main objective of a liquidation is to ensure a fair and orderly distribution of the company’s assets among its creditors and contributories and to dissolve the company.</w:t>
      </w:r>
    </w:p>
    <w:p w14:paraId="40E7AF3C" w14:textId="77777777" w:rsidR="00E81CC0" w:rsidRPr="00BA1B8D" w:rsidRDefault="00E81CC0" w:rsidP="00E81CC0">
      <w:pPr>
        <w:jc w:val="both"/>
        <w:rPr>
          <w:rFonts w:ascii="Arial" w:hAnsi="Arial" w:cs="Arial"/>
          <w:b/>
          <w:bCs/>
          <w:color w:val="7B7B7B" w:themeColor="accent3" w:themeShade="BF"/>
          <w:sz w:val="22"/>
          <w:szCs w:val="22"/>
          <w:lang w:val="en-GB"/>
        </w:rPr>
      </w:pPr>
      <w:r w:rsidRPr="00BA1B8D">
        <w:rPr>
          <w:rFonts w:ascii="Arial" w:hAnsi="Arial" w:cs="Arial"/>
          <w:b/>
          <w:bCs/>
          <w:color w:val="7B7B7B" w:themeColor="accent3" w:themeShade="BF"/>
          <w:sz w:val="22"/>
          <w:szCs w:val="22"/>
          <w:lang w:val="en-GB"/>
        </w:rPr>
        <w:t>Officeholders:</w:t>
      </w:r>
    </w:p>
    <w:p w14:paraId="133A798D" w14:textId="77777777" w:rsidR="00E81CC0" w:rsidRPr="007F175B" w:rsidRDefault="00E81CC0" w:rsidP="00E81CC0">
      <w:p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In a judicial management an independent judicial manager is appointed to manage the affairs, business and property of the company- this appointment is generally made by the Court. Where the company or its creditors has applied to commence the judicial management, an interim judicial manager may also be appointed by the court. In a liquidation, a liquidator is appointed over the affairs of the company.</w:t>
      </w:r>
    </w:p>
    <w:p w14:paraId="4555C727" w14:textId="77777777" w:rsidR="00E81CC0" w:rsidRDefault="00E81CC0" w:rsidP="00E81CC0">
      <w:pPr>
        <w:jc w:val="both"/>
        <w:rPr>
          <w:rFonts w:ascii="Arial" w:hAnsi="Arial" w:cs="Arial"/>
          <w:color w:val="7B7B7B" w:themeColor="accent3" w:themeShade="BF"/>
          <w:sz w:val="22"/>
          <w:szCs w:val="22"/>
          <w:shd w:val="clear" w:color="auto" w:fill="FFFFFF"/>
        </w:rPr>
      </w:pPr>
    </w:p>
    <w:p w14:paraId="06C5EE1A" w14:textId="77777777" w:rsidR="00E81CC0" w:rsidRPr="00BA1B8D" w:rsidRDefault="00E81CC0" w:rsidP="00E81CC0">
      <w:pPr>
        <w:jc w:val="both"/>
        <w:rPr>
          <w:rFonts w:ascii="Arial" w:hAnsi="Arial" w:cs="Arial"/>
          <w:b/>
          <w:bCs/>
          <w:color w:val="7B7B7B" w:themeColor="accent3" w:themeShade="BF"/>
          <w:sz w:val="22"/>
          <w:szCs w:val="22"/>
          <w:shd w:val="clear" w:color="auto" w:fill="FFFFFF"/>
        </w:rPr>
      </w:pPr>
      <w:r w:rsidRPr="00BA1B8D">
        <w:rPr>
          <w:rFonts w:ascii="Arial" w:hAnsi="Arial" w:cs="Arial"/>
          <w:b/>
          <w:bCs/>
          <w:color w:val="7B7B7B" w:themeColor="accent3" w:themeShade="BF"/>
          <w:sz w:val="22"/>
          <w:szCs w:val="22"/>
          <w:shd w:val="clear" w:color="auto" w:fill="FFFFFF"/>
        </w:rPr>
        <w:t>Powers of the Officeholder:</w:t>
      </w:r>
    </w:p>
    <w:p w14:paraId="724C0122" w14:textId="77777777" w:rsidR="00E81CC0" w:rsidRPr="007F175B" w:rsidRDefault="00E81CC0" w:rsidP="00E81CC0">
      <w:pPr>
        <w:jc w:val="both"/>
        <w:rPr>
          <w:rFonts w:ascii="Arial" w:hAnsi="Arial" w:cs="Arial"/>
          <w:color w:val="7B7B7B" w:themeColor="accent3" w:themeShade="BF"/>
          <w:sz w:val="22"/>
          <w:szCs w:val="22"/>
          <w:shd w:val="clear" w:color="auto" w:fill="FFFFFF"/>
        </w:rPr>
      </w:pPr>
      <w:r>
        <w:rPr>
          <w:rFonts w:ascii="Arial" w:hAnsi="Arial" w:cs="Arial"/>
          <w:color w:val="7B7B7B" w:themeColor="accent3" w:themeShade="BF"/>
          <w:sz w:val="22"/>
          <w:szCs w:val="22"/>
          <w:shd w:val="clear" w:color="auto" w:fill="FFFFFF"/>
        </w:rPr>
        <w:t>T</w:t>
      </w:r>
      <w:r w:rsidRPr="007F175B">
        <w:rPr>
          <w:rFonts w:ascii="Arial" w:hAnsi="Arial" w:cs="Arial"/>
          <w:color w:val="7B7B7B" w:themeColor="accent3" w:themeShade="BF"/>
          <w:sz w:val="22"/>
          <w:szCs w:val="22"/>
          <w:shd w:val="clear" w:color="auto" w:fill="FFFFFF"/>
        </w:rPr>
        <w:t xml:space="preserve">he First Schedule of the IRDA, </w:t>
      </w:r>
      <w:r>
        <w:rPr>
          <w:rFonts w:ascii="Arial" w:hAnsi="Arial" w:cs="Arial"/>
          <w:color w:val="7B7B7B" w:themeColor="accent3" w:themeShade="BF"/>
          <w:sz w:val="22"/>
          <w:szCs w:val="22"/>
          <w:shd w:val="clear" w:color="auto" w:fill="FFFFFF"/>
        </w:rPr>
        <w:t xml:space="preserve">outlines an extensive list of </w:t>
      </w:r>
      <w:r w:rsidRPr="007F175B">
        <w:rPr>
          <w:rFonts w:ascii="Arial" w:hAnsi="Arial" w:cs="Arial"/>
          <w:color w:val="7B7B7B" w:themeColor="accent3" w:themeShade="BF"/>
          <w:sz w:val="22"/>
          <w:szCs w:val="22"/>
          <w:shd w:val="clear" w:color="auto" w:fill="FFFFFF"/>
        </w:rPr>
        <w:t>powers</w:t>
      </w:r>
      <w:r>
        <w:rPr>
          <w:rFonts w:ascii="Arial" w:hAnsi="Arial" w:cs="Arial"/>
          <w:color w:val="7B7B7B" w:themeColor="accent3" w:themeShade="BF"/>
          <w:sz w:val="22"/>
          <w:szCs w:val="22"/>
          <w:shd w:val="clear" w:color="auto" w:fill="FFFFFF"/>
        </w:rPr>
        <w:t xml:space="preserve"> afforded to </w:t>
      </w:r>
      <w:r w:rsidRPr="007F175B">
        <w:rPr>
          <w:rFonts w:ascii="Arial" w:hAnsi="Arial" w:cs="Arial"/>
          <w:color w:val="7B7B7B" w:themeColor="accent3" w:themeShade="BF"/>
          <w:sz w:val="22"/>
          <w:szCs w:val="22"/>
          <w:shd w:val="clear" w:color="auto" w:fill="FFFFFF"/>
        </w:rPr>
        <w:t>a judicial manager</w:t>
      </w:r>
      <w:r>
        <w:rPr>
          <w:rFonts w:ascii="Arial" w:hAnsi="Arial" w:cs="Arial"/>
          <w:color w:val="7B7B7B" w:themeColor="accent3" w:themeShade="BF"/>
          <w:sz w:val="22"/>
          <w:szCs w:val="22"/>
          <w:shd w:val="clear" w:color="auto" w:fill="FFFFFF"/>
        </w:rPr>
        <w:t xml:space="preserve"> under Singapore law. Most notable are</w:t>
      </w:r>
      <w:r w:rsidRPr="007F175B">
        <w:rPr>
          <w:rFonts w:ascii="Arial" w:hAnsi="Arial" w:cs="Arial"/>
          <w:color w:val="7B7B7B" w:themeColor="accent3" w:themeShade="BF"/>
          <w:sz w:val="22"/>
          <w:szCs w:val="22"/>
          <w:shd w:val="clear" w:color="auto" w:fill="FFFFFF"/>
        </w:rPr>
        <w:t>:</w:t>
      </w:r>
    </w:p>
    <w:p w14:paraId="68D45D33" w14:textId="77777777" w:rsidR="00E81CC0" w:rsidRPr="007F175B" w:rsidRDefault="00E81CC0" w:rsidP="00E81CC0">
      <w:pPr>
        <w:pStyle w:val="ListParagraph"/>
        <w:numPr>
          <w:ilvl w:val="0"/>
          <w:numId w:val="29"/>
        </w:num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sell or dispose of or grant security over the company’s property;</w:t>
      </w:r>
    </w:p>
    <w:p w14:paraId="36086471" w14:textId="77777777" w:rsidR="00E81CC0" w:rsidRPr="007F175B" w:rsidRDefault="00E81CC0" w:rsidP="00E81CC0">
      <w:pPr>
        <w:pStyle w:val="ListParagraph"/>
        <w:numPr>
          <w:ilvl w:val="0"/>
          <w:numId w:val="29"/>
        </w:num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bring or defend any legal actions on behalf of the company;</w:t>
      </w:r>
    </w:p>
    <w:p w14:paraId="7B0200A3" w14:textId="77777777" w:rsidR="00E81CC0" w:rsidRPr="007F175B" w:rsidRDefault="00E81CC0" w:rsidP="00E81CC0">
      <w:pPr>
        <w:pStyle w:val="ListParagraph"/>
        <w:numPr>
          <w:ilvl w:val="0"/>
          <w:numId w:val="29"/>
        </w:num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borrow money and grant security over the property; and</w:t>
      </w:r>
    </w:p>
    <w:p w14:paraId="16DF7942" w14:textId="77777777" w:rsidR="00E81CC0" w:rsidRPr="007F175B" w:rsidRDefault="00E81CC0" w:rsidP="00E81CC0">
      <w:pPr>
        <w:pStyle w:val="ListParagraph"/>
        <w:numPr>
          <w:ilvl w:val="0"/>
          <w:numId w:val="29"/>
        </w:num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carry on the company’s business and appoint a qualified professional to assist with the performance of his functions.</w:t>
      </w:r>
    </w:p>
    <w:p w14:paraId="163B9F30" w14:textId="77777777" w:rsidR="00E81CC0" w:rsidRPr="007F175B" w:rsidRDefault="00E81CC0" w:rsidP="00E81CC0">
      <w:pPr>
        <w:jc w:val="both"/>
        <w:rPr>
          <w:rFonts w:ascii="Arial" w:hAnsi="Arial" w:cs="Arial"/>
          <w:color w:val="7B7B7B" w:themeColor="accent3" w:themeShade="BF"/>
          <w:sz w:val="22"/>
          <w:szCs w:val="22"/>
          <w:shd w:val="clear" w:color="auto" w:fill="FFFFFF"/>
        </w:rPr>
      </w:pPr>
    </w:p>
    <w:p w14:paraId="0856AF7C" w14:textId="77777777" w:rsidR="00E81CC0" w:rsidRPr="007F175B" w:rsidRDefault="00E81CC0" w:rsidP="00E81CC0">
      <w:p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Pursuant to section 144 of the IRDA, the powers of a liquidator include:</w:t>
      </w:r>
    </w:p>
    <w:p w14:paraId="0096E09F" w14:textId="77777777" w:rsidR="00E81CC0" w:rsidRPr="007F175B" w:rsidRDefault="00E81CC0" w:rsidP="00E81CC0">
      <w:pPr>
        <w:pStyle w:val="ListParagraph"/>
        <w:numPr>
          <w:ilvl w:val="0"/>
          <w:numId w:val="30"/>
        </w:numPr>
        <w:ind w:left="360"/>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carry on the business of the company so far as is necessary for the beneficial winding-up;</w:t>
      </w:r>
    </w:p>
    <w:p w14:paraId="3733EC8F" w14:textId="77777777" w:rsidR="00E81CC0" w:rsidRPr="007F175B" w:rsidRDefault="00E81CC0" w:rsidP="00E81CC0">
      <w:pPr>
        <w:pStyle w:val="ListParagraph"/>
        <w:numPr>
          <w:ilvl w:val="0"/>
          <w:numId w:val="30"/>
        </w:numPr>
        <w:ind w:left="360"/>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Recover and realise the company’s assets;</w:t>
      </w:r>
    </w:p>
    <w:p w14:paraId="5E06F7A6" w14:textId="77777777" w:rsidR="00E81CC0" w:rsidRPr="007F175B" w:rsidRDefault="00E81CC0" w:rsidP="00E81CC0">
      <w:pPr>
        <w:pStyle w:val="ListParagraph"/>
        <w:numPr>
          <w:ilvl w:val="0"/>
          <w:numId w:val="30"/>
        </w:numPr>
        <w:ind w:left="360"/>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The power to apply to court to nullify any unfair preference transactions;</w:t>
      </w:r>
    </w:p>
    <w:p w14:paraId="4C578E78" w14:textId="77777777" w:rsidR="00E81CC0" w:rsidRPr="007F175B" w:rsidRDefault="00E81CC0" w:rsidP="00E81CC0">
      <w:pPr>
        <w:pStyle w:val="ListParagraph"/>
        <w:numPr>
          <w:ilvl w:val="0"/>
          <w:numId w:val="30"/>
        </w:numPr>
        <w:ind w:left="360"/>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Adjudicate the claims of creditors;</w:t>
      </w:r>
    </w:p>
    <w:p w14:paraId="56017266" w14:textId="77777777" w:rsidR="00E81CC0" w:rsidRPr="007F175B" w:rsidRDefault="00E81CC0" w:rsidP="00E81CC0">
      <w:pPr>
        <w:pStyle w:val="ListParagraph"/>
        <w:ind w:left="360"/>
        <w:jc w:val="both"/>
        <w:rPr>
          <w:rFonts w:ascii="Arial" w:hAnsi="Arial" w:cs="Arial"/>
          <w:color w:val="7B7B7B" w:themeColor="accent3" w:themeShade="BF"/>
          <w:sz w:val="22"/>
          <w:szCs w:val="22"/>
          <w:shd w:val="clear" w:color="auto" w:fill="FFFFFF"/>
        </w:rPr>
      </w:pPr>
    </w:p>
    <w:p w14:paraId="108EA6F9" w14:textId="77777777" w:rsidR="00E81CC0" w:rsidRPr="00120275" w:rsidRDefault="00E81CC0" w:rsidP="00E81CC0">
      <w:pPr>
        <w:jc w:val="both"/>
        <w:rPr>
          <w:rFonts w:ascii="Arial" w:hAnsi="Arial" w:cs="Arial"/>
          <w:b/>
          <w:bCs/>
          <w:color w:val="7B7B7B" w:themeColor="accent3" w:themeShade="BF"/>
          <w:sz w:val="22"/>
          <w:szCs w:val="22"/>
          <w:shd w:val="clear" w:color="auto" w:fill="FFFFFF"/>
        </w:rPr>
      </w:pPr>
      <w:r w:rsidRPr="00120275">
        <w:rPr>
          <w:rFonts w:ascii="Arial" w:hAnsi="Arial" w:cs="Arial"/>
          <w:b/>
          <w:bCs/>
          <w:color w:val="7B7B7B" w:themeColor="accent3" w:themeShade="BF"/>
          <w:sz w:val="22"/>
          <w:szCs w:val="22"/>
          <w:shd w:val="clear" w:color="auto" w:fill="FFFFFF"/>
        </w:rPr>
        <w:t>Application for commencement:</w:t>
      </w:r>
    </w:p>
    <w:p w14:paraId="4BA851DC" w14:textId="77777777" w:rsidR="00E81CC0" w:rsidRPr="007F175B" w:rsidRDefault="00E81CC0" w:rsidP="00E81CC0">
      <w:pPr>
        <w:jc w:val="both"/>
        <w:rPr>
          <w:rFonts w:ascii="Arial" w:hAnsi="Arial" w:cs="Arial"/>
          <w:color w:val="7B7B7B" w:themeColor="accent3" w:themeShade="BF"/>
          <w:sz w:val="22"/>
          <w:szCs w:val="22"/>
          <w:shd w:val="clear" w:color="auto" w:fill="FFFFFF"/>
        </w:rPr>
      </w:pPr>
      <w:r w:rsidRPr="007F175B">
        <w:rPr>
          <w:rFonts w:ascii="Arial" w:hAnsi="Arial" w:cs="Arial"/>
          <w:color w:val="7B7B7B" w:themeColor="accent3" w:themeShade="BF"/>
          <w:sz w:val="22"/>
          <w:szCs w:val="22"/>
          <w:shd w:val="clear" w:color="auto" w:fill="FFFFFF"/>
        </w:rPr>
        <w:t xml:space="preserve">The application for a judicial management may be brought about by the company, its directors, or the creditors. A liquidation (in the case of a compulsory liquidation) may also be brought about by all of the above but the list of stakeholders in this case extends to shareholders, the liquidator, a judicial manager and various Ministers on certain grounds specified by law. </w:t>
      </w:r>
    </w:p>
    <w:p w14:paraId="13592FA1" w14:textId="77777777" w:rsidR="00E81CC0" w:rsidRPr="007F175B" w:rsidRDefault="00E81CC0" w:rsidP="00E81CC0">
      <w:pPr>
        <w:shd w:val="clear" w:color="auto" w:fill="FFFFFF"/>
        <w:jc w:val="both"/>
        <w:rPr>
          <w:rFonts w:ascii="Arial" w:hAnsi="Arial" w:cs="Arial"/>
          <w:color w:val="7B7B7B" w:themeColor="accent3" w:themeShade="BF"/>
          <w:sz w:val="22"/>
          <w:szCs w:val="22"/>
          <w:lang w:val="en-GB"/>
        </w:rPr>
      </w:pPr>
    </w:p>
    <w:p w14:paraId="5F84EAA2" w14:textId="77777777" w:rsidR="00E81CC0" w:rsidRPr="007F175B" w:rsidRDefault="00E81CC0" w:rsidP="00E81CC0">
      <w:pPr>
        <w:shd w:val="clear" w:color="auto" w:fill="FFFFFF"/>
        <w:jc w:val="both"/>
        <w:rPr>
          <w:rFonts w:ascii="Arial" w:hAnsi="Arial" w:cs="Arial"/>
          <w:color w:val="7B7B7B" w:themeColor="accent3" w:themeShade="BF"/>
          <w:sz w:val="22"/>
          <w:szCs w:val="22"/>
          <w:lang w:val="en-GB"/>
        </w:rPr>
      </w:pPr>
      <w:r w:rsidRPr="007F175B">
        <w:rPr>
          <w:rFonts w:ascii="Arial" w:hAnsi="Arial" w:cs="Arial"/>
          <w:color w:val="7B7B7B" w:themeColor="accent3" w:themeShade="BF"/>
          <w:sz w:val="22"/>
          <w:szCs w:val="22"/>
          <w:lang w:val="en-GB"/>
        </w:rPr>
        <w:t>In Singapore, the commencement of a liquidation can be brought about in two ways; either by way of a resolution of the company’s board of directors (voluntary liquidation) or by way of a court order in an involuntary liquidation (usually as a result of a petition by a judgement creditor of the company). In the case of a judicial management, section 94 of the IRDA allows a company to be put into judicial management without a court order and by way of a creditors’ resolution (judicial management by creditors’ resolution) or by court order (judicial management by order of the court).</w:t>
      </w:r>
    </w:p>
    <w:p w14:paraId="092A3D12" w14:textId="77777777" w:rsidR="00E81CC0" w:rsidRPr="007F175B" w:rsidRDefault="00E81CC0" w:rsidP="00E81CC0">
      <w:pPr>
        <w:shd w:val="clear" w:color="auto" w:fill="FFFFFF"/>
        <w:jc w:val="both"/>
        <w:rPr>
          <w:rFonts w:ascii="Arial" w:hAnsi="Arial" w:cs="Arial"/>
          <w:color w:val="7B7B7B" w:themeColor="accent3" w:themeShade="BF"/>
          <w:sz w:val="22"/>
          <w:szCs w:val="22"/>
          <w:lang w:val="en-GB"/>
        </w:rPr>
      </w:pPr>
    </w:p>
    <w:p w14:paraId="34758473" w14:textId="77777777" w:rsidR="00E81CC0" w:rsidRPr="00120275" w:rsidRDefault="00E81CC0" w:rsidP="00E81CC0">
      <w:pPr>
        <w:jc w:val="both"/>
        <w:rPr>
          <w:rFonts w:ascii="Arial" w:hAnsi="Arial" w:cs="Arial"/>
          <w:b/>
          <w:bCs/>
          <w:color w:val="7B7B7B" w:themeColor="accent3" w:themeShade="BF"/>
          <w:sz w:val="22"/>
          <w:szCs w:val="22"/>
          <w:lang w:val="en-GB"/>
        </w:rPr>
      </w:pPr>
      <w:r w:rsidRPr="00120275">
        <w:rPr>
          <w:rFonts w:ascii="Arial" w:hAnsi="Arial" w:cs="Arial"/>
          <w:b/>
          <w:bCs/>
          <w:color w:val="7B7B7B" w:themeColor="accent3" w:themeShade="BF"/>
          <w:sz w:val="22"/>
          <w:szCs w:val="22"/>
          <w:lang w:val="en-GB"/>
        </w:rPr>
        <w:t>Directors powers:</w:t>
      </w:r>
    </w:p>
    <w:p w14:paraId="1B67105D" w14:textId="77777777" w:rsidR="00E81CC0" w:rsidRPr="007F175B" w:rsidRDefault="00E81CC0" w:rsidP="00E81CC0">
      <w:pPr>
        <w:jc w:val="both"/>
        <w:rPr>
          <w:rFonts w:ascii="Arial" w:hAnsi="Arial" w:cs="Arial"/>
          <w:color w:val="7B7B7B" w:themeColor="accent3" w:themeShade="BF"/>
          <w:sz w:val="22"/>
          <w:szCs w:val="22"/>
          <w:lang w:val="en-GB"/>
        </w:rPr>
      </w:pPr>
      <w:r w:rsidRPr="007F175B">
        <w:rPr>
          <w:rFonts w:ascii="Arial" w:hAnsi="Arial" w:cs="Arial"/>
          <w:color w:val="7B7B7B" w:themeColor="accent3" w:themeShade="BF"/>
          <w:sz w:val="22"/>
          <w:szCs w:val="22"/>
          <w:lang w:val="en-GB"/>
        </w:rPr>
        <w:t>Upon the appointment of a judicial manager by the Court, the powers of the company’s directors cease</w:t>
      </w:r>
      <w:r>
        <w:rPr>
          <w:rFonts w:ascii="Arial" w:hAnsi="Arial" w:cs="Arial"/>
          <w:color w:val="7B7B7B" w:themeColor="accent3" w:themeShade="BF"/>
          <w:sz w:val="22"/>
          <w:szCs w:val="22"/>
          <w:lang w:val="en-GB"/>
        </w:rPr>
        <w:t>. While this is the same in a liquidation there are instances</w:t>
      </w:r>
      <w:r w:rsidRPr="007F17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where </w:t>
      </w:r>
      <w:r w:rsidRPr="007F175B">
        <w:rPr>
          <w:rFonts w:ascii="Arial" w:hAnsi="Arial" w:cs="Arial"/>
          <w:color w:val="7B7B7B" w:themeColor="accent3" w:themeShade="BF"/>
          <w:sz w:val="22"/>
          <w:szCs w:val="22"/>
          <w:lang w:val="en-GB"/>
        </w:rPr>
        <w:t xml:space="preserve">a liquidator may apply to the Court to appoint the directors as </w:t>
      </w:r>
      <w:r>
        <w:rPr>
          <w:rFonts w:ascii="Arial" w:hAnsi="Arial" w:cs="Arial"/>
          <w:color w:val="7B7B7B" w:themeColor="accent3" w:themeShade="BF"/>
          <w:sz w:val="22"/>
          <w:szCs w:val="22"/>
          <w:lang w:val="en-GB"/>
        </w:rPr>
        <w:t>‘</w:t>
      </w:r>
      <w:r w:rsidRPr="007F175B">
        <w:rPr>
          <w:rFonts w:ascii="Arial" w:hAnsi="Arial" w:cs="Arial"/>
          <w:color w:val="7B7B7B" w:themeColor="accent3" w:themeShade="BF"/>
          <w:sz w:val="22"/>
          <w:szCs w:val="22"/>
          <w:lang w:val="en-GB"/>
        </w:rPr>
        <w:t>special managers</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10"/>
      </w:r>
      <w:r w:rsidRPr="007F175B">
        <w:rPr>
          <w:rFonts w:ascii="Arial" w:hAnsi="Arial" w:cs="Arial"/>
          <w:color w:val="7B7B7B" w:themeColor="accent3" w:themeShade="BF"/>
          <w:sz w:val="22"/>
          <w:szCs w:val="22"/>
          <w:lang w:val="en-GB"/>
        </w:rPr>
        <w:t xml:space="preserve"> to assist, if the liquidator </w:t>
      </w:r>
      <w:r>
        <w:rPr>
          <w:rFonts w:ascii="Arial" w:hAnsi="Arial" w:cs="Arial"/>
          <w:color w:val="7B7B7B" w:themeColor="accent3" w:themeShade="BF"/>
          <w:sz w:val="22"/>
          <w:szCs w:val="22"/>
          <w:lang w:val="en-GB"/>
        </w:rPr>
        <w:t>finds it necessary and in the best interest of the estate</w:t>
      </w:r>
      <w:r w:rsidRPr="007F175B">
        <w:rPr>
          <w:rFonts w:ascii="Arial" w:hAnsi="Arial" w:cs="Arial"/>
          <w:color w:val="7B7B7B" w:themeColor="accent3" w:themeShade="BF"/>
          <w:sz w:val="22"/>
          <w:szCs w:val="22"/>
          <w:lang w:val="en-GB"/>
        </w:rPr>
        <w:t xml:space="preserve">. </w:t>
      </w:r>
    </w:p>
    <w:p w14:paraId="5BEB786E" w14:textId="77777777" w:rsidR="00E81CC0" w:rsidRPr="007F175B" w:rsidRDefault="00E81CC0" w:rsidP="00E81CC0">
      <w:pPr>
        <w:jc w:val="both"/>
        <w:rPr>
          <w:rFonts w:ascii="Arial" w:hAnsi="Arial" w:cs="Arial"/>
          <w:color w:val="7B7B7B" w:themeColor="accent3" w:themeShade="BF"/>
          <w:sz w:val="22"/>
          <w:szCs w:val="22"/>
          <w:lang w:val="en-GB"/>
        </w:rPr>
      </w:pPr>
    </w:p>
    <w:p w14:paraId="7377FA16" w14:textId="77777777" w:rsidR="00E81CC0" w:rsidRPr="00425BA4" w:rsidRDefault="00E81CC0" w:rsidP="00E81CC0">
      <w:pPr>
        <w:jc w:val="both"/>
        <w:rPr>
          <w:rFonts w:ascii="Arial" w:hAnsi="Arial" w:cs="Arial"/>
          <w:b/>
          <w:bCs/>
          <w:color w:val="7B7B7B" w:themeColor="accent3" w:themeShade="BF"/>
          <w:sz w:val="22"/>
          <w:szCs w:val="22"/>
          <w:lang w:val="en-GB"/>
        </w:rPr>
      </w:pPr>
      <w:r w:rsidRPr="00425BA4">
        <w:rPr>
          <w:rFonts w:ascii="Arial" w:hAnsi="Arial" w:cs="Arial"/>
          <w:b/>
          <w:bCs/>
          <w:color w:val="7B7B7B" w:themeColor="accent3" w:themeShade="BF"/>
          <w:sz w:val="22"/>
          <w:szCs w:val="22"/>
          <w:lang w:val="en-GB"/>
        </w:rPr>
        <w:t>Conversion of the proceeding:</w:t>
      </w:r>
    </w:p>
    <w:p w14:paraId="390FDD25" w14:textId="5CC20DEF" w:rsidR="00DF75F8" w:rsidRPr="002A37BB" w:rsidRDefault="00E81CC0" w:rsidP="00E81CC0">
      <w:pPr>
        <w:jc w:val="both"/>
        <w:rPr>
          <w:rFonts w:ascii="Arial" w:hAnsi="Arial" w:cs="Arial"/>
          <w:sz w:val="22"/>
          <w:szCs w:val="22"/>
          <w:lang w:val="en-GB"/>
        </w:rPr>
      </w:pPr>
      <w:r>
        <w:rPr>
          <w:rFonts w:ascii="Arial" w:hAnsi="Arial" w:cs="Arial"/>
          <w:color w:val="7B7B7B" w:themeColor="accent3" w:themeShade="BF"/>
          <w:sz w:val="22"/>
          <w:szCs w:val="22"/>
          <w:lang w:val="en-GB"/>
        </w:rPr>
        <w:t>I</w:t>
      </w:r>
      <w:r w:rsidRPr="007F175B">
        <w:rPr>
          <w:rFonts w:ascii="Arial" w:hAnsi="Arial" w:cs="Arial"/>
          <w:color w:val="7B7B7B" w:themeColor="accent3" w:themeShade="BF"/>
          <w:sz w:val="22"/>
          <w:szCs w:val="22"/>
          <w:lang w:val="en-GB"/>
        </w:rPr>
        <w:t>f the judicial manager determines that the purposes specified in the judicial</w:t>
      </w:r>
      <w:r>
        <w:rPr>
          <w:rFonts w:ascii="Arial" w:hAnsi="Arial" w:cs="Arial"/>
          <w:color w:val="7B7B7B" w:themeColor="accent3" w:themeShade="BF"/>
          <w:sz w:val="22"/>
          <w:szCs w:val="22"/>
          <w:lang w:val="en-GB"/>
        </w:rPr>
        <w:t xml:space="preserve"> </w:t>
      </w:r>
      <w:r w:rsidRPr="007F175B">
        <w:rPr>
          <w:rFonts w:ascii="Arial" w:hAnsi="Arial" w:cs="Arial"/>
          <w:color w:val="7B7B7B" w:themeColor="accent3" w:themeShade="BF"/>
          <w:sz w:val="22"/>
          <w:szCs w:val="22"/>
          <w:lang w:val="en-GB"/>
        </w:rPr>
        <w:t xml:space="preserve">management order is unachievable, the judicial manager may apply to the court on these terms and the court has the discretion to order that the company be placed into liquidation. </w:t>
      </w:r>
      <w:r>
        <w:rPr>
          <w:rFonts w:ascii="Arial" w:hAnsi="Arial" w:cs="Arial"/>
          <w:color w:val="7B7B7B" w:themeColor="accent3" w:themeShade="BF"/>
          <w:sz w:val="22"/>
          <w:szCs w:val="22"/>
          <w:lang w:val="en-GB"/>
        </w:rPr>
        <w:t>Although t</w:t>
      </w:r>
      <w:r w:rsidRPr="007F175B">
        <w:rPr>
          <w:rFonts w:ascii="Arial" w:hAnsi="Arial" w:cs="Arial"/>
          <w:color w:val="7B7B7B" w:themeColor="accent3" w:themeShade="BF"/>
          <w:sz w:val="22"/>
          <w:szCs w:val="22"/>
          <w:lang w:val="en-GB"/>
        </w:rPr>
        <w:t>here is no specific procedure to convert a liquidation to any form of corporate rescue</w:t>
      </w:r>
      <w:r>
        <w:rPr>
          <w:rFonts w:ascii="Arial" w:hAnsi="Arial" w:cs="Arial"/>
          <w:color w:val="7B7B7B" w:themeColor="accent3" w:themeShade="BF"/>
          <w:sz w:val="22"/>
          <w:szCs w:val="22"/>
          <w:lang w:val="en-GB"/>
        </w:rPr>
        <w:t>,</w:t>
      </w:r>
      <w:r w:rsidRPr="007F17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there are </w:t>
      </w:r>
      <w:r w:rsidRPr="007F175B">
        <w:rPr>
          <w:rFonts w:ascii="Arial" w:hAnsi="Arial" w:cs="Arial"/>
          <w:color w:val="7B7B7B" w:themeColor="accent3" w:themeShade="BF"/>
          <w:sz w:val="22"/>
          <w:szCs w:val="22"/>
          <w:lang w:val="en-GB"/>
        </w:rPr>
        <w:t xml:space="preserve">certain </w:t>
      </w:r>
      <w:r w:rsidRPr="007F175B">
        <w:rPr>
          <w:rFonts w:ascii="Arial" w:hAnsi="Arial" w:cs="Arial"/>
          <w:color w:val="7B7B7B" w:themeColor="accent3" w:themeShade="BF"/>
          <w:sz w:val="22"/>
          <w:szCs w:val="22"/>
          <w:lang w:val="en-GB"/>
        </w:rPr>
        <w:lastRenderedPageBreak/>
        <w:t>circumstances</w:t>
      </w:r>
      <w:r>
        <w:rPr>
          <w:rFonts w:ascii="Arial" w:hAnsi="Arial" w:cs="Arial"/>
          <w:color w:val="7B7B7B" w:themeColor="accent3" w:themeShade="BF"/>
          <w:sz w:val="22"/>
          <w:szCs w:val="22"/>
          <w:lang w:val="en-GB"/>
        </w:rPr>
        <w:t xml:space="preserve"> where</w:t>
      </w:r>
      <w:r w:rsidRPr="007F175B">
        <w:rPr>
          <w:rFonts w:ascii="Arial" w:hAnsi="Arial" w:cs="Arial"/>
          <w:color w:val="7B7B7B" w:themeColor="accent3" w:themeShade="BF"/>
          <w:sz w:val="22"/>
          <w:szCs w:val="22"/>
          <w:lang w:val="en-GB"/>
        </w:rPr>
        <w:t xml:space="preserve"> the liquidator may apply to court to convene meetings to consider a scheme of arrangement.</w:t>
      </w:r>
      <w:bookmarkEnd w:id="0"/>
      <w:r w:rsidR="0007291B" w:rsidRPr="002A37BB">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1"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2497A7AB" w14:textId="4C193D77" w:rsidR="00E81CC0" w:rsidRDefault="00E81CC0" w:rsidP="00E81CC0">
      <w:pPr>
        <w:jc w:val="both"/>
        <w:rPr>
          <w:rFonts w:ascii="Arial" w:hAnsi="Arial" w:cs="Arial"/>
          <w:b/>
          <w:bCs/>
          <w:color w:val="7B7B7B" w:themeColor="accent3" w:themeShade="BF"/>
          <w:sz w:val="22"/>
          <w:szCs w:val="22"/>
          <w:lang w:val="en-GB"/>
        </w:rPr>
      </w:pPr>
      <w:r w:rsidRPr="008021E9">
        <w:rPr>
          <w:rFonts w:ascii="Arial" w:hAnsi="Arial" w:cs="Arial"/>
          <w:b/>
          <w:bCs/>
          <w:color w:val="7B7B7B" w:themeColor="accent3" w:themeShade="BF"/>
          <w:sz w:val="22"/>
          <w:szCs w:val="22"/>
          <w:lang w:val="en-GB"/>
        </w:rPr>
        <w:t>Confirmation of the purpose of judicial management proceedings and what must be presented to the court in order to obtain a judicial management order</w:t>
      </w:r>
      <w:r>
        <w:rPr>
          <w:rFonts w:ascii="Arial" w:hAnsi="Arial" w:cs="Arial"/>
          <w:b/>
          <w:bCs/>
          <w:color w:val="7B7B7B" w:themeColor="accent3" w:themeShade="BF"/>
          <w:sz w:val="22"/>
          <w:szCs w:val="22"/>
          <w:lang w:val="en-GB"/>
        </w:rPr>
        <w:t>:</w:t>
      </w:r>
    </w:p>
    <w:p w14:paraId="69081C44" w14:textId="77777777" w:rsidR="00E81CC0" w:rsidRDefault="00E81CC0" w:rsidP="00E81C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731520A" w14:textId="192C1B1F" w:rsidR="00E81CC0" w:rsidRPr="00BA1B8D" w:rsidRDefault="00E81CC0" w:rsidP="00E81CC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Pr="00BA1B8D">
        <w:rPr>
          <w:rFonts w:ascii="Arial" w:hAnsi="Arial" w:cs="Arial"/>
          <w:color w:val="7B7B7B" w:themeColor="accent3" w:themeShade="BF"/>
          <w:sz w:val="22"/>
          <w:szCs w:val="22"/>
        </w:rPr>
        <w:t xml:space="preserve">PEC has debt of more than SGD 2billion and all indicators confirm that it is likely, the company is experiencing financial distress because it is unable to pays its debts as they fall due. The company has not declared insolvency, but the company has requested from its lenders, waivers on certain terms and further time to repay certain owing amounts. </w:t>
      </w:r>
    </w:p>
    <w:p w14:paraId="3A2534B5" w14:textId="77777777" w:rsidR="00E81CC0" w:rsidRDefault="00E81CC0" w:rsidP="00E81CC0">
      <w:pPr>
        <w:jc w:val="both"/>
        <w:rPr>
          <w:rFonts w:ascii="Arial" w:hAnsi="Arial" w:cs="Arial"/>
          <w:color w:val="7B7B7B" w:themeColor="accent3" w:themeShade="BF"/>
          <w:sz w:val="22"/>
          <w:szCs w:val="22"/>
        </w:rPr>
      </w:pPr>
    </w:p>
    <w:p w14:paraId="4063CCF6" w14:textId="77777777" w:rsidR="00E81CC0" w:rsidRPr="00BA1B8D" w:rsidRDefault="00E81CC0" w:rsidP="00E81CC0">
      <w:pPr>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The nature of PEC’s business is lucrative and is ‘of strategic importance’ to the economy of Singapore. On this premise, a feasible plan for reorganization offers reasonable probability of rehabilitating the company to a stable financial position. Therefore, the survival of the business as a going concern is in the best interest of the company and its creditors.</w:t>
      </w:r>
    </w:p>
    <w:p w14:paraId="4FBABE9A" w14:textId="77777777" w:rsidR="00E81CC0" w:rsidRPr="00BA1B8D" w:rsidRDefault="00E81CC0" w:rsidP="00E81CC0">
      <w:pPr>
        <w:jc w:val="both"/>
        <w:rPr>
          <w:rFonts w:ascii="Arial" w:hAnsi="Arial" w:cs="Arial"/>
          <w:color w:val="7B7B7B" w:themeColor="accent3" w:themeShade="BF"/>
          <w:sz w:val="22"/>
          <w:szCs w:val="22"/>
        </w:rPr>
      </w:pPr>
    </w:p>
    <w:p w14:paraId="4A2EED7D" w14:textId="77777777" w:rsidR="00E81CC0" w:rsidRPr="00BA1B8D" w:rsidRDefault="00E81CC0" w:rsidP="00E81CC0">
      <w:pPr>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Although PEC was incorporated in the Cayman Islands and its subsidiaries are incorporated in Singapore- it is eligible to be wound up under section 90 of the IRDA and therefore eligible as a foreign company to whom corporate rescue provisions apply. Among other factors, PEC has satisfied the requirement of a ‘substantial connection’ with Singapore by carrying on business in Singapore, having a place of business in Singapore and having substantial assets located in Singapore.</w:t>
      </w:r>
    </w:p>
    <w:p w14:paraId="0559C28F" w14:textId="77777777" w:rsidR="00E81CC0" w:rsidRPr="00BA1B8D" w:rsidRDefault="00E81CC0" w:rsidP="00E81CC0">
      <w:pPr>
        <w:jc w:val="both"/>
        <w:rPr>
          <w:rFonts w:ascii="Arial" w:hAnsi="Arial" w:cs="Arial"/>
          <w:color w:val="7B7B7B" w:themeColor="accent3" w:themeShade="BF"/>
          <w:sz w:val="22"/>
          <w:szCs w:val="22"/>
        </w:rPr>
      </w:pPr>
    </w:p>
    <w:p w14:paraId="5F899BDF" w14:textId="77777777" w:rsidR="00E81CC0" w:rsidRPr="00BA1B8D" w:rsidRDefault="00E81CC0" w:rsidP="00E81CC0">
      <w:pPr>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The IRDA allows companies to seek judicial management by way of a creditors’ resolution. The creditors have elected to place PEC in judicial management, by way of a creditors’ resolution and this can be done if the majority of creditors in number and value present and voting at a creditors’ meeting to consider a resolution to place PEC under judicial management is approved.]</w:t>
      </w:r>
    </w:p>
    <w:p w14:paraId="3D2DB57E" w14:textId="77777777" w:rsidR="00E81CC0" w:rsidRPr="00BA1B8D" w:rsidRDefault="00E81CC0" w:rsidP="00E81CC0">
      <w:pPr>
        <w:jc w:val="both"/>
        <w:rPr>
          <w:rFonts w:ascii="Arial" w:hAnsi="Arial" w:cs="Arial"/>
          <w:color w:val="7B7B7B" w:themeColor="accent3" w:themeShade="BF"/>
          <w:sz w:val="22"/>
          <w:szCs w:val="22"/>
        </w:rPr>
      </w:pPr>
    </w:p>
    <w:p w14:paraId="1D9889CD" w14:textId="77777777" w:rsidR="00E81CC0" w:rsidRPr="00BA1B8D" w:rsidRDefault="00E81CC0" w:rsidP="00E81CC0">
      <w:pPr>
        <w:rPr>
          <w:b/>
          <w:bCs/>
          <w:color w:val="7B7B7B" w:themeColor="accent3" w:themeShade="BF"/>
          <w:sz w:val="22"/>
          <w:szCs w:val="22"/>
        </w:rPr>
      </w:pPr>
      <w:r w:rsidRPr="00BA1B8D">
        <w:rPr>
          <w:rFonts w:ascii="Arial" w:hAnsi="Arial" w:cs="Arial"/>
          <w:b/>
          <w:bCs/>
          <w:color w:val="7B7B7B" w:themeColor="accent3" w:themeShade="BF"/>
          <w:sz w:val="22"/>
          <w:szCs w:val="22"/>
          <w:lang w:val="en-GB"/>
        </w:rPr>
        <w:t>Assuming that PEC is placed under judicial management, what requirements must be satisfied in order for PEC to be able to access rescue financing under the IRDA?</w:t>
      </w:r>
    </w:p>
    <w:p w14:paraId="7FEB4DF1" w14:textId="77777777" w:rsidR="00E81CC0" w:rsidRPr="00BA1B8D" w:rsidRDefault="00E81CC0" w:rsidP="00E81CC0">
      <w:pPr>
        <w:jc w:val="both"/>
        <w:rPr>
          <w:rFonts w:ascii="Arial" w:hAnsi="Arial" w:cs="Arial"/>
          <w:color w:val="7B7B7B" w:themeColor="accent3" w:themeShade="BF"/>
          <w:sz w:val="22"/>
          <w:szCs w:val="22"/>
          <w:lang w:val="en-GB"/>
        </w:rPr>
      </w:pPr>
    </w:p>
    <w:p w14:paraId="011A19E7" w14:textId="77777777" w:rsidR="00E81CC0" w:rsidRPr="00BA1B8D" w:rsidRDefault="00E81CC0" w:rsidP="00E81CC0">
      <w:pPr>
        <w:jc w:val="both"/>
        <w:rPr>
          <w:rFonts w:ascii="Arial" w:hAnsi="Arial" w:cs="Arial"/>
          <w:color w:val="7B7B7B" w:themeColor="accent3" w:themeShade="BF"/>
          <w:sz w:val="22"/>
          <w:szCs w:val="22"/>
          <w:lang w:val="en-GB"/>
        </w:rPr>
      </w:pPr>
      <w:r w:rsidRPr="00BA1B8D">
        <w:rPr>
          <w:rFonts w:ascii="Arial" w:hAnsi="Arial" w:cs="Arial"/>
          <w:color w:val="7B7B7B" w:themeColor="accent3" w:themeShade="BF"/>
          <w:sz w:val="22"/>
          <w:szCs w:val="22"/>
          <w:lang w:val="en-GB"/>
        </w:rPr>
        <w:t>[Section 67 of the IRDA (Super priority for rescue financing), outlines the provisions for a company under judicial management to obtain post-commencement financing.</w:t>
      </w:r>
    </w:p>
    <w:p w14:paraId="6160766D" w14:textId="77777777" w:rsidR="00E81CC0" w:rsidRPr="00BA1B8D" w:rsidRDefault="00E81CC0" w:rsidP="00E81CC0">
      <w:pPr>
        <w:rPr>
          <w:color w:val="7B7B7B" w:themeColor="accent3" w:themeShade="BF"/>
          <w:sz w:val="22"/>
          <w:szCs w:val="22"/>
        </w:rPr>
      </w:pPr>
    </w:p>
    <w:p w14:paraId="4CAC26B0"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Super priority may be granted by the court upon the application of the company if it can establish that:</w:t>
      </w:r>
    </w:p>
    <w:p w14:paraId="0355133F" w14:textId="77777777" w:rsidR="00E81CC0" w:rsidRPr="00BA1B8D" w:rsidRDefault="00E81CC0" w:rsidP="00E81CC0">
      <w:pPr>
        <w:pStyle w:val="ListParagraph"/>
        <w:numPr>
          <w:ilvl w:val="1"/>
          <w:numId w:val="31"/>
        </w:numPr>
        <w:autoSpaceDE w:val="0"/>
        <w:autoSpaceDN w:val="0"/>
        <w:adjustRightInd w:val="0"/>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 xml:space="preserve">reasonable efforts were made to secure rescue financing without super priority and the person would not provide the financing without it; </w:t>
      </w:r>
    </w:p>
    <w:p w14:paraId="71CFFB2D" w14:textId="77777777" w:rsidR="00E81CC0" w:rsidRPr="00BA1B8D" w:rsidRDefault="00E81CC0" w:rsidP="00E81CC0">
      <w:pPr>
        <w:pStyle w:val="ListParagraph"/>
        <w:numPr>
          <w:ilvl w:val="1"/>
          <w:numId w:val="31"/>
        </w:numPr>
        <w:autoSpaceDE w:val="0"/>
        <w:autoSpaceDN w:val="0"/>
        <w:adjustRightInd w:val="0"/>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lastRenderedPageBreak/>
        <w:t>there is adequate protection for the interests of the holder of the existing security in the event that security is “primed”, i.e. where the rescue financing is secured by security over already secured property of the company; and</w:t>
      </w:r>
    </w:p>
    <w:p w14:paraId="52E3DC65" w14:textId="77777777" w:rsidR="00E81CC0" w:rsidRPr="00BA1B8D" w:rsidRDefault="00E81CC0" w:rsidP="00E81CC0">
      <w:pPr>
        <w:pStyle w:val="ListParagraph"/>
        <w:numPr>
          <w:ilvl w:val="1"/>
          <w:numId w:val="31"/>
        </w:numPr>
        <w:autoSpaceDE w:val="0"/>
        <w:autoSpaceDN w:val="0"/>
        <w:adjustRightInd w:val="0"/>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the financing constitutes “rescue financing”</w:t>
      </w:r>
      <w:r w:rsidRPr="00BA1B8D">
        <w:rPr>
          <w:rStyle w:val="FootnoteReference"/>
          <w:rFonts w:ascii="Arial" w:hAnsi="Arial" w:cs="Arial"/>
          <w:color w:val="7B7B7B" w:themeColor="accent3" w:themeShade="BF"/>
          <w:sz w:val="22"/>
          <w:szCs w:val="22"/>
          <w:lang w:val="en-GB"/>
        </w:rPr>
        <w:t xml:space="preserve"> </w:t>
      </w:r>
      <w:r w:rsidRPr="00BA1B8D">
        <w:rPr>
          <w:rStyle w:val="FootnoteReference"/>
          <w:rFonts w:ascii="Arial" w:hAnsi="Arial" w:cs="Arial"/>
          <w:color w:val="7B7B7B" w:themeColor="accent3" w:themeShade="BF"/>
          <w:sz w:val="22"/>
          <w:szCs w:val="22"/>
          <w:lang w:val="en-GB"/>
        </w:rPr>
        <w:footnoteReference w:id="11"/>
      </w:r>
      <w:r w:rsidRPr="00BA1B8D">
        <w:rPr>
          <w:rFonts w:ascii="Arial" w:hAnsi="Arial" w:cs="Arial"/>
          <w:color w:val="7B7B7B" w:themeColor="accent3" w:themeShade="BF"/>
          <w:sz w:val="22"/>
          <w:szCs w:val="22"/>
        </w:rPr>
        <w:t>.</w:t>
      </w:r>
    </w:p>
    <w:p w14:paraId="0A8AE097" w14:textId="77777777" w:rsidR="00E81CC0" w:rsidRPr="00BA1B8D" w:rsidRDefault="00E81CC0" w:rsidP="00E81CC0">
      <w:pPr>
        <w:rPr>
          <w:color w:val="7B7B7B" w:themeColor="accent3" w:themeShade="BF"/>
          <w:sz w:val="22"/>
          <w:szCs w:val="22"/>
        </w:rPr>
      </w:pPr>
    </w:p>
    <w:p w14:paraId="0CD6C8CA" w14:textId="77777777" w:rsidR="00E81CC0" w:rsidRPr="00BA1B8D" w:rsidRDefault="00E81CC0" w:rsidP="00E81CC0">
      <w:pPr>
        <w:jc w:val="both"/>
        <w:rPr>
          <w:rFonts w:ascii="Arial" w:hAnsi="Arial" w:cs="Arial"/>
          <w:color w:val="7B7B7B" w:themeColor="accent3" w:themeShade="BF"/>
          <w:sz w:val="22"/>
          <w:szCs w:val="22"/>
          <w:lang w:val="en-GB"/>
        </w:rPr>
      </w:pPr>
      <w:r w:rsidRPr="00BA1B8D">
        <w:rPr>
          <w:rFonts w:ascii="Arial" w:hAnsi="Arial" w:cs="Arial"/>
          <w:color w:val="7B7B7B" w:themeColor="accent3" w:themeShade="BF"/>
          <w:sz w:val="22"/>
          <w:szCs w:val="22"/>
          <w:lang w:val="en-GB"/>
        </w:rPr>
        <w:t>Rescue financing is critical for PEC on the basis</w:t>
      </w:r>
      <w:bookmarkStart w:id="2" w:name="_Hlk78178751"/>
      <w:r w:rsidRPr="00BA1B8D">
        <w:rPr>
          <w:rStyle w:val="FootnoteReference"/>
          <w:rFonts w:ascii="Arial" w:hAnsi="Arial" w:cs="Arial"/>
          <w:color w:val="7B7B7B" w:themeColor="accent3" w:themeShade="BF"/>
          <w:sz w:val="22"/>
          <w:szCs w:val="22"/>
          <w:lang w:val="en-GB"/>
        </w:rPr>
        <w:footnoteReference w:id="12"/>
      </w:r>
      <w:bookmarkEnd w:id="2"/>
      <w:r w:rsidRPr="00BA1B8D">
        <w:rPr>
          <w:rFonts w:ascii="Arial" w:hAnsi="Arial" w:cs="Arial"/>
          <w:color w:val="7B7B7B" w:themeColor="accent3" w:themeShade="BF"/>
          <w:sz w:val="22"/>
          <w:szCs w:val="22"/>
          <w:lang w:val="en-GB"/>
        </w:rPr>
        <w:t xml:space="preserve"> that:</w:t>
      </w:r>
    </w:p>
    <w:p w14:paraId="26E1AF3F" w14:textId="77777777" w:rsidR="00E81CC0" w:rsidRPr="00BA1B8D" w:rsidRDefault="00E81CC0" w:rsidP="00E81CC0">
      <w:pPr>
        <w:pStyle w:val="ListParagraph"/>
        <w:numPr>
          <w:ilvl w:val="0"/>
          <w:numId w:val="32"/>
        </w:numPr>
        <w:jc w:val="both"/>
        <w:rPr>
          <w:rFonts w:ascii="Arial" w:hAnsi="Arial" w:cs="Arial"/>
          <w:color w:val="7B7B7B" w:themeColor="accent3" w:themeShade="BF"/>
          <w:sz w:val="22"/>
          <w:szCs w:val="22"/>
          <w:lang w:val="en-GB"/>
        </w:rPr>
      </w:pPr>
      <w:r w:rsidRPr="00BA1B8D">
        <w:rPr>
          <w:rFonts w:ascii="Arial" w:hAnsi="Arial" w:cs="Arial"/>
          <w:color w:val="7B7B7B" w:themeColor="accent3" w:themeShade="BF"/>
          <w:sz w:val="22"/>
          <w:szCs w:val="22"/>
          <w:lang w:val="en-GB"/>
        </w:rPr>
        <w:t>It is necessary for the survival of PEC; and</w:t>
      </w:r>
    </w:p>
    <w:p w14:paraId="3B0CD0C4" w14:textId="77777777" w:rsidR="00E81CC0" w:rsidRPr="00BA1B8D" w:rsidRDefault="00E81CC0" w:rsidP="00E81CC0">
      <w:pPr>
        <w:pStyle w:val="ListParagraph"/>
        <w:numPr>
          <w:ilvl w:val="0"/>
          <w:numId w:val="32"/>
        </w:numPr>
        <w:jc w:val="both"/>
        <w:rPr>
          <w:rFonts w:ascii="Arial" w:hAnsi="Arial" w:cs="Arial"/>
          <w:sz w:val="22"/>
          <w:szCs w:val="22"/>
          <w:lang w:val="en-GB"/>
        </w:rPr>
      </w:pPr>
      <w:r w:rsidRPr="00BA1B8D">
        <w:rPr>
          <w:rFonts w:ascii="Arial" w:hAnsi="Arial" w:cs="Arial"/>
          <w:color w:val="7B7B7B" w:themeColor="accent3" w:themeShade="BF"/>
          <w:sz w:val="22"/>
          <w:szCs w:val="22"/>
          <w:lang w:val="en-GB"/>
        </w:rPr>
        <w:t>Since the company is under judicial management, it is necessary to achieve a more advantageous realisation of assets of PEC as opposed to the winding-up of that debtor.]</w:t>
      </w:r>
    </w:p>
    <w:p w14:paraId="75B1B09D" w14:textId="77777777" w:rsidR="00E81CC0" w:rsidRPr="00BA1B8D" w:rsidRDefault="00E81CC0" w:rsidP="00E81CC0">
      <w:pPr>
        <w:jc w:val="both"/>
        <w:rPr>
          <w:rFonts w:ascii="Arial" w:hAnsi="Arial" w:cs="Arial"/>
          <w:sz w:val="22"/>
          <w:szCs w:val="22"/>
          <w:lang w:val="en-GB"/>
        </w:rPr>
      </w:pPr>
    </w:p>
    <w:p w14:paraId="3CD166D4" w14:textId="77777777" w:rsidR="00E81CC0" w:rsidRPr="00BA1B8D" w:rsidRDefault="00E81CC0" w:rsidP="00E81CC0">
      <w:pPr>
        <w:jc w:val="both"/>
        <w:rPr>
          <w:rFonts w:ascii="Arial" w:hAnsi="Arial" w:cs="Arial"/>
          <w:b/>
          <w:bCs/>
          <w:color w:val="7B7B7B" w:themeColor="accent3" w:themeShade="BF"/>
          <w:sz w:val="22"/>
          <w:szCs w:val="22"/>
          <w:lang w:val="en-GB"/>
        </w:rPr>
      </w:pPr>
      <w:r w:rsidRPr="00BA1B8D">
        <w:rPr>
          <w:rFonts w:ascii="Arial" w:hAnsi="Arial" w:cs="Arial"/>
          <w:b/>
          <w:bCs/>
          <w:color w:val="7B7B7B" w:themeColor="accent3" w:themeShade="BF"/>
          <w:sz w:val="22"/>
          <w:szCs w:val="22"/>
          <w:lang w:val="en-GB"/>
        </w:rPr>
        <w:t>What are the steps that need to be taken in order to place PEC’s subsidiaries under judicial management out of court?</w:t>
      </w:r>
    </w:p>
    <w:p w14:paraId="4862AD27" w14:textId="77777777" w:rsidR="00E81CC0" w:rsidRPr="00BA1B8D" w:rsidRDefault="00E81CC0" w:rsidP="00E81CC0">
      <w:pPr>
        <w:jc w:val="both"/>
        <w:rPr>
          <w:rFonts w:ascii="Arial" w:hAnsi="Arial" w:cs="Arial"/>
          <w:color w:val="7B7B7B" w:themeColor="accent3" w:themeShade="BF"/>
          <w:sz w:val="22"/>
          <w:szCs w:val="22"/>
          <w:lang w:val="en-GB"/>
        </w:rPr>
      </w:pPr>
    </w:p>
    <w:p w14:paraId="0C999EB7" w14:textId="77777777" w:rsidR="00E81CC0" w:rsidRDefault="00E81CC0" w:rsidP="00E81CC0">
      <w:pPr>
        <w:jc w:val="both"/>
        <w:rPr>
          <w:rFonts w:ascii="Arial" w:hAnsi="Arial" w:cs="Arial"/>
          <w:color w:val="7B7B7B" w:themeColor="accent3" w:themeShade="BF"/>
          <w:sz w:val="22"/>
          <w:szCs w:val="22"/>
          <w:lang w:val="en-GB"/>
        </w:rPr>
      </w:pPr>
      <w:r w:rsidRPr="00BA1B8D">
        <w:rPr>
          <w:rFonts w:ascii="Arial" w:hAnsi="Arial" w:cs="Arial"/>
          <w:color w:val="7B7B7B" w:themeColor="accent3" w:themeShade="BF"/>
          <w:sz w:val="22"/>
          <w:szCs w:val="22"/>
          <w:lang w:val="en-GB"/>
        </w:rPr>
        <w:t>[Foreign debtors may apply for judicial management if the debtor has a “substantial connection”</w:t>
      </w:r>
      <w:r>
        <w:rPr>
          <w:rStyle w:val="FootnoteReference"/>
          <w:rFonts w:ascii="Arial" w:hAnsi="Arial" w:cs="Arial"/>
          <w:color w:val="7B7B7B" w:themeColor="accent3" w:themeShade="BF"/>
          <w:sz w:val="22"/>
          <w:szCs w:val="22"/>
          <w:lang w:val="en-GB"/>
        </w:rPr>
        <w:footnoteReference w:id="13"/>
      </w:r>
      <w:r w:rsidRPr="00BA1B8D">
        <w:rPr>
          <w:rFonts w:ascii="Arial" w:hAnsi="Arial" w:cs="Arial"/>
          <w:color w:val="7B7B7B" w:themeColor="accent3" w:themeShade="BF"/>
          <w:sz w:val="22"/>
          <w:szCs w:val="22"/>
          <w:lang w:val="en-GB"/>
        </w:rPr>
        <w:t xml:space="preserve"> with Singapore and it has already been established that this is the case with PEC. </w:t>
      </w:r>
    </w:p>
    <w:p w14:paraId="7C6A9B62" w14:textId="77777777" w:rsidR="00E81CC0" w:rsidRDefault="00E81CC0" w:rsidP="00E81CC0">
      <w:pPr>
        <w:jc w:val="both"/>
        <w:rPr>
          <w:rFonts w:ascii="Arial" w:hAnsi="Arial" w:cs="Arial"/>
          <w:color w:val="7B7B7B" w:themeColor="accent3" w:themeShade="BF"/>
          <w:sz w:val="22"/>
          <w:szCs w:val="22"/>
          <w:lang w:val="en-GB"/>
        </w:rPr>
      </w:pPr>
    </w:p>
    <w:p w14:paraId="20D7F4B1" w14:textId="77777777" w:rsidR="00E81CC0" w:rsidRPr="00BA1B8D" w:rsidRDefault="00E81CC0" w:rsidP="00E81C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94 (Judicial management by resolution of creditors) of t</w:t>
      </w:r>
      <w:r w:rsidRPr="00BA1B8D">
        <w:rPr>
          <w:rFonts w:ascii="Arial" w:hAnsi="Arial" w:cs="Arial"/>
          <w:color w:val="7B7B7B" w:themeColor="accent3" w:themeShade="BF"/>
          <w:sz w:val="22"/>
          <w:szCs w:val="22"/>
          <w:lang w:val="en-GB"/>
        </w:rPr>
        <w:t>he IRDA also allows companies to seek judicial management by way of a creditors’ resolution instead of applying to the Court for a judicial management order.</w:t>
      </w:r>
    </w:p>
    <w:p w14:paraId="17D2E7F8" w14:textId="77777777" w:rsidR="00E81CC0" w:rsidRPr="00BA1B8D" w:rsidRDefault="00E81CC0" w:rsidP="00E81CC0">
      <w:pPr>
        <w:jc w:val="both"/>
        <w:rPr>
          <w:rFonts w:ascii="Arial" w:hAnsi="Arial" w:cs="Arial"/>
          <w:color w:val="7B7B7B" w:themeColor="accent3" w:themeShade="BF"/>
          <w:sz w:val="22"/>
          <w:szCs w:val="22"/>
          <w:lang w:val="en-GB"/>
        </w:rPr>
      </w:pPr>
    </w:p>
    <w:p w14:paraId="1119DB61" w14:textId="77777777" w:rsidR="00E81CC0" w:rsidRPr="00BA1B8D" w:rsidRDefault="00E81CC0" w:rsidP="00E81CC0">
      <w:pPr>
        <w:jc w:val="both"/>
        <w:rPr>
          <w:rFonts w:ascii="Arial" w:hAnsi="Arial" w:cs="Arial"/>
          <w:color w:val="7B7B7B" w:themeColor="accent3" w:themeShade="BF"/>
          <w:sz w:val="22"/>
          <w:szCs w:val="22"/>
          <w:lang w:val="en-GB"/>
        </w:rPr>
      </w:pPr>
      <w:r w:rsidRPr="00BA1B8D">
        <w:rPr>
          <w:rFonts w:ascii="Arial" w:hAnsi="Arial" w:cs="Arial"/>
          <w:color w:val="7B7B7B" w:themeColor="accent3" w:themeShade="BF"/>
          <w:sz w:val="22"/>
          <w:szCs w:val="22"/>
          <w:lang w:val="en-GB"/>
        </w:rPr>
        <w:t>The steps</w:t>
      </w:r>
      <w:r>
        <w:rPr>
          <w:rFonts w:ascii="Arial" w:hAnsi="Arial" w:cs="Arial"/>
          <w:color w:val="7B7B7B" w:themeColor="accent3" w:themeShade="BF"/>
          <w:sz w:val="22"/>
          <w:szCs w:val="22"/>
          <w:lang w:val="en-GB"/>
        </w:rPr>
        <w:t xml:space="preserve"> outlined in this section specify what the requirements are to</w:t>
      </w:r>
      <w:r w:rsidRPr="00BA1B8D">
        <w:rPr>
          <w:rFonts w:ascii="Arial" w:hAnsi="Arial" w:cs="Arial"/>
          <w:color w:val="7B7B7B" w:themeColor="accent3" w:themeShade="BF"/>
          <w:sz w:val="22"/>
          <w:szCs w:val="22"/>
          <w:lang w:val="en-GB"/>
        </w:rPr>
        <w:t xml:space="preserve"> place PEC’s subsidiaries under judicial management out of court</w:t>
      </w:r>
      <w:r>
        <w:rPr>
          <w:rFonts w:ascii="Arial" w:hAnsi="Arial" w:cs="Arial"/>
          <w:color w:val="7B7B7B" w:themeColor="accent3" w:themeShade="BF"/>
          <w:sz w:val="22"/>
          <w:szCs w:val="22"/>
          <w:lang w:val="en-GB"/>
        </w:rPr>
        <w:t>. They are</w:t>
      </w:r>
      <w:r w:rsidRPr="00BA1B8D">
        <w:rPr>
          <w:rFonts w:ascii="Arial" w:hAnsi="Arial" w:cs="Arial"/>
          <w:color w:val="7B7B7B" w:themeColor="accent3" w:themeShade="BF"/>
          <w:sz w:val="22"/>
          <w:szCs w:val="22"/>
          <w:lang w:val="en-GB"/>
        </w:rPr>
        <w:t xml:space="preserve"> as follows:</w:t>
      </w:r>
    </w:p>
    <w:p w14:paraId="2801DA40" w14:textId="77777777" w:rsidR="00E81CC0" w:rsidRPr="00BA1B8D" w:rsidRDefault="00E81CC0" w:rsidP="00E81CC0">
      <w:pPr>
        <w:jc w:val="both"/>
        <w:rPr>
          <w:rFonts w:ascii="Arial" w:hAnsi="Arial" w:cs="Arial"/>
          <w:color w:val="7B7B7B" w:themeColor="accent3" w:themeShade="BF"/>
          <w:sz w:val="22"/>
          <w:szCs w:val="22"/>
          <w:lang w:val="en-GB"/>
        </w:rPr>
      </w:pPr>
    </w:p>
    <w:p w14:paraId="6A1EA410"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issue of a </w:t>
      </w:r>
      <w:r w:rsidRPr="00BA1B8D">
        <w:rPr>
          <w:rFonts w:ascii="Arial" w:hAnsi="Arial" w:cs="Arial"/>
          <w:color w:val="7B7B7B" w:themeColor="accent3" w:themeShade="BF"/>
          <w:sz w:val="22"/>
          <w:szCs w:val="22"/>
        </w:rPr>
        <w:t xml:space="preserve">notice of intention to propose </w:t>
      </w:r>
      <w:r>
        <w:rPr>
          <w:rFonts w:ascii="Arial" w:hAnsi="Arial" w:cs="Arial"/>
          <w:color w:val="7B7B7B" w:themeColor="accent3" w:themeShade="BF"/>
          <w:sz w:val="22"/>
          <w:szCs w:val="22"/>
        </w:rPr>
        <w:t xml:space="preserve">PEC’s subsidiaries </w:t>
      </w:r>
      <w:r w:rsidRPr="00BA1B8D">
        <w:rPr>
          <w:rFonts w:ascii="Arial" w:hAnsi="Arial" w:cs="Arial"/>
          <w:color w:val="7B7B7B" w:themeColor="accent3" w:themeShade="BF"/>
          <w:sz w:val="22"/>
          <w:szCs w:val="22"/>
        </w:rPr>
        <w:t>be placed under judicial management</w:t>
      </w:r>
      <w:r>
        <w:rPr>
          <w:rFonts w:ascii="Arial" w:hAnsi="Arial" w:cs="Arial"/>
          <w:color w:val="7B7B7B" w:themeColor="accent3" w:themeShade="BF"/>
          <w:sz w:val="22"/>
          <w:szCs w:val="22"/>
        </w:rPr>
        <w:t xml:space="preserve"> (</w:t>
      </w:r>
      <w:r w:rsidRPr="00BA1B8D">
        <w:rPr>
          <w:rFonts w:ascii="Arial" w:hAnsi="Arial" w:cs="Arial"/>
          <w:color w:val="7B7B7B" w:themeColor="accent3" w:themeShade="BF"/>
          <w:sz w:val="22"/>
          <w:szCs w:val="22"/>
        </w:rPr>
        <w:t xml:space="preserve">at least </w:t>
      </w:r>
      <w:r>
        <w:rPr>
          <w:rFonts w:ascii="Arial" w:hAnsi="Arial" w:cs="Arial"/>
          <w:color w:val="7B7B7B" w:themeColor="accent3" w:themeShade="BF"/>
          <w:sz w:val="22"/>
          <w:szCs w:val="22"/>
        </w:rPr>
        <w:t>7</w:t>
      </w:r>
      <w:r w:rsidRPr="00BA1B8D">
        <w:rPr>
          <w:rFonts w:ascii="Arial" w:hAnsi="Arial" w:cs="Arial"/>
          <w:color w:val="7B7B7B" w:themeColor="accent3" w:themeShade="BF"/>
          <w:sz w:val="22"/>
          <w:szCs w:val="22"/>
        </w:rPr>
        <w:t xml:space="preserve"> days’</w:t>
      </w:r>
      <w:r>
        <w:rPr>
          <w:rFonts w:ascii="Arial" w:hAnsi="Arial" w:cs="Arial"/>
          <w:color w:val="7B7B7B" w:themeColor="accent3" w:themeShade="BF"/>
          <w:sz w:val="22"/>
          <w:szCs w:val="22"/>
        </w:rPr>
        <w:t xml:space="preserve"> in advance)</w:t>
      </w:r>
      <w:r w:rsidRPr="00BA1B8D">
        <w:rPr>
          <w:rFonts w:ascii="Arial" w:hAnsi="Arial" w:cs="Arial"/>
          <w:color w:val="7B7B7B" w:themeColor="accent3" w:themeShade="BF"/>
          <w:sz w:val="22"/>
          <w:szCs w:val="22"/>
        </w:rPr>
        <w:t xml:space="preserve"> to its proposed interim judicial manager and any person who holds a floating charge over </w:t>
      </w:r>
      <w:r>
        <w:rPr>
          <w:rFonts w:ascii="Arial" w:hAnsi="Arial" w:cs="Arial"/>
          <w:color w:val="7B7B7B" w:themeColor="accent3" w:themeShade="BF"/>
          <w:sz w:val="22"/>
          <w:szCs w:val="22"/>
        </w:rPr>
        <w:t xml:space="preserve">any part of </w:t>
      </w:r>
      <w:r w:rsidRPr="00BA1B8D">
        <w:rPr>
          <w:rFonts w:ascii="Arial" w:hAnsi="Arial" w:cs="Arial"/>
          <w:color w:val="7B7B7B" w:themeColor="accent3" w:themeShade="BF"/>
          <w:sz w:val="22"/>
          <w:szCs w:val="22"/>
        </w:rPr>
        <w:t>the company’s assets.</w:t>
      </w:r>
    </w:p>
    <w:p w14:paraId="3488D959"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0106F584"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sidRPr="00BA1B8D">
        <w:rPr>
          <w:rFonts w:ascii="Arial" w:hAnsi="Arial" w:cs="Arial"/>
          <w:color w:val="7B7B7B" w:themeColor="accent3" w:themeShade="BF"/>
          <w:sz w:val="22"/>
          <w:szCs w:val="22"/>
        </w:rPr>
        <w:t xml:space="preserve">The members of </w:t>
      </w:r>
      <w:r>
        <w:rPr>
          <w:rFonts w:ascii="Arial" w:hAnsi="Arial" w:cs="Arial"/>
          <w:color w:val="7B7B7B" w:themeColor="accent3" w:themeShade="BF"/>
          <w:sz w:val="22"/>
          <w:szCs w:val="22"/>
        </w:rPr>
        <w:t>PEC must</w:t>
      </w:r>
      <w:r w:rsidRPr="00BA1B8D">
        <w:rPr>
          <w:rFonts w:ascii="Arial" w:hAnsi="Arial" w:cs="Arial"/>
          <w:color w:val="7B7B7B" w:themeColor="accent3" w:themeShade="BF"/>
          <w:sz w:val="22"/>
          <w:szCs w:val="22"/>
        </w:rPr>
        <w:t xml:space="preserve"> resolve to appoint the interim judicial manager.</w:t>
      </w:r>
    </w:p>
    <w:p w14:paraId="030575B0"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0380A547"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H</w:t>
      </w:r>
      <w:r w:rsidRPr="00BA1B8D">
        <w:rPr>
          <w:rFonts w:ascii="Arial" w:hAnsi="Arial" w:cs="Arial"/>
          <w:color w:val="7B7B7B" w:themeColor="accent3" w:themeShade="BF"/>
          <w:sz w:val="22"/>
          <w:szCs w:val="22"/>
        </w:rPr>
        <w:t xml:space="preserve">olders of </w:t>
      </w:r>
      <w:r>
        <w:rPr>
          <w:rFonts w:ascii="Arial" w:hAnsi="Arial" w:cs="Arial"/>
          <w:color w:val="7B7B7B" w:themeColor="accent3" w:themeShade="BF"/>
          <w:sz w:val="22"/>
          <w:szCs w:val="22"/>
        </w:rPr>
        <w:t xml:space="preserve">any </w:t>
      </w:r>
      <w:r w:rsidRPr="00BA1B8D">
        <w:rPr>
          <w:rFonts w:ascii="Arial" w:hAnsi="Arial" w:cs="Arial"/>
          <w:color w:val="7B7B7B" w:themeColor="accent3" w:themeShade="BF"/>
          <w:sz w:val="22"/>
          <w:szCs w:val="22"/>
        </w:rPr>
        <w:t>floating charge</w:t>
      </w:r>
      <w:r>
        <w:rPr>
          <w:rFonts w:ascii="Arial" w:hAnsi="Arial" w:cs="Arial"/>
          <w:color w:val="7B7B7B" w:themeColor="accent3" w:themeShade="BF"/>
          <w:sz w:val="22"/>
          <w:szCs w:val="22"/>
        </w:rPr>
        <w:t>s over PEC</w:t>
      </w:r>
      <w:r w:rsidRPr="00BA1B8D">
        <w:rPr>
          <w:rFonts w:ascii="Arial" w:hAnsi="Arial" w:cs="Arial"/>
          <w:color w:val="7B7B7B" w:themeColor="accent3" w:themeShade="BF"/>
          <w:sz w:val="22"/>
          <w:szCs w:val="22"/>
        </w:rPr>
        <w:t xml:space="preserve"> agrees to the appointment of the interim judicial manager.</w:t>
      </w:r>
    </w:p>
    <w:p w14:paraId="79514694"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3E0D8CA8"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An</w:t>
      </w:r>
      <w:r w:rsidRPr="00BA1B8D">
        <w:rPr>
          <w:rFonts w:ascii="Arial" w:hAnsi="Arial" w:cs="Arial"/>
          <w:color w:val="7B7B7B" w:themeColor="accent3" w:themeShade="BF"/>
          <w:sz w:val="22"/>
          <w:szCs w:val="22"/>
        </w:rPr>
        <w:t xml:space="preserve"> interim judicial manager is appointed no later than 21 days from the date of the notice.</w:t>
      </w:r>
    </w:p>
    <w:p w14:paraId="28D9D157"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4740B4F2" w14:textId="77777777" w:rsidR="00E81CC0"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A written notice of the appointment of the interim judicial manager</w:t>
      </w:r>
      <w:r w:rsidRPr="00BA1B8D">
        <w:rPr>
          <w:rFonts w:ascii="Arial" w:hAnsi="Arial" w:cs="Arial"/>
          <w:color w:val="7B7B7B" w:themeColor="accent3" w:themeShade="BF"/>
          <w:sz w:val="22"/>
          <w:szCs w:val="22"/>
        </w:rPr>
        <w:t xml:space="preserve"> must be </w:t>
      </w:r>
      <w:r>
        <w:rPr>
          <w:rFonts w:ascii="Arial" w:hAnsi="Arial" w:cs="Arial"/>
          <w:color w:val="7B7B7B" w:themeColor="accent3" w:themeShade="BF"/>
          <w:sz w:val="22"/>
          <w:szCs w:val="22"/>
        </w:rPr>
        <w:t>filed</w:t>
      </w:r>
      <w:r w:rsidRPr="00BA1B8D">
        <w:rPr>
          <w:rFonts w:ascii="Arial" w:hAnsi="Arial" w:cs="Arial"/>
          <w:color w:val="7B7B7B" w:themeColor="accent3" w:themeShade="BF"/>
          <w:sz w:val="22"/>
          <w:szCs w:val="22"/>
        </w:rPr>
        <w:t xml:space="preserve"> with the Official Receiver and Registrar of Companies by the interim judicial manager and the board of directors</w:t>
      </w:r>
      <w:r>
        <w:rPr>
          <w:rFonts w:ascii="Arial" w:hAnsi="Arial" w:cs="Arial"/>
          <w:color w:val="7B7B7B" w:themeColor="accent3" w:themeShade="BF"/>
          <w:sz w:val="22"/>
          <w:szCs w:val="22"/>
        </w:rPr>
        <w:t xml:space="preserve"> within three days</w:t>
      </w:r>
      <w:r w:rsidRPr="00BA1B8D">
        <w:rPr>
          <w:rFonts w:ascii="Arial" w:hAnsi="Arial" w:cs="Arial"/>
          <w:color w:val="7B7B7B" w:themeColor="accent3" w:themeShade="BF"/>
          <w:sz w:val="22"/>
          <w:szCs w:val="22"/>
        </w:rPr>
        <w:t>.</w:t>
      </w:r>
    </w:p>
    <w:p w14:paraId="186A868D" w14:textId="77777777" w:rsidR="00E81CC0" w:rsidRPr="005F38D8" w:rsidRDefault="00E81CC0" w:rsidP="00E81CC0">
      <w:pPr>
        <w:pStyle w:val="ListParagraph"/>
        <w:rPr>
          <w:rFonts w:ascii="Arial" w:hAnsi="Arial" w:cs="Arial"/>
          <w:color w:val="7B7B7B" w:themeColor="accent3" w:themeShade="BF"/>
          <w:sz w:val="22"/>
          <w:szCs w:val="22"/>
        </w:rPr>
      </w:pPr>
    </w:p>
    <w:p w14:paraId="49B89282"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Within seven days after filing with the authorities above, the notice of appointment should be published in the Gazette and local daily newspaper.  </w:t>
      </w:r>
    </w:p>
    <w:p w14:paraId="48D96369"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56C79958" w14:textId="77777777" w:rsidR="00E81CC0" w:rsidRPr="00BA1B8D" w:rsidRDefault="00E81CC0" w:rsidP="00E81CC0">
      <w:pPr>
        <w:pStyle w:val="ListParagraph"/>
        <w:numPr>
          <w:ilvl w:val="2"/>
          <w:numId w:val="33"/>
        </w:numPr>
        <w:autoSpaceDE w:val="0"/>
        <w:autoSpaceDN w:val="0"/>
        <w:adjustRightInd w:val="0"/>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PEC</w:t>
      </w:r>
      <w:r w:rsidRPr="00BA1B8D">
        <w:rPr>
          <w:rFonts w:ascii="Arial" w:hAnsi="Arial" w:cs="Arial"/>
          <w:color w:val="7B7B7B" w:themeColor="accent3" w:themeShade="BF"/>
          <w:sz w:val="22"/>
          <w:szCs w:val="22"/>
        </w:rPr>
        <w:t xml:space="preserve"> must give notice to all its creditors of a creditors’ meeting to be held within 30 days by the interim judicial manager. </w:t>
      </w:r>
    </w:p>
    <w:p w14:paraId="4252BBE1" w14:textId="77777777" w:rsidR="00E81CC0" w:rsidRPr="00BA1B8D" w:rsidRDefault="00E81CC0" w:rsidP="00E81CC0">
      <w:pPr>
        <w:autoSpaceDE w:val="0"/>
        <w:autoSpaceDN w:val="0"/>
        <w:adjustRightInd w:val="0"/>
        <w:jc w:val="both"/>
        <w:rPr>
          <w:rFonts w:ascii="Arial" w:hAnsi="Arial" w:cs="Arial"/>
          <w:color w:val="7B7B7B" w:themeColor="accent3" w:themeShade="BF"/>
          <w:sz w:val="22"/>
          <w:szCs w:val="22"/>
        </w:rPr>
      </w:pPr>
    </w:p>
    <w:p w14:paraId="30A844DC" w14:textId="7AFE8AB0" w:rsidR="001A007A" w:rsidRPr="009E3DF6" w:rsidRDefault="00E81CC0" w:rsidP="00E81CC0">
      <w:pPr>
        <w:ind w:left="66"/>
        <w:jc w:val="both"/>
        <w:rPr>
          <w:rFonts w:ascii="Arial" w:hAnsi="Arial" w:cs="Arial"/>
          <w:sz w:val="22"/>
          <w:szCs w:val="22"/>
          <w:lang w:val="en-GB"/>
        </w:rPr>
      </w:pPr>
      <w:r w:rsidRPr="00BA1B8D">
        <w:rPr>
          <w:rFonts w:ascii="Arial" w:hAnsi="Arial" w:cs="Arial"/>
          <w:color w:val="7B7B7B" w:themeColor="accent3" w:themeShade="BF"/>
          <w:sz w:val="22"/>
          <w:szCs w:val="22"/>
        </w:rPr>
        <w:t>If the majority of creditors resolve to place the company under judicial management, it will enter judicial management</w:t>
      </w:r>
      <w:r>
        <w:rPr>
          <w:rFonts w:ascii="Arial" w:hAnsi="Arial" w:cs="Arial"/>
          <w:color w:val="7B7B7B" w:themeColor="accent3" w:themeShade="BF"/>
          <w:sz w:val="22"/>
          <w:szCs w:val="22"/>
        </w:rPr>
        <w:t xml:space="preserve"> otherwise the process will be terminated</w:t>
      </w:r>
      <w:r w:rsidRPr="00BA1B8D">
        <w:rPr>
          <w:rFonts w:ascii="Arial" w:hAnsi="Arial" w:cs="Arial"/>
          <w:color w:val="7B7B7B" w:themeColor="accent3" w:themeShade="BF"/>
          <w:sz w:val="22"/>
          <w:szCs w:val="22"/>
        </w:rPr>
        <w:t>.</w:t>
      </w:r>
      <w:r w:rsidR="0007291B" w:rsidRPr="009E3DF6">
        <w:rPr>
          <w:rFonts w:ascii="Arial" w:hAnsi="Arial" w:cs="Arial"/>
          <w:color w:val="7B7B7B" w:themeColor="accent3" w:themeShade="BF"/>
          <w:sz w:val="22"/>
          <w:szCs w:val="22"/>
          <w:lang w:val="en-GB"/>
        </w:rPr>
        <w:t>]</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lastRenderedPageBreak/>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33876B2E" w14:textId="77777777" w:rsidR="00B64E9F" w:rsidRPr="00B64C24" w:rsidRDefault="0007291B" w:rsidP="00B64E9F">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lang w:val="en-GB"/>
        </w:rPr>
        <w:t>[</w:t>
      </w:r>
      <w:r w:rsidR="00B64E9F" w:rsidRPr="00B64C24">
        <w:rPr>
          <w:rFonts w:ascii="Arial" w:hAnsi="Arial" w:cs="Arial"/>
          <w:color w:val="7B7B7B" w:themeColor="accent3" w:themeShade="BF"/>
          <w:sz w:val="22"/>
          <w:szCs w:val="22"/>
        </w:rPr>
        <w:t xml:space="preserve">Globalization has increased and so has the need for cross-border insolvencies. In the past insolvency laws were territorial in nature but given the expansive global connections of multinational companies, the need for jurisdictions to consider a more universalist approach to domestic insolvency laws has become vitally important to international business and trade commerce.   </w:t>
      </w:r>
    </w:p>
    <w:p w14:paraId="6D27A138" w14:textId="77777777" w:rsidR="00B64E9F" w:rsidRDefault="00B64E9F" w:rsidP="00B64E9F">
      <w:pPr>
        <w:jc w:val="both"/>
        <w:rPr>
          <w:rFonts w:ascii="Arial" w:hAnsi="Arial" w:cs="Arial"/>
          <w:color w:val="7B7B7B" w:themeColor="accent3" w:themeShade="BF"/>
          <w:sz w:val="22"/>
          <w:szCs w:val="22"/>
        </w:rPr>
      </w:pPr>
    </w:p>
    <w:p w14:paraId="2460D58F" w14:textId="77777777" w:rsidR="00B64E9F" w:rsidRPr="00B64C24" w:rsidRDefault="00B64E9F" w:rsidP="00B64E9F">
      <w:pPr>
        <w:jc w:val="both"/>
        <w:rPr>
          <w:rFonts w:ascii="Arial" w:hAnsi="Arial" w:cs="Arial"/>
          <w:color w:val="7B7B7B" w:themeColor="accent3" w:themeShade="BF"/>
          <w:sz w:val="22"/>
          <w:szCs w:val="22"/>
        </w:rPr>
      </w:pPr>
      <w:r w:rsidRPr="00B64C24">
        <w:rPr>
          <w:rFonts w:ascii="Arial" w:hAnsi="Arial" w:cs="Arial"/>
          <w:color w:val="7B7B7B" w:themeColor="accent3" w:themeShade="BF"/>
          <w:sz w:val="22"/>
          <w:szCs w:val="22"/>
        </w:rPr>
        <w:t xml:space="preserve">Section 64 of the IRDA gives the Court </w:t>
      </w:r>
      <w:r>
        <w:rPr>
          <w:rFonts w:ascii="Arial" w:hAnsi="Arial" w:cs="Arial"/>
          <w:color w:val="7B7B7B" w:themeColor="accent3" w:themeShade="BF"/>
          <w:sz w:val="22"/>
          <w:szCs w:val="22"/>
        </w:rPr>
        <w:t xml:space="preserve">to issue a stay against </w:t>
      </w:r>
      <w:r w:rsidRPr="00B64C24">
        <w:rPr>
          <w:rFonts w:ascii="Arial" w:hAnsi="Arial" w:cs="Arial"/>
          <w:color w:val="7B7B7B" w:themeColor="accent3" w:themeShade="BF"/>
          <w:sz w:val="22"/>
          <w:szCs w:val="22"/>
        </w:rPr>
        <w:t xml:space="preserve">certain actions </w:t>
      </w:r>
      <w:r>
        <w:rPr>
          <w:rFonts w:ascii="Arial" w:hAnsi="Arial" w:cs="Arial"/>
          <w:color w:val="7B7B7B" w:themeColor="accent3" w:themeShade="BF"/>
          <w:sz w:val="22"/>
          <w:szCs w:val="22"/>
        </w:rPr>
        <w:t>or</w:t>
      </w:r>
      <w:r w:rsidRPr="00B64C24">
        <w:rPr>
          <w:rFonts w:ascii="Arial" w:hAnsi="Arial" w:cs="Arial"/>
          <w:color w:val="7B7B7B" w:themeColor="accent3" w:themeShade="BF"/>
          <w:sz w:val="22"/>
          <w:szCs w:val="22"/>
        </w:rPr>
        <w:t xml:space="preserve"> proceedings against the company</w:t>
      </w:r>
      <w:r>
        <w:rPr>
          <w:rFonts w:ascii="Arial" w:hAnsi="Arial" w:cs="Arial"/>
          <w:color w:val="7B7B7B" w:themeColor="accent3" w:themeShade="BF"/>
          <w:sz w:val="22"/>
          <w:szCs w:val="22"/>
        </w:rPr>
        <w:t xml:space="preserve">. This is referred to as </w:t>
      </w:r>
      <w:r w:rsidRPr="00B64C24">
        <w:rPr>
          <w:rFonts w:ascii="Arial" w:hAnsi="Arial" w:cs="Arial"/>
          <w:color w:val="7B7B7B" w:themeColor="accent3" w:themeShade="BF"/>
          <w:sz w:val="22"/>
          <w:szCs w:val="22"/>
        </w:rPr>
        <w:t>a moratorium</w:t>
      </w:r>
      <w:r>
        <w:rPr>
          <w:rFonts w:ascii="Arial" w:hAnsi="Arial" w:cs="Arial"/>
          <w:color w:val="7B7B7B" w:themeColor="accent3" w:themeShade="BF"/>
          <w:sz w:val="22"/>
          <w:szCs w:val="22"/>
        </w:rPr>
        <w:t xml:space="preserve"> and may be initiated by the court upon the company’s </w:t>
      </w:r>
      <w:r w:rsidRPr="00B64C24">
        <w:rPr>
          <w:rFonts w:ascii="Arial" w:hAnsi="Arial" w:cs="Arial"/>
          <w:color w:val="7B7B7B" w:themeColor="accent3" w:themeShade="BF"/>
          <w:sz w:val="22"/>
          <w:szCs w:val="22"/>
        </w:rPr>
        <w:t>application</w:t>
      </w:r>
      <w:r>
        <w:rPr>
          <w:rFonts w:ascii="Arial" w:hAnsi="Arial" w:cs="Arial"/>
          <w:color w:val="7B7B7B" w:themeColor="accent3" w:themeShade="BF"/>
          <w:sz w:val="22"/>
          <w:szCs w:val="22"/>
        </w:rPr>
        <w:t xml:space="preserve"> where it has</w:t>
      </w:r>
      <w:r w:rsidRPr="00B64C24">
        <w:rPr>
          <w:rFonts w:ascii="Arial" w:hAnsi="Arial" w:cs="Arial"/>
          <w:color w:val="7B7B7B" w:themeColor="accent3" w:themeShade="BF"/>
          <w:sz w:val="22"/>
          <w:szCs w:val="22"/>
        </w:rPr>
        <w:t xml:space="preserve"> proposed a</w:t>
      </w:r>
      <w:r>
        <w:rPr>
          <w:rFonts w:ascii="Arial" w:hAnsi="Arial" w:cs="Arial"/>
          <w:color w:val="7B7B7B" w:themeColor="accent3" w:themeShade="BF"/>
          <w:sz w:val="22"/>
          <w:szCs w:val="22"/>
        </w:rPr>
        <w:t>n</w:t>
      </w:r>
      <w:r w:rsidRPr="00B64C24">
        <w:rPr>
          <w:rFonts w:ascii="Arial" w:hAnsi="Arial" w:cs="Arial"/>
          <w:color w:val="7B7B7B" w:themeColor="accent3" w:themeShade="BF"/>
          <w:sz w:val="22"/>
          <w:szCs w:val="22"/>
        </w:rPr>
        <w:t xml:space="preserve"> arrangement with its creditors or intends to do so. The purpose behind a moratorium is to allow companies </w:t>
      </w:r>
      <w:r>
        <w:rPr>
          <w:rFonts w:ascii="Arial" w:hAnsi="Arial" w:cs="Arial"/>
          <w:color w:val="7B7B7B" w:themeColor="accent3" w:themeShade="BF"/>
          <w:sz w:val="22"/>
          <w:szCs w:val="22"/>
        </w:rPr>
        <w:t>time</w:t>
      </w:r>
      <w:r w:rsidRPr="00B64C24">
        <w:rPr>
          <w:rFonts w:ascii="Arial" w:hAnsi="Arial" w:cs="Arial"/>
          <w:color w:val="7B7B7B" w:themeColor="accent3" w:themeShade="BF"/>
          <w:sz w:val="22"/>
          <w:szCs w:val="22"/>
        </w:rPr>
        <w:t xml:space="preserve"> to</w:t>
      </w:r>
      <w:r>
        <w:rPr>
          <w:rFonts w:ascii="Arial" w:hAnsi="Arial" w:cs="Arial"/>
          <w:color w:val="7B7B7B" w:themeColor="accent3" w:themeShade="BF"/>
          <w:sz w:val="22"/>
          <w:szCs w:val="22"/>
        </w:rPr>
        <w:t xml:space="preserve"> comfortably</w:t>
      </w:r>
      <w:r w:rsidRPr="00B64C24">
        <w:rPr>
          <w:rFonts w:ascii="Arial" w:hAnsi="Arial" w:cs="Arial"/>
          <w:color w:val="7B7B7B" w:themeColor="accent3" w:themeShade="BF"/>
          <w:sz w:val="22"/>
          <w:szCs w:val="22"/>
        </w:rPr>
        <w:t xml:space="preserve"> restructure their debts</w:t>
      </w:r>
      <w:r>
        <w:rPr>
          <w:rFonts w:ascii="Arial" w:hAnsi="Arial" w:cs="Arial"/>
          <w:color w:val="7B7B7B" w:themeColor="accent3" w:themeShade="BF"/>
          <w:sz w:val="22"/>
          <w:szCs w:val="22"/>
        </w:rPr>
        <w:t>.</w:t>
      </w:r>
      <w:r w:rsidRPr="00B64C24">
        <w:rPr>
          <w:rFonts w:ascii="Arial" w:hAnsi="Arial" w:cs="Arial"/>
          <w:color w:val="7B7B7B" w:themeColor="accent3" w:themeShade="BF"/>
          <w:sz w:val="22"/>
          <w:szCs w:val="22"/>
        </w:rPr>
        <w:t xml:space="preserve"> </w:t>
      </w:r>
    </w:p>
    <w:p w14:paraId="31ED9E4D" w14:textId="77777777" w:rsidR="00B64E9F" w:rsidRDefault="00B64E9F" w:rsidP="00B64E9F">
      <w:pPr>
        <w:autoSpaceDE w:val="0"/>
        <w:autoSpaceDN w:val="0"/>
        <w:adjustRightInd w:val="0"/>
        <w:jc w:val="both"/>
        <w:rPr>
          <w:rFonts w:ascii="Arial" w:hAnsi="Arial" w:cs="Arial"/>
          <w:color w:val="7B7B7B" w:themeColor="accent3" w:themeShade="BF"/>
          <w:sz w:val="22"/>
          <w:szCs w:val="22"/>
          <w:lang w:val="en-GB"/>
        </w:rPr>
      </w:pPr>
    </w:p>
    <w:p w14:paraId="03DEB12A" w14:textId="77777777" w:rsidR="00B64E9F" w:rsidRPr="00B64C24" w:rsidRDefault="00B64E9F" w:rsidP="00B64E9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w:t>
      </w:r>
      <w:r w:rsidRPr="00B64C24">
        <w:rPr>
          <w:rFonts w:ascii="Arial" w:hAnsi="Arial" w:cs="Arial"/>
          <w:color w:val="7B7B7B" w:themeColor="accent3" w:themeShade="BF"/>
          <w:sz w:val="22"/>
          <w:szCs w:val="22"/>
          <w:lang w:val="en-GB"/>
        </w:rPr>
        <w:t>ection 65 of the IRDA</w:t>
      </w:r>
      <w:r>
        <w:rPr>
          <w:rFonts w:ascii="Arial" w:hAnsi="Arial" w:cs="Arial"/>
          <w:color w:val="7B7B7B" w:themeColor="accent3" w:themeShade="BF"/>
          <w:sz w:val="22"/>
          <w:szCs w:val="22"/>
          <w:lang w:val="en-GB"/>
        </w:rPr>
        <w:t>,</w:t>
      </w:r>
      <w:r w:rsidRPr="00B64C24">
        <w:rPr>
          <w:rFonts w:ascii="Arial" w:hAnsi="Arial" w:cs="Arial"/>
          <w:color w:val="7B7B7B" w:themeColor="accent3" w:themeShade="BF"/>
          <w:sz w:val="22"/>
          <w:szCs w:val="22"/>
          <w:lang w:val="en-GB"/>
        </w:rPr>
        <w:t xml:space="preserve"> the Court can grant a moratorium order relating to subsidiaries</w:t>
      </w:r>
      <w:r>
        <w:rPr>
          <w:rFonts w:ascii="Arial" w:hAnsi="Arial" w:cs="Arial"/>
          <w:color w:val="7B7B7B" w:themeColor="accent3" w:themeShade="BF"/>
          <w:sz w:val="22"/>
          <w:szCs w:val="22"/>
          <w:lang w:val="en-GB"/>
        </w:rPr>
        <w:t>.</w:t>
      </w:r>
      <w:r w:rsidRPr="00B64C24">
        <w:rPr>
          <w:rFonts w:ascii="Arial" w:hAnsi="Arial" w:cs="Arial"/>
          <w:color w:val="7B7B7B" w:themeColor="accent3" w:themeShade="BF"/>
          <w:sz w:val="22"/>
          <w:szCs w:val="22"/>
          <w:lang w:val="en-GB"/>
        </w:rPr>
        <w:t xml:space="preserve"> However, section 66 of the IRDA (Restraint of disposition of property, etc., during moratorium period states:</w:t>
      </w:r>
    </w:p>
    <w:p w14:paraId="113F4CC9" w14:textId="77777777" w:rsidR="00B64E9F" w:rsidRDefault="00B64E9F" w:rsidP="00B64E9F">
      <w:pPr>
        <w:autoSpaceDE w:val="0"/>
        <w:autoSpaceDN w:val="0"/>
        <w:adjustRightInd w:val="0"/>
        <w:jc w:val="both"/>
        <w:rPr>
          <w:rFonts w:ascii="Arial" w:hAnsi="Arial" w:cs="Arial"/>
          <w:color w:val="7B7B7B" w:themeColor="accent3" w:themeShade="BF"/>
          <w:sz w:val="22"/>
          <w:szCs w:val="22"/>
        </w:rPr>
      </w:pPr>
    </w:p>
    <w:p w14:paraId="44717B29" w14:textId="77777777" w:rsidR="00B64E9F" w:rsidRPr="00B64C24" w:rsidRDefault="00B64E9F" w:rsidP="00B64E9F">
      <w:pPr>
        <w:autoSpaceDE w:val="0"/>
        <w:autoSpaceDN w:val="0"/>
        <w:adjustRightInd w:val="0"/>
        <w:jc w:val="both"/>
        <w:rPr>
          <w:rFonts w:ascii="Arial" w:hAnsi="Arial" w:cs="Arial"/>
          <w:color w:val="7B7B7B" w:themeColor="accent3" w:themeShade="BF"/>
          <w:sz w:val="22"/>
          <w:szCs w:val="22"/>
        </w:rPr>
      </w:pPr>
      <w:r w:rsidRPr="00B64C24">
        <w:rPr>
          <w:rFonts w:ascii="Arial" w:hAnsi="Arial" w:cs="Arial"/>
          <w:color w:val="7B7B7B" w:themeColor="accent3" w:themeShade="BF"/>
          <w:sz w:val="22"/>
          <w:szCs w:val="22"/>
        </w:rPr>
        <w:t>The Court may, on an application made by any creditor of a relevant company at any time during a moratorium period, make either or both of the following orders, each of which is in force for such part of the moratorium period as the Court thinks fit:</w:t>
      </w:r>
    </w:p>
    <w:p w14:paraId="508E99F4" w14:textId="77777777" w:rsidR="00B64E9F" w:rsidRPr="00B64C24" w:rsidRDefault="00B64E9F" w:rsidP="00B64E9F">
      <w:pPr>
        <w:pStyle w:val="ListParagraph"/>
        <w:numPr>
          <w:ilvl w:val="0"/>
          <w:numId w:val="34"/>
        </w:numPr>
        <w:autoSpaceDE w:val="0"/>
        <w:autoSpaceDN w:val="0"/>
        <w:adjustRightInd w:val="0"/>
        <w:jc w:val="both"/>
        <w:rPr>
          <w:rFonts w:ascii="Arial" w:hAnsi="Arial" w:cs="Arial"/>
          <w:color w:val="7B7B7B" w:themeColor="accent3" w:themeShade="BF"/>
          <w:sz w:val="22"/>
          <w:szCs w:val="22"/>
        </w:rPr>
      </w:pPr>
      <w:r w:rsidRPr="00B64C24">
        <w:rPr>
          <w:rFonts w:ascii="Arial" w:hAnsi="Arial" w:cs="Arial"/>
          <w:color w:val="7B7B7B" w:themeColor="accent3" w:themeShade="BF"/>
          <w:sz w:val="22"/>
          <w:szCs w:val="22"/>
        </w:rPr>
        <w:t>an order restraining the relevant company from disposing of the property of the relevant company other than in good faith and in the ordinary course of the business of the relevant company;</w:t>
      </w:r>
    </w:p>
    <w:p w14:paraId="09B4F91D" w14:textId="77777777" w:rsidR="00B64E9F" w:rsidRPr="00B64C24" w:rsidRDefault="00B64E9F" w:rsidP="00B64E9F">
      <w:pPr>
        <w:pStyle w:val="ListParagraph"/>
        <w:autoSpaceDE w:val="0"/>
        <w:autoSpaceDN w:val="0"/>
        <w:adjustRightInd w:val="0"/>
        <w:jc w:val="both"/>
        <w:rPr>
          <w:rFonts w:ascii="Arial" w:hAnsi="Arial" w:cs="Arial"/>
          <w:color w:val="7B7B7B" w:themeColor="accent3" w:themeShade="BF"/>
          <w:sz w:val="22"/>
          <w:szCs w:val="22"/>
        </w:rPr>
      </w:pPr>
    </w:p>
    <w:p w14:paraId="6987BA9D" w14:textId="7EC58E58" w:rsidR="005C529D" w:rsidRPr="002A37BB" w:rsidRDefault="00B64E9F" w:rsidP="00B64E9F">
      <w:pPr>
        <w:autoSpaceDE w:val="0"/>
        <w:autoSpaceDN w:val="0"/>
        <w:adjustRightInd w:val="0"/>
        <w:jc w:val="both"/>
        <w:rPr>
          <w:rFonts w:ascii="Arial" w:hAnsi="Arial" w:cs="Arial"/>
          <w:sz w:val="22"/>
          <w:szCs w:val="22"/>
          <w:lang w:val="en-GB"/>
        </w:rPr>
      </w:pPr>
      <w:r w:rsidRPr="007F6097">
        <w:rPr>
          <w:rFonts w:ascii="Arial" w:hAnsi="Arial" w:cs="Arial"/>
          <w:color w:val="7B7B7B" w:themeColor="accent3" w:themeShade="BF"/>
          <w:sz w:val="22"/>
          <w:szCs w:val="22"/>
        </w:rPr>
        <w:t>an order restraining the relevant company from transferring any share in, or altering the rights of any member of, the relevant company.</w:t>
      </w:r>
      <w:r w:rsidR="0007291B"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03A50EFF" w14:textId="77777777" w:rsidR="00B64E9F" w:rsidRPr="0098688B" w:rsidRDefault="0007291B" w:rsidP="00B64E9F">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64E9F" w:rsidRPr="0098688B">
        <w:rPr>
          <w:rFonts w:ascii="Arial" w:hAnsi="Arial" w:cs="Arial"/>
          <w:color w:val="7B7B7B" w:themeColor="accent3" w:themeShade="BF"/>
          <w:sz w:val="22"/>
          <w:szCs w:val="22"/>
          <w:lang w:val="en-GB"/>
        </w:rPr>
        <w:t>Part 11 of the IRD addresses ‘Cross-Border Insolvency’ and references to ‘Model Law’ in this section refers to the United Nations Commission of International Trade Law (UNCITRAL) Model Law on Cross-Border Insolvency</w:t>
      </w:r>
      <w:r w:rsidR="00B64E9F">
        <w:rPr>
          <w:rStyle w:val="FootnoteReference"/>
          <w:rFonts w:ascii="Arial" w:hAnsi="Arial" w:cs="Arial"/>
          <w:color w:val="7B7B7B" w:themeColor="accent3" w:themeShade="BF"/>
          <w:sz w:val="22"/>
          <w:szCs w:val="22"/>
          <w:lang w:val="en-GB"/>
        </w:rPr>
        <w:footnoteReference w:id="14"/>
      </w:r>
      <w:r w:rsidR="00B64E9F" w:rsidRPr="0098688B">
        <w:rPr>
          <w:rFonts w:ascii="Arial" w:hAnsi="Arial" w:cs="Arial"/>
          <w:color w:val="7B7B7B" w:themeColor="accent3" w:themeShade="BF"/>
          <w:sz w:val="22"/>
          <w:szCs w:val="22"/>
          <w:lang w:val="en-GB"/>
        </w:rPr>
        <w:t xml:space="preserve">. Singapore adopted the </w:t>
      </w:r>
      <w:r w:rsidR="00B64E9F">
        <w:rPr>
          <w:rFonts w:ascii="Arial" w:hAnsi="Arial" w:cs="Arial"/>
          <w:color w:val="7B7B7B" w:themeColor="accent3" w:themeShade="BF"/>
          <w:sz w:val="22"/>
          <w:szCs w:val="22"/>
          <w:lang w:val="en-GB"/>
        </w:rPr>
        <w:t>‘</w:t>
      </w:r>
      <w:r w:rsidR="00B64E9F" w:rsidRPr="0098688B">
        <w:rPr>
          <w:rFonts w:ascii="Arial" w:hAnsi="Arial" w:cs="Arial"/>
          <w:color w:val="7B7B7B" w:themeColor="accent3" w:themeShade="BF"/>
          <w:sz w:val="22"/>
          <w:szCs w:val="22"/>
          <w:lang w:val="en-GB"/>
        </w:rPr>
        <w:t>Model Law</w:t>
      </w:r>
      <w:r w:rsidR="00B64E9F">
        <w:rPr>
          <w:rFonts w:ascii="Arial" w:hAnsi="Arial" w:cs="Arial"/>
          <w:color w:val="7B7B7B" w:themeColor="accent3" w:themeShade="BF"/>
          <w:sz w:val="22"/>
          <w:szCs w:val="22"/>
          <w:lang w:val="en-GB"/>
        </w:rPr>
        <w:t>’</w:t>
      </w:r>
      <w:r w:rsidR="00B64E9F" w:rsidRPr="0098688B">
        <w:rPr>
          <w:rFonts w:ascii="Arial" w:hAnsi="Arial" w:cs="Arial"/>
          <w:color w:val="7B7B7B" w:themeColor="accent3" w:themeShade="BF"/>
          <w:sz w:val="22"/>
          <w:szCs w:val="22"/>
          <w:lang w:val="en-GB"/>
        </w:rPr>
        <w:t xml:space="preserve"> on 30 May 1997 and is among the many countries who have used this as a template (some with</w:t>
      </w:r>
      <w:r w:rsidR="00B64E9F">
        <w:rPr>
          <w:rFonts w:ascii="Arial" w:hAnsi="Arial" w:cs="Arial"/>
          <w:color w:val="7B7B7B" w:themeColor="accent3" w:themeShade="BF"/>
          <w:sz w:val="22"/>
          <w:szCs w:val="22"/>
          <w:lang w:val="en-GB"/>
        </w:rPr>
        <w:t xml:space="preserve"> modifications</w:t>
      </w:r>
      <w:r w:rsidR="00B64E9F" w:rsidRPr="0098688B">
        <w:rPr>
          <w:rFonts w:ascii="Arial" w:hAnsi="Arial" w:cs="Arial"/>
          <w:color w:val="7B7B7B" w:themeColor="accent3" w:themeShade="BF"/>
          <w:sz w:val="22"/>
          <w:szCs w:val="22"/>
          <w:lang w:val="en-GB"/>
        </w:rPr>
        <w:t xml:space="preserve"> and </w:t>
      </w:r>
      <w:r w:rsidR="00B64E9F">
        <w:rPr>
          <w:rFonts w:ascii="Arial" w:hAnsi="Arial" w:cs="Arial"/>
          <w:color w:val="7B7B7B" w:themeColor="accent3" w:themeShade="BF"/>
          <w:sz w:val="22"/>
          <w:szCs w:val="22"/>
          <w:lang w:val="en-GB"/>
        </w:rPr>
        <w:t>others</w:t>
      </w:r>
      <w:r w:rsidR="00B64E9F" w:rsidRPr="0098688B">
        <w:rPr>
          <w:rFonts w:ascii="Arial" w:hAnsi="Arial" w:cs="Arial"/>
          <w:color w:val="7B7B7B" w:themeColor="accent3" w:themeShade="BF"/>
          <w:sz w:val="22"/>
          <w:szCs w:val="22"/>
          <w:lang w:val="en-GB"/>
        </w:rPr>
        <w:t xml:space="preserve"> without modifications). </w:t>
      </w:r>
    </w:p>
    <w:p w14:paraId="6E3D0E32" w14:textId="77777777" w:rsidR="00B64E9F" w:rsidRPr="0098688B" w:rsidRDefault="00B64E9F" w:rsidP="00B64E9F">
      <w:pPr>
        <w:autoSpaceDE w:val="0"/>
        <w:autoSpaceDN w:val="0"/>
        <w:adjustRightInd w:val="0"/>
        <w:jc w:val="both"/>
        <w:rPr>
          <w:rFonts w:ascii="Arial" w:hAnsi="Arial" w:cs="Arial"/>
          <w:color w:val="7B7B7B" w:themeColor="accent3" w:themeShade="BF"/>
          <w:sz w:val="22"/>
          <w:szCs w:val="22"/>
          <w:lang w:val="en-GB"/>
        </w:rPr>
      </w:pPr>
    </w:p>
    <w:p w14:paraId="375691E5" w14:textId="77777777" w:rsidR="00B64E9F" w:rsidRPr="0098688B" w:rsidRDefault="00B64E9F" w:rsidP="00B64E9F">
      <w:pPr>
        <w:pStyle w:val="Default"/>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Third Schedule of the IRDA outlines the procedure for recognizing a foreign proceeding with respect to the </w:t>
      </w:r>
      <w:r w:rsidRPr="0098688B">
        <w:rPr>
          <w:rFonts w:ascii="Arial" w:hAnsi="Arial" w:cs="Arial"/>
          <w:color w:val="7B7B7B" w:themeColor="accent3" w:themeShade="BF"/>
          <w:sz w:val="22"/>
          <w:szCs w:val="22"/>
        </w:rPr>
        <w:t>Model Law</w:t>
      </w:r>
      <w:r>
        <w:rPr>
          <w:rFonts w:ascii="Arial" w:hAnsi="Arial" w:cs="Arial"/>
          <w:color w:val="7B7B7B" w:themeColor="accent3" w:themeShade="BF"/>
          <w:sz w:val="22"/>
          <w:szCs w:val="22"/>
        </w:rPr>
        <w:t xml:space="preserve">: </w:t>
      </w:r>
    </w:p>
    <w:p w14:paraId="0F27D03E" w14:textId="77777777" w:rsidR="00B64E9F" w:rsidRPr="0098688B" w:rsidRDefault="00B64E9F" w:rsidP="00B64E9F">
      <w:pPr>
        <w:pStyle w:val="Default"/>
        <w:jc w:val="both"/>
        <w:rPr>
          <w:rFonts w:ascii="Arial" w:hAnsi="Arial" w:cs="Arial"/>
          <w:color w:val="7B7B7B" w:themeColor="accent3" w:themeShade="BF"/>
          <w:sz w:val="22"/>
          <w:szCs w:val="22"/>
        </w:rPr>
      </w:pPr>
    </w:p>
    <w:p w14:paraId="056C8A08" w14:textId="77777777" w:rsidR="00B64E9F" w:rsidRDefault="00B64E9F" w:rsidP="00B64E9F">
      <w:pPr>
        <w:pStyle w:val="ListParagraph"/>
        <w:numPr>
          <w:ilvl w:val="0"/>
          <w:numId w:val="35"/>
        </w:numPr>
        <w:jc w:val="both"/>
        <w:rPr>
          <w:rFonts w:ascii="Arial" w:hAnsi="Arial" w:cs="Arial"/>
          <w:color w:val="7B7B7B" w:themeColor="accent3" w:themeShade="BF"/>
          <w:sz w:val="22"/>
          <w:szCs w:val="22"/>
        </w:rPr>
      </w:pPr>
      <w:r w:rsidRPr="00690EE1">
        <w:rPr>
          <w:rFonts w:ascii="Arial" w:hAnsi="Arial" w:cs="Arial"/>
          <w:b/>
          <w:bCs/>
          <w:color w:val="7B7B7B" w:themeColor="accent3" w:themeShade="BF"/>
          <w:sz w:val="22"/>
          <w:szCs w:val="22"/>
        </w:rPr>
        <w:t>Articles 9 and 1</w:t>
      </w:r>
      <w:r>
        <w:rPr>
          <w:rFonts w:ascii="Arial" w:hAnsi="Arial" w:cs="Arial"/>
          <w:b/>
          <w:bCs/>
          <w:color w:val="7B7B7B" w:themeColor="accent3" w:themeShade="BF"/>
          <w:sz w:val="22"/>
          <w:szCs w:val="22"/>
        </w:rPr>
        <w:t>4 (Access of Foreign Representatives and Creditors to Courts in Singapore)</w:t>
      </w:r>
      <w:r>
        <w:rPr>
          <w:rFonts w:ascii="Arial" w:hAnsi="Arial" w:cs="Arial"/>
          <w:color w:val="7B7B7B" w:themeColor="accent3" w:themeShade="BF"/>
          <w:sz w:val="22"/>
          <w:szCs w:val="22"/>
        </w:rPr>
        <w:t xml:space="preserve"> - </w:t>
      </w:r>
      <w:r w:rsidRPr="0098688B">
        <w:rPr>
          <w:rFonts w:ascii="Arial" w:hAnsi="Arial" w:cs="Arial"/>
          <w:color w:val="7B7B7B" w:themeColor="accent3" w:themeShade="BF"/>
          <w:sz w:val="22"/>
          <w:szCs w:val="22"/>
        </w:rPr>
        <w:t>allow foreign representatives and creditors to apply directly to the Singapore Courts for the recognition of a foreign insolvency proceeding upon satisfaction of simplified proof requirements.</w:t>
      </w:r>
    </w:p>
    <w:p w14:paraId="2FF80E87" w14:textId="77777777" w:rsidR="00B64E9F" w:rsidRDefault="00B64E9F" w:rsidP="00B64E9F">
      <w:pPr>
        <w:pStyle w:val="ListParagraph"/>
        <w:ind w:left="1080"/>
        <w:jc w:val="both"/>
        <w:rPr>
          <w:rFonts w:ascii="Arial" w:hAnsi="Arial" w:cs="Arial"/>
          <w:color w:val="7B7B7B" w:themeColor="accent3" w:themeShade="BF"/>
          <w:sz w:val="22"/>
          <w:szCs w:val="22"/>
        </w:rPr>
      </w:pPr>
    </w:p>
    <w:p w14:paraId="5A521EAB" w14:textId="77777777" w:rsidR="00B64E9F" w:rsidRPr="0098688B" w:rsidRDefault="00B64E9F" w:rsidP="00B64E9F">
      <w:pPr>
        <w:pStyle w:val="ListParagraph"/>
        <w:numPr>
          <w:ilvl w:val="0"/>
          <w:numId w:val="35"/>
        </w:numPr>
        <w:jc w:val="both"/>
        <w:rPr>
          <w:rFonts w:ascii="Arial" w:hAnsi="Arial" w:cs="Arial"/>
          <w:color w:val="7B7B7B" w:themeColor="accent3" w:themeShade="BF"/>
          <w:sz w:val="22"/>
          <w:szCs w:val="22"/>
        </w:rPr>
      </w:pPr>
      <w:r>
        <w:rPr>
          <w:rFonts w:ascii="Arial" w:hAnsi="Arial" w:cs="Arial"/>
          <w:b/>
          <w:bCs/>
          <w:color w:val="7B7B7B" w:themeColor="accent3" w:themeShade="BF"/>
          <w:sz w:val="22"/>
          <w:szCs w:val="22"/>
        </w:rPr>
        <w:t xml:space="preserve">Article 15 - 24 (Recognition of a Foreign Proceeding and Relief) – </w:t>
      </w:r>
      <w:r>
        <w:rPr>
          <w:rFonts w:ascii="Arial" w:hAnsi="Arial" w:cs="Arial"/>
          <w:color w:val="7B7B7B" w:themeColor="accent3" w:themeShade="BF"/>
          <w:sz w:val="22"/>
          <w:szCs w:val="22"/>
        </w:rPr>
        <w:t xml:space="preserve">allows a foreign representative to apply for recognition and </w:t>
      </w:r>
      <w:r w:rsidRPr="0098688B">
        <w:rPr>
          <w:rFonts w:ascii="Arial" w:hAnsi="Arial" w:cs="Arial"/>
          <w:color w:val="7B7B7B" w:themeColor="accent3" w:themeShade="BF"/>
          <w:sz w:val="22"/>
          <w:szCs w:val="22"/>
        </w:rPr>
        <w:t>provides that the Court can grant interim relief upon request by the foreign representative</w:t>
      </w:r>
      <w:r>
        <w:rPr>
          <w:rFonts w:ascii="Arial" w:hAnsi="Arial" w:cs="Arial"/>
          <w:color w:val="7B7B7B" w:themeColor="accent3" w:themeShade="BF"/>
          <w:sz w:val="22"/>
          <w:szCs w:val="22"/>
        </w:rPr>
        <w:t>.</w:t>
      </w:r>
    </w:p>
    <w:p w14:paraId="1B6F66DB" w14:textId="77777777" w:rsidR="00B64E9F" w:rsidRPr="0098688B" w:rsidRDefault="00B64E9F" w:rsidP="00B64E9F">
      <w:pPr>
        <w:pStyle w:val="Default"/>
        <w:jc w:val="both"/>
        <w:rPr>
          <w:rFonts w:ascii="Arial" w:hAnsi="Arial" w:cs="Arial"/>
          <w:color w:val="7B7B7B" w:themeColor="accent3" w:themeShade="BF"/>
          <w:sz w:val="22"/>
          <w:szCs w:val="22"/>
        </w:rPr>
      </w:pPr>
    </w:p>
    <w:p w14:paraId="1BC9A625" w14:textId="77777777" w:rsidR="00B64E9F" w:rsidRPr="0098688B" w:rsidRDefault="00B64E9F" w:rsidP="00B64E9F">
      <w:pPr>
        <w:pStyle w:val="ListParagraph"/>
        <w:numPr>
          <w:ilvl w:val="0"/>
          <w:numId w:val="36"/>
        </w:numPr>
        <w:jc w:val="both"/>
        <w:rPr>
          <w:rFonts w:ascii="Arial" w:hAnsi="Arial" w:cs="Arial"/>
          <w:color w:val="7B7B7B" w:themeColor="accent3" w:themeShade="BF"/>
          <w:sz w:val="22"/>
          <w:szCs w:val="22"/>
        </w:rPr>
      </w:pPr>
      <w:r w:rsidRPr="00690EE1">
        <w:rPr>
          <w:rFonts w:ascii="Arial" w:hAnsi="Arial" w:cs="Arial"/>
          <w:b/>
          <w:bCs/>
          <w:color w:val="7B7B7B" w:themeColor="accent3" w:themeShade="BF"/>
          <w:sz w:val="22"/>
          <w:szCs w:val="22"/>
        </w:rPr>
        <w:t>Articles 25 to 27</w:t>
      </w:r>
      <w:r w:rsidRPr="0098688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r w:rsidRPr="0098688B">
        <w:rPr>
          <w:rFonts w:ascii="Arial" w:hAnsi="Arial" w:cs="Arial"/>
          <w:color w:val="7B7B7B" w:themeColor="accent3" w:themeShade="BF"/>
          <w:sz w:val="22"/>
          <w:szCs w:val="22"/>
        </w:rPr>
        <w:t>authorize the local courts and local insolvency representatives to co-operate and communicate directly with foreign courts and foreign insolvency representatives.</w:t>
      </w:r>
    </w:p>
    <w:p w14:paraId="21F790F7" w14:textId="77777777" w:rsidR="00B64E9F" w:rsidRPr="0098688B" w:rsidRDefault="00B64E9F" w:rsidP="00B64E9F">
      <w:pPr>
        <w:jc w:val="both"/>
        <w:rPr>
          <w:rFonts w:ascii="Arial" w:hAnsi="Arial" w:cs="Arial"/>
          <w:color w:val="7B7B7B" w:themeColor="accent3" w:themeShade="BF"/>
          <w:sz w:val="22"/>
          <w:szCs w:val="22"/>
        </w:rPr>
      </w:pPr>
    </w:p>
    <w:p w14:paraId="31811E0F" w14:textId="77777777" w:rsidR="00B64E9F" w:rsidRPr="0098688B" w:rsidRDefault="00B64E9F" w:rsidP="00B64E9F">
      <w:pPr>
        <w:pStyle w:val="Default"/>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Apart from the </w:t>
      </w:r>
      <w:r w:rsidRPr="0098688B">
        <w:rPr>
          <w:rFonts w:ascii="Arial" w:hAnsi="Arial" w:cs="Arial"/>
          <w:color w:val="7B7B7B" w:themeColor="accent3" w:themeShade="BF"/>
          <w:sz w:val="22"/>
          <w:szCs w:val="22"/>
        </w:rPr>
        <w:t>Model Law, the JIN</w:t>
      </w:r>
      <w:r>
        <w:rPr>
          <w:rFonts w:ascii="Arial" w:hAnsi="Arial" w:cs="Arial"/>
          <w:color w:val="7B7B7B" w:themeColor="accent3" w:themeShade="BF"/>
          <w:sz w:val="22"/>
          <w:szCs w:val="22"/>
        </w:rPr>
        <w:t xml:space="preserve"> Guidelines are used by the judicial system in Singapore as a guide</w:t>
      </w:r>
      <w:r w:rsidRPr="0098688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in </w:t>
      </w:r>
      <w:r w:rsidRPr="0098688B">
        <w:rPr>
          <w:rFonts w:ascii="Arial" w:hAnsi="Arial" w:cs="Arial"/>
          <w:color w:val="7B7B7B" w:themeColor="accent3" w:themeShade="BF"/>
          <w:sz w:val="22"/>
          <w:szCs w:val="22"/>
        </w:rPr>
        <w:t>dealing with concurrent proceedings in various jurisdictions.</w:t>
      </w:r>
    </w:p>
    <w:p w14:paraId="416B067B" w14:textId="77777777" w:rsidR="00B64E9F" w:rsidRPr="0098688B" w:rsidRDefault="00B64E9F" w:rsidP="00B64E9F">
      <w:pPr>
        <w:pStyle w:val="Default"/>
        <w:jc w:val="both"/>
        <w:rPr>
          <w:rFonts w:ascii="Arial" w:hAnsi="Arial" w:cs="Arial"/>
          <w:color w:val="7B7B7B" w:themeColor="accent3" w:themeShade="BF"/>
          <w:sz w:val="22"/>
          <w:szCs w:val="22"/>
        </w:rPr>
      </w:pPr>
    </w:p>
    <w:p w14:paraId="1F5CD344" w14:textId="41E47F24" w:rsidR="002D3473" w:rsidRPr="002A37BB" w:rsidRDefault="00B64E9F" w:rsidP="00B64E9F">
      <w:pPr>
        <w:autoSpaceDE w:val="0"/>
        <w:autoSpaceDN w:val="0"/>
        <w:adjustRightInd w:val="0"/>
        <w:jc w:val="both"/>
        <w:rPr>
          <w:rFonts w:ascii="Arial" w:hAnsi="Arial" w:cs="Arial"/>
          <w:sz w:val="22"/>
          <w:szCs w:val="22"/>
          <w:lang w:val="en-GB"/>
        </w:rPr>
      </w:pPr>
      <w:r w:rsidRPr="0098688B">
        <w:rPr>
          <w:rFonts w:ascii="Arial" w:eastAsiaTheme="minorHAnsi" w:hAnsi="Arial" w:cs="Arial"/>
          <w:color w:val="7B7B7B" w:themeColor="accent3" w:themeShade="BF"/>
          <w:sz w:val="22"/>
          <w:szCs w:val="22"/>
        </w:rPr>
        <w:t xml:space="preserve">Prior to the adoption of the Model Law, </w:t>
      </w:r>
      <w:r>
        <w:rPr>
          <w:rFonts w:ascii="Arial" w:eastAsiaTheme="minorHAnsi" w:hAnsi="Arial" w:cs="Arial"/>
          <w:color w:val="7B7B7B" w:themeColor="accent3" w:themeShade="BF"/>
          <w:sz w:val="22"/>
          <w:szCs w:val="22"/>
        </w:rPr>
        <w:t xml:space="preserve">common law principles were used by </w:t>
      </w:r>
      <w:r w:rsidRPr="0098688B">
        <w:rPr>
          <w:rFonts w:ascii="Arial" w:eastAsiaTheme="minorHAnsi" w:hAnsi="Arial" w:cs="Arial"/>
          <w:color w:val="7B7B7B" w:themeColor="accent3" w:themeShade="BF"/>
          <w:sz w:val="22"/>
          <w:szCs w:val="22"/>
        </w:rPr>
        <w:t>the courts in Singapore</w:t>
      </w:r>
      <w:r>
        <w:rPr>
          <w:rFonts w:ascii="Arial" w:eastAsiaTheme="minorHAnsi" w:hAnsi="Arial" w:cs="Arial"/>
          <w:color w:val="7B7B7B" w:themeColor="accent3" w:themeShade="BF"/>
          <w:sz w:val="22"/>
          <w:szCs w:val="22"/>
        </w:rPr>
        <w:t xml:space="preserve"> to </w:t>
      </w:r>
      <w:r w:rsidRPr="0098688B">
        <w:rPr>
          <w:rFonts w:ascii="Arial" w:eastAsiaTheme="minorHAnsi" w:hAnsi="Arial" w:cs="Arial"/>
          <w:color w:val="7B7B7B" w:themeColor="accent3" w:themeShade="BF"/>
          <w:sz w:val="22"/>
          <w:szCs w:val="22"/>
        </w:rPr>
        <w:t xml:space="preserve">recognize foreign insolvencies </w:t>
      </w:r>
      <w:r>
        <w:rPr>
          <w:rFonts w:ascii="Arial" w:eastAsiaTheme="minorHAnsi" w:hAnsi="Arial" w:cs="Arial"/>
          <w:color w:val="7B7B7B" w:themeColor="accent3" w:themeShade="BF"/>
          <w:sz w:val="22"/>
          <w:szCs w:val="22"/>
        </w:rPr>
        <w:t>that</w:t>
      </w:r>
      <w:r w:rsidRPr="0098688B">
        <w:rPr>
          <w:rFonts w:ascii="Arial" w:eastAsiaTheme="minorHAnsi" w:hAnsi="Arial" w:cs="Arial"/>
          <w:color w:val="7B7B7B" w:themeColor="accent3" w:themeShade="BF"/>
          <w:sz w:val="22"/>
          <w:szCs w:val="22"/>
        </w:rPr>
        <w:t xml:space="preserve"> take place in the jurisdiction where the debtor company is registered</w:t>
      </w:r>
      <w:r>
        <w:rPr>
          <w:rFonts w:ascii="Arial" w:eastAsiaTheme="minorHAnsi" w:hAnsi="Arial" w:cs="Arial"/>
          <w:color w:val="7B7B7B" w:themeColor="accent3" w:themeShade="BF"/>
          <w:sz w:val="22"/>
          <w:szCs w:val="22"/>
        </w:rPr>
        <w:t xml:space="preserve"> or </w:t>
      </w:r>
      <w:r w:rsidRPr="0098688B">
        <w:rPr>
          <w:rFonts w:ascii="Arial" w:eastAsiaTheme="minorHAnsi" w:hAnsi="Arial" w:cs="Arial"/>
          <w:color w:val="7B7B7B" w:themeColor="accent3" w:themeShade="BF"/>
          <w:sz w:val="22"/>
          <w:szCs w:val="22"/>
        </w:rPr>
        <w:t>where the debtor company's centre of main interest is located</w:t>
      </w:r>
      <w:r>
        <w:rPr>
          <w:rFonts w:ascii="Arial" w:eastAsiaTheme="minorHAnsi" w:hAnsi="Arial" w:cs="Arial"/>
          <w:color w:val="7B7B7B" w:themeColor="accent3" w:themeShade="BF"/>
          <w:sz w:val="22"/>
          <w:szCs w:val="22"/>
        </w:rPr>
        <w:t>.</w:t>
      </w:r>
      <w:r w:rsidR="0007291B" w:rsidRPr="002A37BB">
        <w:rPr>
          <w:rFonts w:ascii="Arial" w:hAnsi="Arial" w:cs="Arial"/>
          <w:color w:val="7B7B7B" w:themeColor="accent3" w:themeShade="BF"/>
          <w:sz w:val="22"/>
          <w:szCs w:val="22"/>
          <w:lang w:val="en-GB"/>
        </w:rPr>
        <w:t>]</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B1CE" w14:textId="77777777" w:rsidR="006A04C8" w:rsidRDefault="006A04C8">
      <w:r>
        <w:separator/>
      </w:r>
    </w:p>
  </w:endnote>
  <w:endnote w:type="continuationSeparator" w:id="0">
    <w:p w14:paraId="1713BBF4" w14:textId="77777777" w:rsidR="006A04C8" w:rsidRDefault="006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UniversLTStd55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4D6E6040" w:rsidR="00241FA3" w:rsidRPr="009B4976" w:rsidRDefault="00386208" w:rsidP="009B4976">
    <w:pPr>
      <w:pStyle w:val="Footer"/>
      <w:ind w:right="360"/>
      <w:rPr>
        <w:rFonts w:ascii="Arial" w:hAnsi="Arial" w:cs="Arial"/>
        <w:sz w:val="18"/>
        <w:szCs w:val="18"/>
        <w:lang w:val="en-GB"/>
      </w:rPr>
    </w:pPr>
    <w:r>
      <w:rPr>
        <w:rFonts w:ascii="Arial" w:hAnsi="Arial" w:cs="Arial"/>
        <w:sz w:val="18"/>
        <w:szCs w:val="18"/>
        <w:lang w:val="en-GB"/>
      </w:rPr>
      <w:t>202021IFU-304</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E1CA" w14:textId="77777777" w:rsidR="006A04C8" w:rsidRDefault="006A04C8">
      <w:r>
        <w:separator/>
      </w:r>
    </w:p>
  </w:footnote>
  <w:footnote w:type="continuationSeparator" w:id="0">
    <w:p w14:paraId="3ACDEF1F" w14:textId="77777777" w:rsidR="006A04C8" w:rsidRDefault="006A04C8">
      <w:r>
        <w:continuationSeparator/>
      </w:r>
    </w:p>
  </w:footnote>
  <w:footnote w:id="1">
    <w:p w14:paraId="5F411F5C" w14:textId="77777777" w:rsidR="00386208" w:rsidRDefault="00386208" w:rsidP="00386208">
      <w:pPr>
        <w:pStyle w:val="FootnoteText"/>
      </w:pPr>
      <w:r>
        <w:rPr>
          <w:rStyle w:val="FootnoteReference"/>
        </w:rPr>
        <w:footnoteRef/>
      </w:r>
      <w:r>
        <w:t xml:space="preserve"> INSOL International, Module 8E, Guidance Text, Singapore (2020/2021), Section 9.1, p.54. “The IRD Act 2018, then the Omnibus Bill, was submitted to Parliament for First Reading on 10 September 2018 and came into effect on 30 July 2020.” Hereinafter, references to this source will be referred to as “the Guidance Text”). </w:t>
      </w:r>
    </w:p>
  </w:footnote>
  <w:footnote w:id="2">
    <w:p w14:paraId="605CF0F9" w14:textId="77777777" w:rsidR="00386208" w:rsidRDefault="00386208" w:rsidP="00386208">
      <w:pPr>
        <w:pStyle w:val="FootnoteText"/>
      </w:pPr>
      <w:r>
        <w:rPr>
          <w:rStyle w:val="FootnoteReference"/>
        </w:rPr>
        <w:footnoteRef/>
      </w:r>
      <w:r>
        <w:t xml:space="preserve"> IRDA, Section 217 (3) to (15) outlines the interpretation of an ‘associate’ of a company. </w:t>
      </w:r>
    </w:p>
  </w:footnote>
  <w:footnote w:id="3">
    <w:p w14:paraId="68957784" w14:textId="77777777" w:rsidR="00386208" w:rsidRDefault="00386208" w:rsidP="00386208">
      <w:pPr>
        <w:pStyle w:val="FootnoteText"/>
      </w:pPr>
      <w:r>
        <w:rPr>
          <w:rStyle w:val="FootnoteReference"/>
        </w:rPr>
        <w:footnoteRef/>
      </w:r>
      <w:r>
        <w:t xml:space="preserve"> Idem, Section 227 (3).</w:t>
      </w:r>
    </w:p>
  </w:footnote>
  <w:footnote w:id="4">
    <w:p w14:paraId="4916F4D8" w14:textId="77777777" w:rsidR="00386208" w:rsidRDefault="00386208" w:rsidP="00386208">
      <w:pPr>
        <w:pStyle w:val="FootnoteText"/>
      </w:pPr>
      <w:r>
        <w:rPr>
          <w:rStyle w:val="FootnoteReference"/>
        </w:rPr>
        <w:footnoteRef/>
      </w:r>
      <w:r>
        <w:t xml:space="preserve"> Ibid.</w:t>
      </w:r>
    </w:p>
  </w:footnote>
  <w:footnote w:id="5">
    <w:p w14:paraId="111130B2" w14:textId="77777777" w:rsidR="00EE02B3" w:rsidRDefault="00EE02B3" w:rsidP="00EE02B3">
      <w:pPr>
        <w:pStyle w:val="FootnoteText"/>
      </w:pPr>
      <w:r>
        <w:rPr>
          <w:rStyle w:val="FootnoteReference"/>
        </w:rPr>
        <w:footnoteRef/>
      </w:r>
      <w:r>
        <w:t xml:space="preserve"> Merriam-webster also defines this Latin phrase as “an inevitable result”, https://www.merriam-webster.com/dictionary/ipso%20facto</w:t>
      </w:r>
    </w:p>
  </w:footnote>
  <w:footnote w:id="6">
    <w:p w14:paraId="5B85D2D6" w14:textId="77777777" w:rsidR="00EE02B3" w:rsidRDefault="00EE02B3" w:rsidP="00EE02B3">
      <w:pPr>
        <w:pStyle w:val="FootnoteText"/>
      </w:pPr>
      <w:r>
        <w:rPr>
          <w:rStyle w:val="FootnoteReference"/>
        </w:rPr>
        <w:footnoteRef/>
      </w:r>
      <w:r>
        <w:t xml:space="preserve"> Insolvency, Restructuring and Dissolution (Prescribed Contracts under Section 440) Regulations 2020, Section(3) also speaks to the excluded contracts.</w:t>
      </w:r>
    </w:p>
  </w:footnote>
  <w:footnote w:id="7">
    <w:p w14:paraId="37F64218" w14:textId="77777777" w:rsidR="00EE02B3" w:rsidRDefault="00EE02B3" w:rsidP="00EE02B3">
      <w:pPr>
        <w:autoSpaceDE w:val="0"/>
        <w:autoSpaceDN w:val="0"/>
        <w:adjustRightInd w:val="0"/>
      </w:pPr>
      <w:r>
        <w:rPr>
          <w:rStyle w:val="FootnoteReference"/>
        </w:rPr>
        <w:footnoteRef/>
      </w:r>
      <w:r>
        <w:t xml:space="preserve"> IRDA Section 526 Saving and transitional provisions relating to amendments to Companies Act</w:t>
      </w:r>
    </w:p>
  </w:footnote>
  <w:footnote w:id="8">
    <w:p w14:paraId="7D527133" w14:textId="77777777" w:rsidR="00EE02B3" w:rsidRDefault="00EE02B3" w:rsidP="00EE02B3">
      <w:pPr>
        <w:pStyle w:val="FootnoteText"/>
      </w:pPr>
      <w:r>
        <w:rPr>
          <w:rStyle w:val="FootnoteReference"/>
        </w:rPr>
        <w:footnoteRef/>
      </w:r>
      <w:r>
        <w:t xml:space="preserve"> INSOL Guidance Text, Module Eight, Section 9.5 (New wrongful trading provision), p.55</w:t>
      </w:r>
    </w:p>
  </w:footnote>
  <w:footnote w:id="9">
    <w:p w14:paraId="1B9D720D" w14:textId="77777777" w:rsidR="00E81CC0" w:rsidRDefault="00E81CC0" w:rsidP="00E81CC0">
      <w:pPr>
        <w:pStyle w:val="FootnoteText"/>
      </w:pPr>
      <w:r>
        <w:rPr>
          <w:rStyle w:val="FootnoteReference"/>
        </w:rPr>
        <w:footnoteRef/>
      </w:r>
      <w:r>
        <w:t xml:space="preserve"> </w:t>
      </w:r>
      <w:proofErr w:type="spellStart"/>
      <w:r>
        <w:t>Kiat</w:t>
      </w:r>
      <w:proofErr w:type="spellEnd"/>
      <w:r>
        <w:t>, Sim Kwan and Zhu, Wilson, Chambers Law Firm, Section 1 (Market trends and developments), subsection 1.1 (State of the Restructuring Market), at &lt;</w:t>
      </w:r>
      <w:hyperlink r:id="rId1" w:history="1">
        <w:r w:rsidRPr="003A53E3">
          <w:rPr>
            <w:rStyle w:val="Hyperlink"/>
            <w:rFonts w:ascii="ArialMT" w:eastAsia="MS Mincho" w:hAnsi="ArialMT" w:cs="ArialMT"/>
            <w:sz w:val="16"/>
            <w:szCs w:val="16"/>
          </w:rPr>
          <w:t>https://practiceguides.chambers.com/practice-guides/comparison/513/5976/9343-9345-9352-9358-9362-9368-9385-9389-9394-9398-9401</w:t>
        </w:r>
      </w:hyperlink>
      <w:r>
        <w:rPr>
          <w:rFonts w:ascii="ArialMT" w:eastAsia="MS Mincho" w:hAnsi="ArialMT" w:cs="ArialMT"/>
          <w:sz w:val="16"/>
          <w:szCs w:val="16"/>
        </w:rPr>
        <w:t xml:space="preserve">&gt;&gt;, </w:t>
      </w:r>
      <w:r w:rsidRPr="003226BE">
        <w:t>accessed</w:t>
      </w:r>
      <w:r>
        <w:rPr>
          <w:rFonts w:ascii="ArialMT" w:eastAsia="MS Mincho" w:hAnsi="ArialMT" w:cs="ArialMT"/>
          <w:sz w:val="16"/>
          <w:szCs w:val="16"/>
        </w:rPr>
        <w:t xml:space="preserve"> 6 July, 2021.</w:t>
      </w:r>
    </w:p>
  </w:footnote>
  <w:footnote w:id="10">
    <w:p w14:paraId="022D299A" w14:textId="77777777" w:rsidR="00E81CC0" w:rsidRDefault="00E81CC0" w:rsidP="00E81CC0">
      <w:pPr>
        <w:pStyle w:val="FootnoteText"/>
      </w:pPr>
      <w:r>
        <w:rPr>
          <w:rStyle w:val="FootnoteReference"/>
        </w:rPr>
        <w:footnoteRef/>
      </w:r>
      <w:r>
        <w:t xml:space="preserve"> The Guidance Text, section 6.1.3.3 (Winding-up/liquidations), p.12.</w:t>
      </w:r>
    </w:p>
  </w:footnote>
  <w:footnote w:id="11">
    <w:p w14:paraId="121B8DFB" w14:textId="77777777" w:rsidR="00E81CC0" w:rsidRDefault="00E81CC0" w:rsidP="00E81CC0">
      <w:pPr>
        <w:pStyle w:val="FootnoteText"/>
      </w:pPr>
      <w:r>
        <w:rPr>
          <w:rStyle w:val="FootnoteReference"/>
        </w:rPr>
        <w:footnoteRef/>
      </w:r>
      <w:r>
        <w:t xml:space="preserve"> As defined in Section 67(9)(a)(B) of the IRDA.</w:t>
      </w:r>
    </w:p>
  </w:footnote>
  <w:footnote w:id="12">
    <w:p w14:paraId="46229C64" w14:textId="77777777" w:rsidR="00E81CC0" w:rsidRDefault="00E81CC0" w:rsidP="00E81CC0">
      <w:pPr>
        <w:pStyle w:val="FootnoteText"/>
      </w:pPr>
      <w:r>
        <w:rPr>
          <w:rStyle w:val="FootnoteReference"/>
        </w:rPr>
        <w:footnoteRef/>
      </w:r>
      <w:r>
        <w:t xml:space="preserve"> Rescue financing satisfies either or both of these conditions.</w:t>
      </w:r>
    </w:p>
  </w:footnote>
  <w:footnote w:id="13">
    <w:p w14:paraId="38D689BC" w14:textId="77777777" w:rsidR="00E81CC0" w:rsidRDefault="00E81CC0" w:rsidP="00E81CC0">
      <w:pPr>
        <w:pStyle w:val="FootnoteText"/>
      </w:pPr>
      <w:r>
        <w:rPr>
          <w:rStyle w:val="FootnoteReference"/>
        </w:rPr>
        <w:footnoteRef/>
      </w:r>
      <w:r>
        <w:t xml:space="preserve"> Section 246(3)(Winding up of unregistered companies) outlines what constitutes as a ‘substantial connection’ with Singapore.</w:t>
      </w:r>
    </w:p>
  </w:footnote>
  <w:footnote w:id="14">
    <w:p w14:paraId="75EE557A" w14:textId="77777777" w:rsidR="00B64E9F" w:rsidRPr="00A41456" w:rsidRDefault="00B64E9F" w:rsidP="00B64E9F">
      <w:r>
        <w:rPr>
          <w:rStyle w:val="FootnoteReference"/>
        </w:rPr>
        <w:footnoteRef/>
      </w:r>
      <w:r>
        <w:t xml:space="preserve"> “The UNCITRAL Model Law on Cross-Border Insolvency (1997) is designed to assist States in developing a modern, harmonized and fair insolvency framework to more effectively address instances of cross-border proceedings concerning debtors experiencing severe financial distress or insolvency.” at &lt;&lt;</w:t>
      </w:r>
      <w:r>
        <w:rPr>
          <w:rFonts w:ascii="Arial" w:hAnsi="Arial" w:cs="Arial"/>
          <w:color w:val="1A0DAB"/>
          <w:shd w:val="clear" w:color="auto" w:fill="FFFFFF"/>
        </w:rPr>
        <w:fldChar w:fldCharType="begin"/>
      </w:r>
      <w:r>
        <w:rPr>
          <w:rFonts w:ascii="Arial" w:hAnsi="Arial" w:cs="Arial"/>
          <w:color w:val="1A0DAB"/>
          <w:shd w:val="clear" w:color="auto" w:fill="FFFFFF"/>
        </w:rPr>
        <w:instrText xml:space="preserve"> HYPERLINK "</w:instrText>
      </w:r>
      <w:r w:rsidRPr="003F3A81">
        <w:rPr>
          <w:rFonts w:ascii="Arial" w:hAnsi="Arial" w:cs="Arial"/>
          <w:color w:val="1A0DAB"/>
          <w:shd w:val="clear" w:color="auto" w:fill="FFFFFF"/>
        </w:rPr>
        <w:br/>
      </w:r>
      <w:r w:rsidRPr="00A41456">
        <w:instrText>https://uncitral.un.org › texts › insolvency</w:instrText>
      </w:r>
      <w:r>
        <w:instrText>&gt;&gt; on 6 July 2021.</w:instrText>
      </w:r>
    </w:p>
    <w:p w14:paraId="53521B83" w14:textId="77777777" w:rsidR="00B64E9F" w:rsidRPr="003A53E3" w:rsidRDefault="00B64E9F" w:rsidP="00B64E9F">
      <w:pPr>
        <w:rPr>
          <w:rStyle w:val="Hyperlink"/>
        </w:rPr>
      </w:pPr>
      <w:r>
        <w:rPr>
          <w:rFonts w:ascii="Arial" w:hAnsi="Arial" w:cs="Arial"/>
          <w:color w:val="1A0DAB"/>
          <w:shd w:val="clear" w:color="auto" w:fill="FFFFFF"/>
        </w:rPr>
        <w:instrText xml:space="preserve">" </w:instrText>
      </w:r>
      <w:r>
        <w:rPr>
          <w:rFonts w:ascii="Arial" w:hAnsi="Arial" w:cs="Arial"/>
          <w:color w:val="1A0DAB"/>
          <w:shd w:val="clear" w:color="auto" w:fill="FFFFFF"/>
        </w:rPr>
        <w:fldChar w:fldCharType="separate"/>
      </w:r>
      <w:r w:rsidRPr="003A53E3">
        <w:rPr>
          <w:rStyle w:val="Hyperlink"/>
          <w:rFonts w:ascii="Arial" w:hAnsi="Arial" w:cs="Arial"/>
          <w:shd w:val="clear" w:color="auto" w:fill="FFFFFF"/>
        </w:rPr>
        <w:br/>
      </w:r>
      <w:r w:rsidRPr="003A53E3">
        <w:rPr>
          <w:rStyle w:val="Hyperlink"/>
        </w:rPr>
        <w:t xml:space="preserve">https://uncitral.un.org › texts › insolvency&gt;&gt; </w:t>
      </w:r>
      <w:r w:rsidRPr="00690EE1">
        <w:t>on 6 July 2021.</w:t>
      </w:r>
    </w:p>
    <w:p w14:paraId="0FF6438A" w14:textId="77777777" w:rsidR="00B64E9F" w:rsidRDefault="00B64E9F" w:rsidP="00B64E9F">
      <w:pPr>
        <w:pStyle w:val="FootnoteText"/>
      </w:pPr>
      <w:r>
        <w:rPr>
          <w:rFonts w:ascii="Arial" w:hAnsi="Arial" w:cs="Arial"/>
          <w:color w:val="1A0DAB"/>
          <w:shd w:val="clear" w:color="auto" w:fill="FFFFFF"/>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AC0"/>
    <w:multiLevelType w:val="hybridMultilevel"/>
    <w:tmpl w:val="30C43218"/>
    <w:lvl w:ilvl="0" w:tplc="DDC6A7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E525AC"/>
    <w:multiLevelType w:val="hybridMultilevel"/>
    <w:tmpl w:val="CC24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F6373"/>
    <w:multiLevelType w:val="singleLevel"/>
    <w:tmpl w:val="7C0A21C0"/>
    <w:lvl w:ilvl="0">
      <w:start w:val="1"/>
      <w:numFmt w:val="bullet"/>
      <w:lvlText w:val=""/>
      <w:lvlJc w:val="left"/>
      <w:pPr>
        <w:ind w:left="720" w:hanging="360"/>
      </w:pPr>
      <w:rPr>
        <w:rFonts w:ascii="Wingdings" w:hAnsi="Wingdings" w:hint="default"/>
        <w:color w:val="7B7B7B" w:themeColor="accent3" w:themeShade="BF"/>
        <w:sz w:val="24"/>
      </w:rPr>
    </w:lvl>
  </w:abstractNum>
  <w:abstractNum w:abstractNumId="4" w15:restartNumberingAfterBreak="0">
    <w:nsid w:val="0B706764"/>
    <w:multiLevelType w:val="hybridMultilevel"/>
    <w:tmpl w:val="980C8C46"/>
    <w:lvl w:ilvl="0" w:tplc="287A285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525A51"/>
    <w:multiLevelType w:val="hybridMultilevel"/>
    <w:tmpl w:val="49A0E200"/>
    <w:lvl w:ilvl="0" w:tplc="2212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217113FB"/>
    <w:multiLevelType w:val="hybridMultilevel"/>
    <w:tmpl w:val="0C7078DA"/>
    <w:lvl w:ilvl="0" w:tplc="C93E06D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0"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1" w15:restartNumberingAfterBreak="0">
    <w:nsid w:val="2F936815"/>
    <w:multiLevelType w:val="hybridMultilevel"/>
    <w:tmpl w:val="3E42EF96"/>
    <w:lvl w:ilvl="0" w:tplc="030E861E">
      <w:start w:val="1"/>
      <w:numFmt w:val="lowerLetter"/>
      <w:lvlText w:val="(%1)"/>
      <w:lvlJc w:val="left"/>
      <w:pPr>
        <w:ind w:left="780" w:hanging="360"/>
      </w:pPr>
      <w:rPr>
        <w:rFonts w:hint="default"/>
        <w:color w:val="7B7B7B" w:themeColor="accent3" w:themeShade="BF"/>
      </w:rPr>
    </w:lvl>
    <w:lvl w:ilvl="1" w:tplc="30EE6C54">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4D04A34"/>
    <w:multiLevelType w:val="hybridMultilevel"/>
    <w:tmpl w:val="CF2C78F6"/>
    <w:lvl w:ilvl="0" w:tplc="1B9CB5C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144DC"/>
    <w:multiLevelType w:val="hybridMultilevel"/>
    <w:tmpl w:val="910AA502"/>
    <w:lvl w:ilvl="0" w:tplc="EB9A0CCA">
      <w:start w:val="1"/>
      <w:numFmt w:val="bullet"/>
      <w:lvlText w:val=""/>
      <w:lvlJc w:val="left"/>
      <w:pPr>
        <w:ind w:left="720" w:hanging="360"/>
      </w:pPr>
      <w:rPr>
        <w:rFonts w:ascii="Wingdings" w:hAnsi="Wingdings"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5F92DFB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17C4F"/>
    <w:multiLevelType w:val="hybridMultilevel"/>
    <w:tmpl w:val="4C524682"/>
    <w:lvl w:ilvl="0" w:tplc="DDC6A7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33D99"/>
    <w:multiLevelType w:val="multilevel"/>
    <w:tmpl w:val="DE50414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1" w15:restartNumberingAfterBreak="0">
    <w:nsid w:val="53A1204D"/>
    <w:multiLevelType w:val="hybridMultilevel"/>
    <w:tmpl w:val="AE1A8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4B7DA6"/>
    <w:multiLevelType w:val="hybridMultilevel"/>
    <w:tmpl w:val="A07AFDEC"/>
    <w:lvl w:ilvl="0" w:tplc="0E72764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31F6D"/>
    <w:multiLevelType w:val="multilevel"/>
    <w:tmpl w:val="B8A63A1C"/>
    <w:lvl w:ilvl="0">
      <w:start w:val="1"/>
      <w:numFmt w:val="decimal"/>
      <w:lvlText w:val="%1"/>
      <w:lvlJc w:val="left"/>
      <w:pPr>
        <w:tabs>
          <w:tab w:val="num" w:pos="340"/>
        </w:tabs>
        <w:ind w:left="340" w:hanging="340"/>
      </w:pPr>
      <w:rPr>
        <w:rFonts w:ascii="Arial" w:hAnsi="Arial" w:cs="Arial"/>
      </w:rPr>
    </w:lvl>
    <w:lvl w:ilvl="1">
      <w:start w:val="1"/>
      <w:numFmt w:val="lowerLetter"/>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5" w15:restartNumberingAfterBreak="0">
    <w:nsid w:val="6B5E5354"/>
    <w:multiLevelType w:val="singleLevel"/>
    <w:tmpl w:val="562C26DE"/>
    <w:lvl w:ilvl="0">
      <w:start w:val="1"/>
      <w:numFmt w:val="bullet"/>
      <w:lvlText w:val=""/>
      <w:lvlJc w:val="left"/>
      <w:pPr>
        <w:ind w:left="360" w:hanging="360"/>
      </w:pPr>
      <w:rPr>
        <w:rFonts w:ascii="Wingdings" w:hAnsi="Wingdings" w:hint="default"/>
        <w:color w:val="7B7B7B" w:themeColor="accent3" w:themeShade="BF"/>
        <w:sz w:val="24"/>
      </w:rPr>
    </w:lvl>
  </w:abstractNum>
  <w:abstractNum w:abstractNumId="2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2756E"/>
    <w:multiLevelType w:val="hybridMultilevel"/>
    <w:tmpl w:val="49A0E200"/>
    <w:lvl w:ilvl="0" w:tplc="2212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42EDB"/>
    <w:multiLevelType w:val="hybridMultilevel"/>
    <w:tmpl w:val="802A2B26"/>
    <w:lvl w:ilvl="0" w:tplc="DDC6A7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8515E"/>
    <w:multiLevelType w:val="hybridMultilevel"/>
    <w:tmpl w:val="B464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4"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6"/>
  </w:num>
  <w:num w:numId="5">
    <w:abstractNumId w:val="15"/>
  </w:num>
  <w:num w:numId="6">
    <w:abstractNumId w:val="33"/>
  </w:num>
  <w:num w:numId="7">
    <w:abstractNumId w:val="7"/>
  </w:num>
  <w:num w:numId="8">
    <w:abstractNumId w:val="29"/>
  </w:num>
  <w:num w:numId="9">
    <w:abstractNumId w:val="31"/>
  </w:num>
  <w:num w:numId="10">
    <w:abstractNumId w:val="13"/>
  </w:num>
  <w:num w:numId="11">
    <w:abstractNumId w:val="26"/>
  </w:num>
  <w:num w:numId="12">
    <w:abstractNumId w:val="16"/>
  </w:num>
  <w:num w:numId="13">
    <w:abstractNumId w:val="19"/>
  </w:num>
  <w:num w:numId="14">
    <w:abstractNumId w:val="2"/>
  </w:num>
  <w:num w:numId="15">
    <w:abstractNumId w:val="23"/>
  </w:num>
  <w:num w:numId="16">
    <w:abstractNumId w:val="30"/>
  </w:num>
  <w:num w:numId="17">
    <w:abstractNumId w:val="3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20"/>
  </w:num>
  <w:num w:numId="32">
    <w:abstractNumId w:val="11"/>
  </w:num>
  <w:num w:numId="33">
    <w:abstractNumId w:val="17"/>
  </w:num>
  <w:num w:numId="34">
    <w:abstractNumId w:val="12"/>
  </w:num>
  <w:num w:numId="35">
    <w:abstractNumId w:val="5"/>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208"/>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2CD"/>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0D9B"/>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04C8"/>
    <w:rsid w:val="006A2646"/>
    <w:rsid w:val="006A6530"/>
    <w:rsid w:val="006A6F21"/>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66236"/>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64E9F"/>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27D7F"/>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44C5"/>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81CC0"/>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02B3"/>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iPriority w:val="99"/>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uiPriority w:val="99"/>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efault">
    <w:name w:val="Default"/>
    <w:rsid w:val="00EE02B3"/>
    <w:pPr>
      <w:autoSpaceDE w:val="0"/>
      <w:autoSpaceDN w:val="0"/>
      <w:adjustRightInd w:val="0"/>
    </w:pPr>
    <w:rPr>
      <w:rFonts w:ascii="UniversLTStd55Roman" w:hAnsi="UniversLTStd55Roman" w:cs="UniversLTStd55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racticeguides.chambers.com/practice-guides/comparison/513/5976/9343-9345-9352-9358-9362-9368-9385-9389-9394-9398-9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Adderley-Depass, Shannelle</dc:creator>
  <cp:lastModifiedBy>Adderley-Depass, Shannelle</cp:lastModifiedBy>
  <cp:revision>8</cp:revision>
  <dcterms:created xsi:type="dcterms:W3CDTF">2021-07-30T06:56:00Z</dcterms:created>
  <dcterms:modified xsi:type="dcterms:W3CDTF">2021-07-30T07:17:00Z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