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0B40A5" w:rsidRDefault="002460B1" w:rsidP="00841D99">
      <w:pPr>
        <w:pStyle w:val="ListParagraph"/>
        <w:numPr>
          <w:ilvl w:val="0"/>
          <w:numId w:val="10"/>
        </w:numPr>
        <w:ind w:left="426"/>
        <w:jc w:val="both"/>
        <w:rPr>
          <w:rFonts w:ascii="Arial" w:hAnsi="Arial" w:cs="Arial"/>
          <w:sz w:val="22"/>
          <w:szCs w:val="22"/>
          <w:highlight w:val="yellow"/>
        </w:rPr>
      </w:pPr>
      <w:r w:rsidRPr="000B40A5">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0B40A5" w:rsidRDefault="00A37300" w:rsidP="00BA7E39">
      <w:pPr>
        <w:pStyle w:val="ListParagraph"/>
        <w:numPr>
          <w:ilvl w:val="0"/>
          <w:numId w:val="11"/>
        </w:numPr>
        <w:ind w:left="426"/>
        <w:jc w:val="both"/>
        <w:rPr>
          <w:rFonts w:ascii="Arial" w:hAnsi="Arial" w:cs="Arial"/>
          <w:sz w:val="22"/>
          <w:szCs w:val="22"/>
          <w:highlight w:val="yellow"/>
        </w:rPr>
      </w:pPr>
      <w:r w:rsidRPr="000B40A5">
        <w:rPr>
          <w:rFonts w:ascii="Arial" w:hAnsi="Arial" w:cs="Arial"/>
          <w:sz w:val="22"/>
          <w:szCs w:val="22"/>
          <w:highlight w:val="yellow"/>
        </w:rPr>
        <w:t xml:space="preserve">Creditors’ interests are of paramount </w:t>
      </w:r>
      <w:proofErr w:type="gramStart"/>
      <w:r w:rsidRPr="000B40A5">
        <w:rPr>
          <w:rFonts w:ascii="Arial" w:hAnsi="Arial" w:cs="Arial"/>
          <w:sz w:val="22"/>
          <w:szCs w:val="22"/>
          <w:highlight w:val="yellow"/>
        </w:rPr>
        <w:t>importance,</w:t>
      </w:r>
      <w:proofErr w:type="gramEnd"/>
      <w:r w:rsidRPr="000B40A5">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0B40A5" w:rsidRDefault="003A29B7" w:rsidP="00403FEE">
      <w:pPr>
        <w:pStyle w:val="ListParagraph"/>
        <w:numPr>
          <w:ilvl w:val="0"/>
          <w:numId w:val="12"/>
        </w:numPr>
        <w:ind w:left="426"/>
        <w:jc w:val="both"/>
        <w:rPr>
          <w:rFonts w:ascii="Arial" w:hAnsi="Arial" w:cs="Arial"/>
          <w:sz w:val="22"/>
          <w:szCs w:val="22"/>
          <w:highlight w:val="yellow"/>
        </w:rPr>
      </w:pPr>
      <w:r w:rsidRPr="000B40A5">
        <w:rPr>
          <w:rFonts w:ascii="Arial" w:hAnsi="Arial" w:cs="Arial"/>
          <w:sz w:val="22"/>
          <w:szCs w:val="22"/>
          <w:highlight w:val="yellow"/>
        </w:rPr>
        <w:t>False</w:t>
      </w:r>
    </w:p>
    <w:p w14:paraId="5779C916" w14:textId="77777777" w:rsidR="000B40A5" w:rsidRDefault="000B40A5" w:rsidP="00C55824">
      <w:pPr>
        <w:jc w:val="both"/>
        <w:rPr>
          <w:rFonts w:ascii="Arial" w:hAnsi="Arial" w:cs="Arial"/>
          <w:b/>
          <w:bCs/>
          <w:sz w:val="22"/>
          <w:szCs w:val="22"/>
        </w:rPr>
      </w:pPr>
    </w:p>
    <w:p w14:paraId="5099C7EB" w14:textId="514176DC"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0B40A5" w:rsidRDefault="00076A9F" w:rsidP="00403FEE">
      <w:pPr>
        <w:pStyle w:val="ListParagraph"/>
        <w:numPr>
          <w:ilvl w:val="0"/>
          <w:numId w:val="13"/>
        </w:numPr>
        <w:ind w:left="426"/>
        <w:jc w:val="both"/>
        <w:rPr>
          <w:rFonts w:ascii="Arial" w:hAnsi="Arial" w:cs="Arial"/>
          <w:sz w:val="22"/>
          <w:szCs w:val="22"/>
          <w:highlight w:val="yellow"/>
        </w:rPr>
      </w:pPr>
      <w:r w:rsidRPr="000B40A5">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0B40A5" w:rsidRDefault="00F01639" w:rsidP="00F01639">
      <w:pPr>
        <w:pStyle w:val="ListParagraph"/>
        <w:numPr>
          <w:ilvl w:val="0"/>
          <w:numId w:val="14"/>
        </w:numPr>
        <w:ind w:left="426"/>
        <w:jc w:val="both"/>
        <w:rPr>
          <w:rFonts w:ascii="Arial" w:hAnsi="Arial" w:cs="Arial"/>
          <w:sz w:val="22"/>
          <w:szCs w:val="22"/>
          <w:highlight w:val="yellow"/>
        </w:rPr>
      </w:pPr>
      <w:r w:rsidRPr="000B40A5">
        <w:rPr>
          <w:rFonts w:ascii="Arial" w:hAnsi="Arial" w:cs="Arial"/>
          <w:sz w:val="22"/>
          <w:szCs w:val="22"/>
          <w:highlight w:val="yellow"/>
        </w:rPr>
        <w:t>a</w:t>
      </w:r>
      <w:r w:rsidR="007425B0" w:rsidRPr="000B40A5">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0B40A5"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0B40A5">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0B40A5"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0B40A5">
        <w:rPr>
          <w:rFonts w:ascii="Arial" w:eastAsiaTheme="minorHAnsi" w:hAnsi="Arial" w:cs="Arial"/>
          <w:sz w:val="22"/>
          <w:szCs w:val="22"/>
          <w:highlight w:val="yellow"/>
          <w:lang w:val="en-GB"/>
        </w:rPr>
        <w:t xml:space="preserve">Refuse the appointment as she will not be able to give </w:t>
      </w:r>
      <w:proofErr w:type="gramStart"/>
      <w:r w:rsidRPr="000B40A5">
        <w:rPr>
          <w:rFonts w:ascii="Arial" w:eastAsiaTheme="minorHAnsi" w:hAnsi="Arial" w:cs="Arial"/>
          <w:sz w:val="22"/>
          <w:szCs w:val="22"/>
          <w:highlight w:val="yellow"/>
          <w:lang w:val="en-GB"/>
        </w:rPr>
        <w:t>all of</w:t>
      </w:r>
      <w:proofErr w:type="gramEnd"/>
      <w:r w:rsidRPr="000B40A5">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 xml:space="preserve">he is employed. In his new role he </w:t>
      </w:r>
      <w:proofErr w:type="gramStart"/>
      <w:r>
        <w:rPr>
          <w:rFonts w:ascii="Arial" w:eastAsiaTheme="minorHAnsi" w:hAnsi="Arial" w:cs="Arial"/>
          <w:sz w:val="22"/>
          <w:szCs w:val="22"/>
          <w:lang w:val="en-GB"/>
        </w:rPr>
        <w:t>has to</w:t>
      </w:r>
      <w:proofErr w:type="gramEnd"/>
      <w:r>
        <w:rPr>
          <w:rFonts w:ascii="Arial" w:eastAsiaTheme="minorHAnsi" w:hAnsi="Arial" w:cs="Arial"/>
          <w:sz w:val="22"/>
          <w:szCs w:val="22"/>
          <w:lang w:val="en-GB"/>
        </w:rPr>
        <w:t xml:space="preserve">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0B40A5"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0B40A5">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0B40A5" w:rsidRDefault="00F83703" w:rsidP="00047A13">
      <w:pPr>
        <w:pStyle w:val="ListParagraph"/>
        <w:numPr>
          <w:ilvl w:val="0"/>
          <w:numId w:val="19"/>
        </w:numPr>
        <w:ind w:left="426"/>
        <w:jc w:val="both"/>
        <w:rPr>
          <w:rFonts w:ascii="Arial" w:hAnsi="Arial" w:cs="Arial"/>
          <w:sz w:val="22"/>
          <w:szCs w:val="22"/>
          <w:highlight w:val="yellow"/>
        </w:rPr>
      </w:pPr>
      <w:r w:rsidRPr="000B40A5">
        <w:rPr>
          <w:rFonts w:ascii="Arial" w:hAnsi="Arial" w:cs="Arial"/>
          <w:sz w:val="22"/>
          <w:szCs w:val="22"/>
          <w:highlight w:val="yellow"/>
        </w:rPr>
        <w:t xml:space="preserve">This statement is false since the practitioner might have carried out </w:t>
      </w:r>
      <w:r w:rsidR="00BC285B" w:rsidRPr="000B40A5">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documents in relation to insolvency appointments. All the practitioners and administrative personnel employed by the firm will have access to these files </w:t>
      </w:r>
      <w:proofErr w:type="gramStart"/>
      <w:r>
        <w:rPr>
          <w:rFonts w:ascii="Arial" w:hAnsi="Arial" w:cs="Arial"/>
          <w:sz w:val="22"/>
          <w:szCs w:val="22"/>
        </w:rPr>
        <w:t>as long as</w:t>
      </w:r>
      <w:proofErr w:type="gramEnd"/>
      <w:r>
        <w:rPr>
          <w:rFonts w:ascii="Arial" w:hAnsi="Arial" w:cs="Arial"/>
          <w:sz w:val="22"/>
          <w:szCs w:val="22"/>
        </w:rPr>
        <w:t xml:space="preserve">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0B40A5" w:rsidRDefault="006A1258" w:rsidP="006A1258">
      <w:pPr>
        <w:pStyle w:val="ListParagraph"/>
        <w:numPr>
          <w:ilvl w:val="0"/>
          <w:numId w:val="20"/>
        </w:numPr>
        <w:ind w:left="426"/>
        <w:jc w:val="both"/>
        <w:rPr>
          <w:rFonts w:ascii="Arial" w:hAnsi="Arial" w:cs="Arial"/>
          <w:sz w:val="22"/>
          <w:szCs w:val="22"/>
          <w:highlight w:val="yellow"/>
        </w:rPr>
      </w:pPr>
      <w:r w:rsidRPr="000B40A5">
        <w:rPr>
          <w:rFonts w:ascii="Arial" w:hAnsi="Arial" w:cs="Arial"/>
          <w:sz w:val="22"/>
          <w:szCs w:val="22"/>
          <w:highlight w:val="yellow"/>
        </w:rPr>
        <w:t>r</w:t>
      </w:r>
      <w:r w:rsidR="00701CCC" w:rsidRPr="000B40A5">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lastRenderedPageBreak/>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0F9E8149" w14:textId="77777777" w:rsidR="000B40A5" w:rsidRDefault="009B07AD" w:rsidP="000B40A5">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B40A5">
        <w:rPr>
          <w:rFonts w:ascii="Arial" w:hAnsi="Arial" w:cs="Arial"/>
          <w:color w:val="7B7B7B" w:themeColor="accent3" w:themeShade="BF"/>
          <w:sz w:val="22"/>
          <w:szCs w:val="22"/>
          <w:lang w:val="en-GB"/>
        </w:rPr>
        <w:t>As discussed in the Guidance Text for this module, insolvency professionals (“IP”)</w:t>
      </w:r>
      <w:r w:rsidR="000B40A5" w:rsidRPr="00795C33">
        <w:rPr>
          <w:rStyle w:val="FootnoteReference"/>
          <w:rFonts w:ascii="Arial" w:hAnsi="Arial" w:cs="Arial"/>
          <w:color w:val="7B7B7B" w:themeColor="accent3" w:themeShade="BF"/>
          <w:sz w:val="22"/>
          <w:szCs w:val="22"/>
          <w:lang w:val="en-GB"/>
        </w:rPr>
        <w:t xml:space="preserve"> </w:t>
      </w:r>
      <w:r w:rsidR="000B40A5">
        <w:rPr>
          <w:rStyle w:val="FootnoteReference"/>
          <w:rFonts w:ascii="Arial" w:hAnsi="Arial" w:cs="Arial"/>
          <w:color w:val="7B7B7B" w:themeColor="accent3" w:themeShade="BF"/>
          <w:sz w:val="22"/>
          <w:szCs w:val="22"/>
          <w:lang w:val="en-GB"/>
        </w:rPr>
        <w:footnoteReference w:id="1"/>
      </w:r>
      <w:r w:rsidR="000B40A5">
        <w:rPr>
          <w:rFonts w:ascii="Arial" w:hAnsi="Arial" w:cs="Arial"/>
          <w:color w:val="7B7B7B" w:themeColor="accent3" w:themeShade="BF"/>
          <w:sz w:val="22"/>
          <w:szCs w:val="22"/>
          <w:lang w:val="en-GB"/>
        </w:rPr>
        <w:t xml:space="preserve"> have an obligation to three main fiduciary duties</w:t>
      </w:r>
      <w:r w:rsidR="000B40A5">
        <w:rPr>
          <w:rStyle w:val="FootnoteReference"/>
          <w:rFonts w:ascii="Arial" w:hAnsi="Arial" w:cs="Arial"/>
          <w:color w:val="7B7B7B" w:themeColor="accent3" w:themeShade="BF"/>
          <w:sz w:val="22"/>
          <w:szCs w:val="22"/>
          <w:lang w:val="en-GB"/>
        </w:rPr>
        <w:footnoteReference w:id="2"/>
      </w:r>
      <w:r w:rsidR="000B40A5">
        <w:rPr>
          <w:rFonts w:ascii="Arial" w:hAnsi="Arial" w:cs="Arial"/>
          <w:color w:val="7B7B7B" w:themeColor="accent3" w:themeShade="BF"/>
          <w:sz w:val="22"/>
          <w:szCs w:val="22"/>
          <w:lang w:val="en-GB"/>
        </w:rPr>
        <w:t>. These are as follows:</w:t>
      </w:r>
    </w:p>
    <w:p w14:paraId="4ED28DE2" w14:textId="77777777" w:rsidR="000B40A5" w:rsidRPr="00002D5C" w:rsidRDefault="000B40A5" w:rsidP="000B40A5">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duty to act in good faith – this duty involves elements such as honesty, integrity, acting reasonably, and in fairness, with respect to the interests of all related parties of the </w:t>
      </w:r>
      <w:proofErr w:type="gramStart"/>
      <w:r>
        <w:rPr>
          <w:rFonts w:ascii="Arial" w:hAnsi="Arial" w:cs="Arial"/>
          <w:color w:val="7B7B7B" w:themeColor="accent3" w:themeShade="BF"/>
          <w:sz w:val="22"/>
          <w:szCs w:val="22"/>
          <w:lang w:val="en-GB"/>
        </w:rPr>
        <w:t>company;</w:t>
      </w:r>
      <w:proofErr w:type="gramEnd"/>
    </w:p>
    <w:p w14:paraId="7E99F210" w14:textId="77777777" w:rsidR="000B40A5" w:rsidRPr="00002D5C" w:rsidRDefault="000B40A5" w:rsidP="000B40A5">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to act in the best interest of the beneficiary to whom fiduciary duties are owed- the main beneficiaries in this context are the creditors of the debtor; and</w:t>
      </w:r>
    </w:p>
    <w:p w14:paraId="72E83D48" w14:textId="77777777" w:rsidR="000B40A5" w:rsidRPr="001E71D1" w:rsidRDefault="000B40A5" w:rsidP="000B40A5">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to exercise the powers of the office with independence and impartiality – in their fiduciary capacity, an IP has an obligation to refrain from making decisions in their own best interests.</w:t>
      </w:r>
    </w:p>
    <w:p w14:paraId="5283DB88" w14:textId="77777777" w:rsidR="000B40A5" w:rsidRDefault="000B40A5" w:rsidP="000B40A5">
      <w:pPr>
        <w:jc w:val="both"/>
        <w:rPr>
          <w:rFonts w:ascii="Arial" w:hAnsi="Arial" w:cs="Arial"/>
          <w:color w:val="7B7B7B" w:themeColor="accent3" w:themeShade="BF"/>
          <w:sz w:val="22"/>
          <w:szCs w:val="22"/>
          <w:lang w:val="en-GB"/>
        </w:rPr>
      </w:pPr>
    </w:p>
    <w:p w14:paraId="57BCFC30" w14:textId="2789CB4C" w:rsidR="009B07AD" w:rsidRPr="002A37BB" w:rsidRDefault="000B40A5" w:rsidP="000B40A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Directors have an obligation to these fiduciary duties whether it is explicitly agreed prior to accepting the office or not.</w:t>
      </w:r>
      <w:r w:rsidR="009B07AD" w:rsidRPr="002A37BB">
        <w:rPr>
          <w:rFonts w:ascii="Arial" w:hAnsi="Arial" w:cs="Arial"/>
          <w:color w:val="7B7B7B" w:themeColor="accent3" w:themeShade="BF"/>
          <w:sz w:val="22"/>
          <w:szCs w:val="22"/>
          <w:lang w:val="en-GB"/>
        </w:rPr>
        <w:t>]</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7DA379F4" w14:textId="77777777" w:rsidR="00314C5B" w:rsidRDefault="009B07AD" w:rsidP="00314C5B">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314C5B">
        <w:rPr>
          <w:rFonts w:ascii="Arial" w:hAnsi="Arial" w:cs="Arial"/>
          <w:color w:val="7B7B7B" w:themeColor="accent3" w:themeShade="BF"/>
          <w:sz w:val="22"/>
          <w:szCs w:val="22"/>
        </w:rPr>
        <w:t>The two-pronged nature of the duty to act with independence and impartiality is fundamentally based on matters of fact and matters of perception. Essentially, the conduct of an IP should be, and perceived to be, without conflict and impartiality. Therefore:</w:t>
      </w:r>
    </w:p>
    <w:p w14:paraId="038A816D" w14:textId="77777777" w:rsidR="00314C5B" w:rsidRPr="00C4308D" w:rsidRDefault="00314C5B" w:rsidP="00314C5B">
      <w:pPr>
        <w:pStyle w:val="ListParagraph"/>
        <w:numPr>
          <w:ilvl w:val="0"/>
          <w:numId w:val="22"/>
        </w:numPr>
        <w:jc w:val="both"/>
        <w:rPr>
          <w:rFonts w:ascii="Arial" w:hAnsi="Arial" w:cs="Arial"/>
          <w:sz w:val="22"/>
          <w:szCs w:val="22"/>
        </w:rPr>
      </w:pPr>
      <w:r w:rsidRPr="00C4308D">
        <w:rPr>
          <w:rFonts w:ascii="Arial" w:hAnsi="Arial" w:cs="Arial"/>
          <w:color w:val="7B7B7B" w:themeColor="accent3" w:themeShade="BF"/>
          <w:sz w:val="22"/>
          <w:szCs w:val="22"/>
        </w:rPr>
        <w:t>IPs should refrain from circumstances</w:t>
      </w:r>
      <w:r>
        <w:rPr>
          <w:rFonts w:ascii="Arial" w:hAnsi="Arial" w:cs="Arial"/>
          <w:color w:val="7B7B7B" w:themeColor="accent3" w:themeShade="BF"/>
          <w:sz w:val="22"/>
          <w:szCs w:val="22"/>
        </w:rPr>
        <w:t xml:space="preserve"> and relationships</w:t>
      </w:r>
      <w:r w:rsidRPr="00C4308D">
        <w:rPr>
          <w:rFonts w:ascii="Arial" w:hAnsi="Arial" w:cs="Arial"/>
          <w:color w:val="7B7B7B" w:themeColor="accent3" w:themeShade="BF"/>
          <w:sz w:val="22"/>
          <w:szCs w:val="22"/>
        </w:rPr>
        <w:t xml:space="preserve"> that would constitute as a conflict of interest</w:t>
      </w:r>
      <w:r>
        <w:rPr>
          <w:rFonts w:ascii="Arial" w:hAnsi="Arial" w:cs="Arial"/>
          <w:color w:val="7B7B7B" w:themeColor="accent3" w:themeShade="BF"/>
          <w:sz w:val="22"/>
          <w:szCs w:val="22"/>
        </w:rPr>
        <w:t>; and</w:t>
      </w:r>
    </w:p>
    <w:p w14:paraId="2F57801B" w14:textId="7393E8C5" w:rsidR="009B07AD" w:rsidRPr="00763FA5" w:rsidRDefault="00314C5B" w:rsidP="00763FA5">
      <w:pPr>
        <w:pStyle w:val="ListParagraph"/>
        <w:numPr>
          <w:ilvl w:val="0"/>
          <w:numId w:val="23"/>
        </w:numPr>
        <w:jc w:val="both"/>
        <w:rPr>
          <w:rFonts w:ascii="Arial" w:hAnsi="Arial" w:cs="Arial"/>
          <w:sz w:val="22"/>
          <w:szCs w:val="22"/>
        </w:rPr>
      </w:pPr>
      <w:r w:rsidRPr="00763FA5">
        <w:rPr>
          <w:rFonts w:ascii="Arial" w:hAnsi="Arial" w:cs="Arial"/>
          <w:color w:val="7B7B7B" w:themeColor="accent3" w:themeShade="BF"/>
          <w:sz w:val="22"/>
          <w:szCs w:val="22"/>
        </w:rPr>
        <w:t>IPs should avoid circumstances that involve inappropriate cash or asset exchanges, accepting bribes or receiving special discounts. These instances will compromise the independence of an IP (whether the circumstance is factual or perceived to be).</w:t>
      </w:r>
      <w:r w:rsidR="009B07AD" w:rsidRPr="00763FA5">
        <w:rPr>
          <w:rFonts w:ascii="Arial" w:hAnsi="Arial" w:cs="Arial"/>
          <w:color w:val="7B7B7B" w:themeColor="accent3" w:themeShade="BF"/>
          <w:sz w:val="22"/>
          <w:szCs w:val="22"/>
        </w:rPr>
        <w:t>]</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4505C42B" w14:textId="77777777" w:rsidR="00976646" w:rsidRDefault="00C72848" w:rsidP="00976646">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976646">
        <w:rPr>
          <w:rFonts w:ascii="Arial" w:hAnsi="Arial" w:cs="Arial"/>
          <w:color w:val="7B7B7B" w:themeColor="accent3" w:themeShade="BF"/>
          <w:sz w:val="22"/>
          <w:szCs w:val="22"/>
          <w:lang w:val="en-GB"/>
        </w:rPr>
        <w:t>The approach used to calculate the remuneration of an insolvency practitioner, varies from jurisdiction to jurisdiction. There are a variety of methods used to calculate the remuneration of an IP, and each method has its own set of pros and cons. Nevertheless, the preferred method of calculation of an IP’s remuneration is the time-based fee method. This is because “it is believed to provide for a fair compensation for work done”</w:t>
      </w:r>
      <w:r w:rsidR="00976646">
        <w:rPr>
          <w:rStyle w:val="FootnoteReference"/>
          <w:rFonts w:ascii="Arial" w:hAnsi="Arial" w:cs="Arial"/>
          <w:color w:val="7B7B7B" w:themeColor="accent3" w:themeShade="BF"/>
          <w:sz w:val="22"/>
          <w:szCs w:val="22"/>
          <w:lang w:val="en-GB"/>
        </w:rPr>
        <w:footnoteReference w:id="3"/>
      </w:r>
      <w:r w:rsidR="00976646">
        <w:rPr>
          <w:rFonts w:ascii="Arial" w:hAnsi="Arial" w:cs="Arial"/>
          <w:color w:val="7B7B7B" w:themeColor="accent3" w:themeShade="BF"/>
          <w:sz w:val="22"/>
          <w:szCs w:val="22"/>
          <w:lang w:val="en-GB"/>
        </w:rPr>
        <w:t>.</w:t>
      </w:r>
    </w:p>
    <w:p w14:paraId="09437234" w14:textId="77777777" w:rsidR="00976646" w:rsidRDefault="00976646" w:rsidP="00976646">
      <w:pPr>
        <w:jc w:val="both"/>
        <w:rPr>
          <w:rFonts w:ascii="Arial" w:hAnsi="Arial" w:cs="Arial"/>
          <w:color w:val="7B7B7B" w:themeColor="accent3" w:themeShade="BF"/>
          <w:sz w:val="22"/>
          <w:szCs w:val="22"/>
          <w:lang w:val="en-GB"/>
        </w:rPr>
      </w:pPr>
    </w:p>
    <w:p w14:paraId="78DB9FD8" w14:textId="7B80DA6D" w:rsidR="00C72848" w:rsidRPr="002A37BB" w:rsidRDefault="00976646" w:rsidP="00976646">
      <w:pPr>
        <w:jc w:val="both"/>
        <w:rPr>
          <w:rFonts w:ascii="Arial" w:hAnsi="Arial" w:cs="Arial"/>
          <w:sz w:val="22"/>
          <w:szCs w:val="22"/>
          <w:lang w:val="en-GB"/>
        </w:rPr>
      </w:pPr>
      <w:r>
        <w:rPr>
          <w:rFonts w:ascii="Arial" w:hAnsi="Arial" w:cs="Arial"/>
          <w:color w:val="7B7B7B" w:themeColor="accent3" w:themeShade="BF"/>
          <w:sz w:val="22"/>
          <w:szCs w:val="22"/>
          <w:lang w:val="en-GB"/>
        </w:rPr>
        <w:t>One ethical issue associated with the time-based method of calculation is, the fact that time-based costing has the potential to result in fees being charged that do not necessarily reflect the actual work being performed. This applies particularly with respect to prescribed fees.</w:t>
      </w:r>
      <w:r w:rsidR="00C72848" w:rsidRPr="002A37BB">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6A379614" w14:textId="77777777" w:rsidR="002E2209" w:rsidRDefault="00DF75F8" w:rsidP="002E2209">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2E2209">
        <w:rPr>
          <w:rFonts w:ascii="Arial" w:hAnsi="Arial" w:cs="Arial"/>
          <w:color w:val="7B7B7B" w:themeColor="accent3" w:themeShade="BF"/>
          <w:sz w:val="22"/>
          <w:szCs w:val="22"/>
          <w:lang w:val="en-GB"/>
        </w:rPr>
        <w:t xml:space="preserve">Among the various threats to the ethical standards of independence and impartiality are self-interest, self-review, advocacy, familiarity, and intimidation. Moreover, there are certain elements of an insolvency proceeding that give rise to these threats. In line with the discussion points contained in the Guidance Text, these elements are explained below. </w:t>
      </w:r>
    </w:p>
    <w:p w14:paraId="7185603E" w14:textId="77777777" w:rsidR="002E2209" w:rsidRDefault="002E2209" w:rsidP="002E2209">
      <w:pPr>
        <w:jc w:val="both"/>
        <w:rPr>
          <w:rFonts w:ascii="Arial" w:hAnsi="Arial" w:cs="Arial"/>
          <w:color w:val="7B7B7B" w:themeColor="accent3" w:themeShade="BF"/>
          <w:sz w:val="22"/>
          <w:szCs w:val="22"/>
          <w:lang w:val="en-GB"/>
        </w:rPr>
      </w:pPr>
    </w:p>
    <w:p w14:paraId="24CA28B4" w14:textId="77777777" w:rsidR="002E2209" w:rsidRDefault="002E2209" w:rsidP="002E2209">
      <w:pPr>
        <w:jc w:val="both"/>
        <w:rPr>
          <w:rFonts w:ascii="Arial" w:hAnsi="Arial" w:cs="Arial"/>
          <w:color w:val="7B7B7B" w:themeColor="accent3" w:themeShade="BF"/>
          <w:sz w:val="22"/>
          <w:szCs w:val="22"/>
          <w:lang w:val="en-GB"/>
        </w:rPr>
      </w:pPr>
      <w:r w:rsidRPr="002E6C7E">
        <w:rPr>
          <w:rFonts w:ascii="Arial" w:hAnsi="Arial" w:cs="Arial"/>
          <w:b/>
          <w:bCs/>
          <w:color w:val="7B7B7B" w:themeColor="accent3" w:themeShade="BF"/>
          <w:sz w:val="22"/>
          <w:szCs w:val="22"/>
          <w:lang w:val="en-GB"/>
        </w:rPr>
        <w:t>Nature of pre-commencement/appointment involvement</w:t>
      </w:r>
      <w:r>
        <w:rPr>
          <w:rFonts w:ascii="Arial" w:hAnsi="Arial" w:cs="Arial"/>
          <w:color w:val="7B7B7B" w:themeColor="accent3" w:themeShade="BF"/>
          <w:sz w:val="22"/>
          <w:szCs w:val="22"/>
          <w:lang w:val="en-GB"/>
        </w:rPr>
        <w:t xml:space="preserve"> – Prior to an insolvency proceeding, consultations between a Corporate Insolvency Practitioner (“CIP”</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and the company’s stakeholders are vital to the success of the process. Notwithstanding this fact, it is the nature of these consultations that could give rise to threats to the ethical standard of independence and impartiality. Any discussion outside of the scope of the company’s financial position, its solvency, the potential effects of insolvency and any alternatives to insolvency could impair the independence of the CIP. </w:t>
      </w:r>
    </w:p>
    <w:p w14:paraId="7A8856BB" w14:textId="77777777" w:rsidR="002E2209" w:rsidRDefault="002E2209" w:rsidP="002E2209">
      <w:pPr>
        <w:jc w:val="both"/>
        <w:rPr>
          <w:rFonts w:ascii="Arial" w:hAnsi="Arial" w:cs="Arial"/>
          <w:color w:val="7B7B7B" w:themeColor="accent3" w:themeShade="BF"/>
          <w:sz w:val="22"/>
          <w:szCs w:val="22"/>
          <w:lang w:val="en-GB"/>
        </w:rPr>
      </w:pPr>
    </w:p>
    <w:p w14:paraId="5B743FDD" w14:textId="77777777" w:rsidR="002E2209" w:rsidRDefault="002E2209" w:rsidP="002E2209">
      <w:pPr>
        <w:jc w:val="both"/>
        <w:rPr>
          <w:rFonts w:ascii="Arial" w:hAnsi="Arial" w:cs="Arial"/>
          <w:color w:val="7B7B7B" w:themeColor="accent3" w:themeShade="BF"/>
          <w:sz w:val="22"/>
          <w:szCs w:val="22"/>
          <w:lang w:val="en-GB"/>
        </w:rPr>
      </w:pPr>
      <w:r w:rsidRPr="001B363F">
        <w:rPr>
          <w:rFonts w:ascii="Arial" w:hAnsi="Arial" w:cs="Arial"/>
          <w:b/>
          <w:bCs/>
          <w:color w:val="7B7B7B" w:themeColor="accent3" w:themeShade="BF"/>
          <w:sz w:val="22"/>
          <w:szCs w:val="22"/>
          <w:lang w:val="en-GB"/>
        </w:rPr>
        <w:t>Appointment</w:t>
      </w:r>
      <w:r>
        <w:rPr>
          <w:rFonts w:ascii="Arial" w:hAnsi="Arial" w:cs="Arial"/>
          <w:color w:val="7B7B7B" w:themeColor="accent3" w:themeShade="BF"/>
          <w:sz w:val="22"/>
          <w:szCs w:val="22"/>
          <w:lang w:val="en-GB"/>
        </w:rPr>
        <w:t xml:space="preserve"> – The appointment of a CIP by the company’s board of directors or the creditors, can give rise to threats to independence and impartiality. Under these circumstances, expectations to prioritise the interest of the stakeholder or the perception that the stakeholder has an influence over the actions of the CIP are the basis for these threats- it is therefore imperative that the CIP remain cognizant of his duties. Promises to any stakeholder is in direct contravention to the fiduciary duties of a CIP.</w:t>
      </w:r>
    </w:p>
    <w:p w14:paraId="15C2EBE9" w14:textId="77777777" w:rsidR="002E2209" w:rsidRDefault="002E2209" w:rsidP="002E2209">
      <w:pPr>
        <w:jc w:val="both"/>
        <w:rPr>
          <w:rFonts w:ascii="Arial" w:hAnsi="Arial" w:cs="Arial"/>
          <w:color w:val="7B7B7B" w:themeColor="accent3" w:themeShade="BF"/>
          <w:sz w:val="22"/>
          <w:szCs w:val="22"/>
          <w:lang w:val="en-GB"/>
        </w:rPr>
      </w:pPr>
    </w:p>
    <w:p w14:paraId="71E10F53" w14:textId="77777777" w:rsidR="002E2209" w:rsidRDefault="002E2209" w:rsidP="002E2209">
      <w:pPr>
        <w:jc w:val="both"/>
        <w:rPr>
          <w:rFonts w:ascii="Arial" w:hAnsi="Arial" w:cs="Arial"/>
          <w:color w:val="7B7B7B" w:themeColor="accent3" w:themeShade="BF"/>
          <w:sz w:val="22"/>
          <w:szCs w:val="22"/>
          <w:lang w:val="en-GB"/>
        </w:rPr>
      </w:pPr>
      <w:r w:rsidRPr="002778E1">
        <w:rPr>
          <w:rFonts w:ascii="Arial" w:hAnsi="Arial" w:cs="Arial"/>
          <w:b/>
          <w:bCs/>
          <w:color w:val="7B7B7B" w:themeColor="accent3" w:themeShade="BF"/>
          <w:sz w:val="22"/>
          <w:szCs w:val="22"/>
          <w:lang w:val="en-GB"/>
        </w:rPr>
        <w:t>Subsequent appointments</w:t>
      </w:r>
      <w:r>
        <w:rPr>
          <w:rFonts w:ascii="Arial" w:hAnsi="Arial" w:cs="Arial"/>
          <w:color w:val="7B7B7B" w:themeColor="accent3" w:themeShade="BF"/>
          <w:sz w:val="22"/>
          <w:szCs w:val="22"/>
          <w:lang w:val="en-GB"/>
        </w:rPr>
        <w:t xml:space="preserve"> – A CIP who is requested to serve in other capacities post- appointment, may be subject to self-review and self-interest threats. For instance, a CIP who is first appointed as the administrator of a corporate rescue process and thereafter accepts the appointment as liquidator with the same debtor. In this instance, the CIP could be conflicted and the ability to provide an objective evaluation (with respect to previous judgements) of the previous administration could be impaired. </w:t>
      </w:r>
    </w:p>
    <w:p w14:paraId="6215E081" w14:textId="77777777" w:rsidR="002E2209" w:rsidRDefault="002E2209" w:rsidP="002E2209">
      <w:pPr>
        <w:jc w:val="both"/>
        <w:rPr>
          <w:rFonts w:ascii="Arial" w:hAnsi="Arial" w:cs="Arial"/>
          <w:color w:val="7B7B7B" w:themeColor="accent3" w:themeShade="BF"/>
          <w:sz w:val="22"/>
          <w:szCs w:val="22"/>
          <w:lang w:val="en-GB"/>
        </w:rPr>
      </w:pPr>
    </w:p>
    <w:p w14:paraId="7C52B0B7" w14:textId="77777777" w:rsidR="002E2209" w:rsidRDefault="002E2209" w:rsidP="002E2209">
      <w:pPr>
        <w:jc w:val="both"/>
        <w:rPr>
          <w:rFonts w:ascii="Arial" w:hAnsi="Arial" w:cs="Arial"/>
          <w:color w:val="7B7B7B" w:themeColor="accent3" w:themeShade="BF"/>
          <w:sz w:val="22"/>
          <w:szCs w:val="22"/>
          <w:lang w:val="en-GB"/>
        </w:rPr>
      </w:pPr>
      <w:r w:rsidRPr="00A20B08">
        <w:rPr>
          <w:rFonts w:ascii="Arial" w:hAnsi="Arial" w:cs="Arial"/>
          <w:b/>
          <w:bCs/>
          <w:color w:val="7B7B7B" w:themeColor="accent3" w:themeShade="BF"/>
          <w:sz w:val="22"/>
          <w:szCs w:val="22"/>
          <w:lang w:val="en-GB"/>
        </w:rPr>
        <w:t>Secret monies and personal transactions with the company</w:t>
      </w:r>
      <w:r>
        <w:rPr>
          <w:rFonts w:ascii="Arial" w:hAnsi="Arial" w:cs="Arial"/>
          <w:color w:val="7B7B7B" w:themeColor="accent3" w:themeShade="BF"/>
          <w:sz w:val="22"/>
          <w:szCs w:val="22"/>
          <w:lang w:val="en-GB"/>
        </w:rPr>
        <w:t xml:space="preserve"> – Secret profits including special discounts from the company, gifts, commissions from the company, bribery, under-cover deals, are among the many forms of conflicting transactions with which an CIP should not be party to. While the list of instances in these circumstances is extensive, the fundamental rule, “If his judgement was influenced by the fact that he stands to gain personally from a decision, it cannot be said that he was acting in the best interests of the beneficiaries of his duties”</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prevails.</w:t>
      </w:r>
    </w:p>
    <w:p w14:paraId="0B52665A" w14:textId="77777777" w:rsidR="002E2209" w:rsidRDefault="002E2209" w:rsidP="002E2209">
      <w:pPr>
        <w:jc w:val="both"/>
        <w:rPr>
          <w:rFonts w:ascii="Arial" w:hAnsi="Arial" w:cs="Arial"/>
          <w:color w:val="7B7B7B" w:themeColor="accent3" w:themeShade="BF"/>
          <w:sz w:val="22"/>
          <w:szCs w:val="22"/>
          <w:lang w:val="en-GB"/>
        </w:rPr>
      </w:pPr>
    </w:p>
    <w:p w14:paraId="4024A332" w14:textId="732D468F" w:rsidR="00544127" w:rsidRPr="002A37BB" w:rsidRDefault="002E2209" w:rsidP="002E2209">
      <w:pPr>
        <w:jc w:val="both"/>
        <w:rPr>
          <w:rFonts w:ascii="Arial" w:hAnsi="Arial" w:cs="Arial"/>
          <w:sz w:val="22"/>
          <w:szCs w:val="22"/>
        </w:rPr>
      </w:pPr>
      <w:r>
        <w:rPr>
          <w:rFonts w:ascii="Arial" w:hAnsi="Arial" w:cs="Arial"/>
          <w:color w:val="7B7B7B" w:themeColor="accent3" w:themeShade="BF"/>
          <w:sz w:val="22"/>
          <w:szCs w:val="22"/>
          <w:lang w:val="en-GB"/>
        </w:rPr>
        <w:t>The global business landscape is dynamic and as such, instances that give rise to threats to the independence and impartiality of an CIP will continue to expand. The need for diligence with respect to the duties of an CIP must be at the forefront of the decision-making process, before accepting an insolvency appointment.</w:t>
      </w:r>
      <w:r w:rsidR="00DF75F8" w:rsidRPr="002A37BB">
        <w:rPr>
          <w:rFonts w:ascii="Arial" w:hAnsi="Arial" w:cs="Arial"/>
          <w:color w:val="7B7B7B" w:themeColor="accent3" w:themeShade="BF"/>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C6E4AA5" w14:textId="77777777" w:rsidR="00815B90" w:rsidRPr="00FF4DB7" w:rsidRDefault="00DF75F8" w:rsidP="00815B90">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15B90">
        <w:rPr>
          <w:rFonts w:ascii="Arial" w:hAnsi="Arial" w:cs="Arial"/>
          <w:color w:val="7B7B7B" w:themeColor="accent3" w:themeShade="BF"/>
          <w:sz w:val="22"/>
          <w:szCs w:val="22"/>
          <w:lang w:val="en-GB"/>
        </w:rPr>
        <w:t xml:space="preserve">Some </w:t>
      </w:r>
      <w:r w:rsidR="00815B90" w:rsidRPr="00FF4DB7">
        <w:rPr>
          <w:rFonts w:ascii="Arial" w:hAnsi="Arial" w:cs="Arial"/>
          <w:color w:val="7B7B7B" w:themeColor="accent3" w:themeShade="BF"/>
          <w:sz w:val="22"/>
          <w:szCs w:val="22"/>
          <w:lang w:val="en-GB"/>
        </w:rPr>
        <w:t>insolvency appointments</w:t>
      </w:r>
      <w:r w:rsidR="00815B90">
        <w:rPr>
          <w:rFonts w:ascii="Arial" w:hAnsi="Arial" w:cs="Arial"/>
          <w:color w:val="7B7B7B" w:themeColor="accent3" w:themeShade="BF"/>
          <w:sz w:val="22"/>
          <w:szCs w:val="22"/>
          <w:lang w:val="en-GB"/>
        </w:rPr>
        <w:t xml:space="preserve"> are complex in nature</w:t>
      </w:r>
      <w:r w:rsidR="00815B90" w:rsidRPr="00FF4DB7">
        <w:rPr>
          <w:rFonts w:ascii="Arial" w:hAnsi="Arial" w:cs="Arial"/>
          <w:color w:val="7B7B7B" w:themeColor="accent3" w:themeShade="BF"/>
          <w:sz w:val="22"/>
          <w:szCs w:val="22"/>
          <w:lang w:val="en-GB"/>
        </w:rPr>
        <w:t xml:space="preserve"> (particularly high-profile appointments and those with cross-border issues) </w:t>
      </w:r>
      <w:r w:rsidR="00815B90">
        <w:rPr>
          <w:rFonts w:ascii="Arial" w:hAnsi="Arial" w:cs="Arial"/>
          <w:color w:val="7B7B7B" w:themeColor="accent3" w:themeShade="BF"/>
          <w:sz w:val="22"/>
          <w:szCs w:val="22"/>
          <w:lang w:val="en-GB"/>
        </w:rPr>
        <w:t xml:space="preserve">and </w:t>
      </w:r>
      <w:r w:rsidR="00815B90" w:rsidRPr="00FF4DB7">
        <w:rPr>
          <w:rFonts w:ascii="Arial" w:hAnsi="Arial" w:cs="Arial"/>
          <w:color w:val="7B7B7B" w:themeColor="accent3" w:themeShade="BF"/>
          <w:sz w:val="22"/>
          <w:szCs w:val="22"/>
          <w:lang w:val="en-GB"/>
        </w:rPr>
        <w:t xml:space="preserve">warrant the need for legal opinions and other </w:t>
      </w:r>
      <w:r w:rsidR="00815B90">
        <w:rPr>
          <w:rFonts w:ascii="Arial" w:hAnsi="Arial" w:cs="Arial"/>
          <w:color w:val="7B7B7B" w:themeColor="accent3" w:themeShade="BF"/>
          <w:sz w:val="22"/>
          <w:szCs w:val="22"/>
          <w:lang w:val="en-GB"/>
        </w:rPr>
        <w:t xml:space="preserve">legal </w:t>
      </w:r>
      <w:r w:rsidR="00815B90" w:rsidRPr="00FF4DB7">
        <w:rPr>
          <w:rFonts w:ascii="Arial" w:hAnsi="Arial" w:cs="Arial"/>
          <w:color w:val="7B7B7B" w:themeColor="accent3" w:themeShade="BF"/>
          <w:sz w:val="22"/>
          <w:szCs w:val="22"/>
          <w:lang w:val="en-GB"/>
        </w:rPr>
        <w:t xml:space="preserve">services. </w:t>
      </w:r>
      <w:r w:rsidR="00815B90">
        <w:rPr>
          <w:rFonts w:ascii="Arial" w:hAnsi="Arial" w:cs="Arial"/>
          <w:color w:val="7B7B7B" w:themeColor="accent3" w:themeShade="BF"/>
          <w:sz w:val="22"/>
          <w:szCs w:val="22"/>
          <w:lang w:val="en-GB"/>
        </w:rPr>
        <w:t xml:space="preserve">These </w:t>
      </w:r>
      <w:r w:rsidR="00815B90" w:rsidRPr="00FF4DB7">
        <w:rPr>
          <w:rFonts w:ascii="Arial" w:hAnsi="Arial" w:cs="Arial"/>
          <w:color w:val="7B7B7B" w:themeColor="accent3" w:themeShade="BF"/>
          <w:sz w:val="22"/>
          <w:szCs w:val="22"/>
          <w:lang w:val="en-GB"/>
        </w:rPr>
        <w:t xml:space="preserve">services </w:t>
      </w:r>
      <w:r w:rsidR="00815B90">
        <w:rPr>
          <w:rFonts w:ascii="Arial" w:hAnsi="Arial" w:cs="Arial"/>
          <w:color w:val="7B7B7B" w:themeColor="accent3" w:themeShade="BF"/>
          <w:sz w:val="22"/>
          <w:szCs w:val="22"/>
          <w:lang w:val="en-GB"/>
        </w:rPr>
        <w:t xml:space="preserve">may </w:t>
      </w:r>
      <w:r w:rsidR="00815B90" w:rsidRPr="00FF4DB7">
        <w:rPr>
          <w:rFonts w:ascii="Arial" w:hAnsi="Arial" w:cs="Arial"/>
          <w:color w:val="7B7B7B" w:themeColor="accent3" w:themeShade="BF"/>
          <w:sz w:val="22"/>
          <w:szCs w:val="22"/>
          <w:lang w:val="en-GB"/>
        </w:rPr>
        <w:t>result in significant legal fees and disbursements. Whether these fees are settled as disbursements directly from the company, third-party costs or claimed as part of the IP’s costs, the net effect is a reduction in the amount returned to the beneficiaries of the insolvency. It is therefore imperative that the IP exercise his</w:t>
      </w:r>
      <w:r w:rsidR="00815B90">
        <w:rPr>
          <w:rFonts w:ascii="Arial" w:hAnsi="Arial" w:cs="Arial"/>
          <w:color w:val="7B7B7B" w:themeColor="accent3" w:themeShade="BF"/>
          <w:sz w:val="22"/>
          <w:szCs w:val="22"/>
          <w:lang w:val="en-GB"/>
        </w:rPr>
        <w:t>/her</w:t>
      </w:r>
      <w:r w:rsidR="00815B90" w:rsidRPr="00FF4DB7">
        <w:rPr>
          <w:rFonts w:ascii="Arial" w:hAnsi="Arial" w:cs="Arial"/>
          <w:color w:val="7B7B7B" w:themeColor="accent3" w:themeShade="BF"/>
          <w:sz w:val="22"/>
          <w:szCs w:val="22"/>
          <w:lang w:val="en-GB"/>
        </w:rPr>
        <w:t xml:space="preserve"> commercial judgement when engaging legal professionals, closely monitor their activities and meticulously review their billings</w:t>
      </w:r>
      <w:r w:rsidR="00815B90">
        <w:rPr>
          <w:rFonts w:ascii="Arial" w:hAnsi="Arial" w:cs="Arial"/>
          <w:color w:val="7B7B7B" w:themeColor="accent3" w:themeShade="BF"/>
          <w:sz w:val="22"/>
          <w:szCs w:val="22"/>
          <w:lang w:val="en-GB"/>
        </w:rPr>
        <w:t xml:space="preserve"> to ensure that the fees are proportionate and justifiable</w:t>
      </w:r>
      <w:r w:rsidR="00815B90" w:rsidRPr="00FF4DB7">
        <w:rPr>
          <w:rFonts w:ascii="Arial" w:hAnsi="Arial" w:cs="Arial"/>
          <w:color w:val="7B7B7B" w:themeColor="accent3" w:themeShade="BF"/>
          <w:sz w:val="22"/>
          <w:szCs w:val="22"/>
          <w:lang w:val="en-GB"/>
        </w:rPr>
        <w:t xml:space="preserve">.  </w:t>
      </w:r>
    </w:p>
    <w:p w14:paraId="2E329780" w14:textId="77777777" w:rsidR="00815B90" w:rsidRDefault="00815B90" w:rsidP="00815B90">
      <w:pPr>
        <w:jc w:val="both"/>
        <w:rPr>
          <w:rFonts w:ascii="Arial" w:hAnsi="Arial" w:cs="Arial"/>
          <w:color w:val="7B7B7B" w:themeColor="accent3" w:themeShade="BF"/>
          <w:sz w:val="22"/>
          <w:szCs w:val="22"/>
          <w:lang w:val="en-GB"/>
        </w:rPr>
      </w:pPr>
    </w:p>
    <w:p w14:paraId="65EAD134" w14:textId="77777777" w:rsidR="00815B90" w:rsidRPr="00FF4DB7" w:rsidRDefault="00815B90" w:rsidP="00815B90">
      <w:pPr>
        <w:jc w:val="both"/>
        <w:rPr>
          <w:rFonts w:ascii="Arial" w:hAnsi="Arial" w:cs="Arial"/>
          <w:color w:val="7B7B7B" w:themeColor="accent3" w:themeShade="BF"/>
          <w:sz w:val="22"/>
          <w:szCs w:val="22"/>
          <w:lang w:val="en-GB"/>
        </w:rPr>
      </w:pPr>
      <w:r w:rsidRPr="00FF4DB7">
        <w:rPr>
          <w:rFonts w:ascii="Arial" w:hAnsi="Arial" w:cs="Arial"/>
          <w:color w:val="7B7B7B" w:themeColor="accent3" w:themeShade="BF"/>
          <w:sz w:val="22"/>
          <w:szCs w:val="22"/>
          <w:lang w:val="en-GB"/>
        </w:rPr>
        <w:t>Where a legal professional’s services are engaged, it is important that the engagement rate for each professional working on the project is pre-negotiated, an itemized billing reflecting the specific activities and applicable hours spent completing the activity is</w:t>
      </w:r>
      <w:r>
        <w:rPr>
          <w:rFonts w:ascii="Arial" w:hAnsi="Arial" w:cs="Arial"/>
          <w:color w:val="7B7B7B" w:themeColor="accent3" w:themeShade="BF"/>
          <w:sz w:val="22"/>
          <w:szCs w:val="22"/>
          <w:lang w:val="en-GB"/>
        </w:rPr>
        <w:t xml:space="preserve"> clearly</w:t>
      </w:r>
      <w:r w:rsidRPr="00FF4DB7">
        <w:rPr>
          <w:rFonts w:ascii="Arial" w:hAnsi="Arial" w:cs="Arial"/>
          <w:color w:val="7B7B7B" w:themeColor="accent3" w:themeShade="BF"/>
          <w:sz w:val="22"/>
          <w:szCs w:val="22"/>
          <w:lang w:val="en-GB"/>
        </w:rPr>
        <w:t xml:space="preserve"> indicated</w:t>
      </w:r>
      <w:r>
        <w:rPr>
          <w:rFonts w:ascii="Arial" w:hAnsi="Arial" w:cs="Arial"/>
          <w:color w:val="7B7B7B" w:themeColor="accent3" w:themeShade="BF"/>
          <w:sz w:val="22"/>
          <w:szCs w:val="22"/>
          <w:lang w:val="en-GB"/>
        </w:rPr>
        <w:t xml:space="preserve"> on the invoice</w:t>
      </w:r>
      <w:r w:rsidRPr="00FF4DB7">
        <w:rPr>
          <w:rFonts w:ascii="Arial" w:hAnsi="Arial" w:cs="Arial"/>
          <w:color w:val="7B7B7B" w:themeColor="accent3" w:themeShade="BF"/>
          <w:sz w:val="22"/>
          <w:szCs w:val="22"/>
          <w:lang w:val="en-GB"/>
        </w:rPr>
        <w:t xml:space="preserve">. Legal billings itemized in this fashion make it easier to spot instances of duplicate billing or billing for activities which were either not performed or not instructed to </w:t>
      </w:r>
      <w:r>
        <w:rPr>
          <w:rFonts w:ascii="Arial" w:hAnsi="Arial" w:cs="Arial"/>
          <w:color w:val="7B7B7B" w:themeColor="accent3" w:themeShade="BF"/>
          <w:sz w:val="22"/>
          <w:szCs w:val="22"/>
          <w:lang w:val="en-GB"/>
        </w:rPr>
        <w:t xml:space="preserve">be </w:t>
      </w:r>
      <w:r w:rsidRPr="00FF4DB7">
        <w:rPr>
          <w:rFonts w:ascii="Arial" w:hAnsi="Arial" w:cs="Arial"/>
          <w:color w:val="7B7B7B" w:themeColor="accent3" w:themeShade="BF"/>
          <w:sz w:val="22"/>
          <w:szCs w:val="22"/>
          <w:lang w:val="en-GB"/>
        </w:rPr>
        <w:t>perform</w:t>
      </w:r>
      <w:r>
        <w:rPr>
          <w:rFonts w:ascii="Arial" w:hAnsi="Arial" w:cs="Arial"/>
          <w:color w:val="7B7B7B" w:themeColor="accent3" w:themeShade="BF"/>
          <w:sz w:val="22"/>
          <w:szCs w:val="22"/>
          <w:lang w:val="en-GB"/>
        </w:rPr>
        <w:t>ed</w:t>
      </w:r>
      <w:r w:rsidRPr="00FF4DB7">
        <w:rPr>
          <w:rFonts w:ascii="Arial" w:hAnsi="Arial" w:cs="Arial"/>
          <w:color w:val="7B7B7B" w:themeColor="accent3" w:themeShade="BF"/>
          <w:sz w:val="22"/>
          <w:szCs w:val="22"/>
          <w:lang w:val="en-GB"/>
        </w:rPr>
        <w:t>. Ultimately, the onus is on the IP to justify to the company</w:t>
      </w:r>
      <w:r>
        <w:rPr>
          <w:rFonts w:ascii="Arial" w:hAnsi="Arial" w:cs="Arial"/>
          <w:color w:val="7B7B7B" w:themeColor="accent3" w:themeShade="BF"/>
          <w:sz w:val="22"/>
          <w:szCs w:val="22"/>
          <w:lang w:val="en-GB"/>
        </w:rPr>
        <w:t>, its stakeholders or</w:t>
      </w:r>
      <w:r w:rsidRPr="00FF4DB7">
        <w:rPr>
          <w:rFonts w:ascii="Arial" w:hAnsi="Arial" w:cs="Arial"/>
          <w:color w:val="7B7B7B" w:themeColor="accent3" w:themeShade="BF"/>
          <w:sz w:val="22"/>
          <w:szCs w:val="22"/>
          <w:lang w:val="en-GB"/>
        </w:rPr>
        <w:t xml:space="preserve"> in some cases to the court</w:t>
      </w:r>
      <w:r>
        <w:rPr>
          <w:rFonts w:ascii="Arial" w:hAnsi="Arial" w:cs="Arial"/>
          <w:color w:val="7B7B7B" w:themeColor="accent3" w:themeShade="BF"/>
          <w:sz w:val="22"/>
          <w:szCs w:val="22"/>
          <w:lang w:val="en-GB"/>
        </w:rPr>
        <w:t>,</w:t>
      </w:r>
      <w:r w:rsidRPr="00FF4DB7">
        <w:rPr>
          <w:rFonts w:ascii="Arial" w:hAnsi="Arial" w:cs="Arial"/>
          <w:color w:val="7B7B7B" w:themeColor="accent3" w:themeShade="BF"/>
          <w:sz w:val="22"/>
          <w:szCs w:val="22"/>
          <w:lang w:val="en-GB"/>
        </w:rPr>
        <w:t xml:space="preserve"> the legal work performed.</w:t>
      </w:r>
    </w:p>
    <w:p w14:paraId="7C68B192" w14:textId="77777777" w:rsidR="00815B90" w:rsidRDefault="00815B90" w:rsidP="00815B90">
      <w:pPr>
        <w:jc w:val="both"/>
        <w:rPr>
          <w:rFonts w:ascii="Arial" w:hAnsi="Arial" w:cs="Arial"/>
          <w:color w:val="7B7B7B" w:themeColor="accent3" w:themeShade="BF"/>
          <w:sz w:val="22"/>
          <w:szCs w:val="22"/>
          <w:lang w:val="en-GB"/>
        </w:rPr>
      </w:pPr>
    </w:p>
    <w:p w14:paraId="57712DA4" w14:textId="77777777" w:rsidR="00815B90" w:rsidRPr="00FF4DB7" w:rsidRDefault="00815B90" w:rsidP="00815B90">
      <w:pPr>
        <w:jc w:val="both"/>
        <w:rPr>
          <w:rFonts w:ascii="Arial" w:hAnsi="Arial" w:cs="Arial"/>
          <w:color w:val="7B7B7B" w:themeColor="accent3" w:themeShade="BF"/>
          <w:sz w:val="22"/>
          <w:szCs w:val="22"/>
          <w:lang w:val="en-GB"/>
        </w:rPr>
      </w:pPr>
      <w:r w:rsidRPr="00FF4DB7">
        <w:rPr>
          <w:rFonts w:ascii="Arial" w:hAnsi="Arial" w:cs="Arial"/>
          <w:color w:val="7B7B7B" w:themeColor="accent3" w:themeShade="BF"/>
          <w:sz w:val="22"/>
          <w:szCs w:val="22"/>
          <w:lang w:val="en-GB"/>
        </w:rPr>
        <w:t>In addition to the aforementioned issues, the</w:t>
      </w:r>
      <w:r>
        <w:rPr>
          <w:rFonts w:ascii="Arial" w:hAnsi="Arial" w:cs="Arial"/>
          <w:color w:val="7B7B7B" w:themeColor="accent3" w:themeShade="BF"/>
          <w:sz w:val="22"/>
          <w:szCs w:val="22"/>
          <w:lang w:val="en-GB"/>
        </w:rPr>
        <w:t xml:space="preserve"> Insolvency Code of Ethics by the Institute for Chartered Accountants of England and Wales</w:t>
      </w:r>
      <w:r w:rsidRPr="00FF4DB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FF4DB7">
        <w:rPr>
          <w:rFonts w:ascii="Arial" w:hAnsi="Arial" w:cs="Arial"/>
          <w:color w:val="7B7B7B" w:themeColor="accent3" w:themeShade="BF"/>
          <w:sz w:val="22"/>
          <w:szCs w:val="22"/>
          <w:lang w:val="en-GB"/>
        </w:rPr>
        <w:t>ICAEW</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6"/>
      </w:r>
      <w:r w:rsidRPr="00FF4DB7">
        <w:rPr>
          <w:rFonts w:ascii="Arial" w:hAnsi="Arial" w:cs="Arial"/>
          <w:color w:val="7B7B7B" w:themeColor="accent3" w:themeShade="BF"/>
          <w:sz w:val="22"/>
          <w:szCs w:val="22"/>
          <w:lang w:val="en-GB"/>
        </w:rPr>
        <w:t xml:space="preserve"> recommends that the IP submit a full disclosure of the professional relationship between the legal team and the IP and the rational for engaging their services to the stakeholders in the insolvency. The Code also suggests certain factors be considered when undertaking the services of legal professionals. These </w:t>
      </w:r>
      <w:r>
        <w:rPr>
          <w:rFonts w:ascii="Arial" w:hAnsi="Arial" w:cs="Arial"/>
          <w:color w:val="7B7B7B" w:themeColor="accent3" w:themeShade="BF"/>
          <w:sz w:val="22"/>
          <w:szCs w:val="22"/>
          <w:lang w:val="en-GB"/>
        </w:rPr>
        <w:t xml:space="preserve">factors </w:t>
      </w:r>
      <w:r w:rsidRPr="00FF4DB7">
        <w:rPr>
          <w:rFonts w:ascii="Arial" w:hAnsi="Arial" w:cs="Arial"/>
          <w:color w:val="7B7B7B" w:themeColor="accent3" w:themeShade="BF"/>
          <w:sz w:val="22"/>
          <w:szCs w:val="22"/>
          <w:lang w:val="en-GB"/>
        </w:rPr>
        <w:t>are</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w:t>
      </w:r>
    </w:p>
    <w:p w14:paraId="2BF0D34E" w14:textId="77777777" w:rsidR="00815B90" w:rsidRPr="00FF4DB7" w:rsidRDefault="00815B90" w:rsidP="00815B90">
      <w:pPr>
        <w:pStyle w:val="ListParagraph"/>
        <w:numPr>
          <w:ilvl w:val="0"/>
          <w:numId w:val="24"/>
        </w:numPr>
        <w:jc w:val="both"/>
        <w:rPr>
          <w:rFonts w:ascii="Arial" w:hAnsi="Arial" w:cs="Arial"/>
          <w:color w:val="7B7B7B" w:themeColor="accent3" w:themeShade="BF"/>
          <w:sz w:val="22"/>
          <w:szCs w:val="22"/>
          <w:lang w:val="en-GB"/>
        </w:rPr>
      </w:pPr>
      <w:r w:rsidRPr="00FF4DB7">
        <w:rPr>
          <w:rFonts w:ascii="Arial" w:hAnsi="Arial" w:cs="Arial"/>
          <w:color w:val="7B7B7B" w:themeColor="accent3" w:themeShade="BF"/>
          <w:sz w:val="22"/>
          <w:szCs w:val="22"/>
          <w:lang w:val="en-GB"/>
        </w:rPr>
        <w:t xml:space="preserve">The cost of the service, the expertise and experience of the </w:t>
      </w:r>
      <w:proofErr w:type="gramStart"/>
      <w:r w:rsidRPr="00FF4DB7">
        <w:rPr>
          <w:rFonts w:ascii="Arial" w:hAnsi="Arial" w:cs="Arial"/>
          <w:color w:val="7B7B7B" w:themeColor="accent3" w:themeShade="BF"/>
          <w:sz w:val="22"/>
          <w:szCs w:val="22"/>
          <w:lang w:val="en-GB"/>
        </w:rPr>
        <w:t>provider;</w:t>
      </w:r>
      <w:proofErr w:type="gramEnd"/>
    </w:p>
    <w:p w14:paraId="50E7324C" w14:textId="77777777" w:rsidR="00815B90" w:rsidRPr="00FF4DB7" w:rsidRDefault="00815B90" w:rsidP="00815B90">
      <w:pPr>
        <w:pStyle w:val="ListParagraph"/>
        <w:numPr>
          <w:ilvl w:val="0"/>
          <w:numId w:val="24"/>
        </w:numPr>
        <w:jc w:val="both"/>
        <w:rPr>
          <w:rFonts w:ascii="Arial" w:hAnsi="Arial" w:cs="Arial"/>
          <w:color w:val="7B7B7B" w:themeColor="accent3" w:themeShade="BF"/>
          <w:sz w:val="22"/>
          <w:szCs w:val="22"/>
          <w:lang w:val="en-GB"/>
        </w:rPr>
      </w:pPr>
      <w:r w:rsidRPr="00FF4DB7">
        <w:rPr>
          <w:rFonts w:ascii="Arial" w:hAnsi="Arial" w:cs="Arial"/>
          <w:color w:val="7B7B7B" w:themeColor="accent3" w:themeShade="BF"/>
          <w:sz w:val="22"/>
          <w:szCs w:val="22"/>
          <w:lang w:val="en-GB"/>
        </w:rPr>
        <w:t xml:space="preserve">Whether the provider holds appropriate regulatory authorisation; and </w:t>
      </w:r>
    </w:p>
    <w:p w14:paraId="7940D274" w14:textId="50817B14" w:rsidR="00DF75F8" w:rsidRPr="002A37BB" w:rsidRDefault="00815B90" w:rsidP="00815B90">
      <w:pPr>
        <w:jc w:val="both"/>
        <w:rPr>
          <w:rFonts w:ascii="Arial" w:hAnsi="Arial" w:cs="Arial"/>
          <w:sz w:val="22"/>
          <w:szCs w:val="22"/>
          <w:lang w:val="en-GB"/>
        </w:rPr>
      </w:pPr>
      <w:r w:rsidRPr="00EF669C">
        <w:rPr>
          <w:rFonts w:ascii="Arial" w:hAnsi="Arial" w:cs="Arial"/>
          <w:color w:val="7B7B7B" w:themeColor="accent3" w:themeShade="BF"/>
          <w:sz w:val="22"/>
          <w:szCs w:val="22"/>
          <w:lang w:val="en-GB"/>
        </w:rPr>
        <w:t>The professional and ethical standards applicable to the service provider.</w:t>
      </w:r>
      <w:r w:rsidR="00DF75F8" w:rsidRPr="002A37BB">
        <w:rPr>
          <w:rFonts w:ascii="Arial" w:hAnsi="Arial" w:cs="Arial"/>
          <w:color w:val="7B7B7B" w:themeColor="accent3" w:themeShade="BF"/>
          <w:sz w:val="22"/>
          <w:szCs w:val="22"/>
          <w:lang w:val="en-GB"/>
        </w:rPr>
        <w:t>]</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w:t>
      </w:r>
      <w:r w:rsidRPr="00132584">
        <w:rPr>
          <w:rFonts w:ascii="Arial" w:hAnsi="Arial" w:cs="Arial"/>
          <w:sz w:val="22"/>
          <w:szCs w:val="22"/>
          <w:lang w:val="en-GB"/>
        </w:rPr>
        <w:lastRenderedPageBreak/>
        <w:t xml:space="preserve">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2FD76C56" w14:textId="77777777" w:rsidR="00815B90" w:rsidRPr="00DF5F4D" w:rsidRDefault="002D3473" w:rsidP="00815B90">
      <w:pPr>
        <w:rPr>
          <w:rFonts w:ascii="Arial" w:hAnsi="Arial" w:cs="Arial"/>
          <w:b/>
          <w:bCs/>
          <w:color w:val="7B7B7B" w:themeColor="accent3" w:themeShade="BF"/>
          <w:sz w:val="22"/>
          <w:szCs w:val="22"/>
          <w:u w:val="single"/>
        </w:rPr>
      </w:pPr>
      <w:r w:rsidRPr="002A37BB">
        <w:rPr>
          <w:rFonts w:ascii="Arial" w:hAnsi="Arial" w:cs="Arial"/>
          <w:color w:val="7B7B7B" w:themeColor="accent3" w:themeShade="BF"/>
          <w:sz w:val="22"/>
          <w:szCs w:val="22"/>
          <w:lang w:val="en-GB"/>
        </w:rPr>
        <w:t>[</w:t>
      </w:r>
      <w:r w:rsidR="00815B90" w:rsidRPr="00DF5F4D">
        <w:rPr>
          <w:rFonts w:ascii="Arial" w:hAnsi="Arial" w:cs="Arial"/>
          <w:b/>
          <w:bCs/>
          <w:color w:val="7B7B7B" w:themeColor="accent3" w:themeShade="BF"/>
          <w:sz w:val="22"/>
          <w:szCs w:val="22"/>
          <w:u w:val="single"/>
        </w:rPr>
        <w:t>ETHICAL ISSUE #1 – Mr. Relation’s Appointment as Administrator and as Liquidator</w:t>
      </w:r>
    </w:p>
    <w:p w14:paraId="7663D989" w14:textId="77777777" w:rsidR="00815B90" w:rsidRPr="00DF5F4D" w:rsidRDefault="00815B90" w:rsidP="00815B90">
      <w:pPr>
        <w:rPr>
          <w:rFonts w:ascii="Arial" w:hAnsi="Arial" w:cs="Arial"/>
          <w:color w:val="7B7B7B" w:themeColor="accent3" w:themeShade="BF"/>
          <w:sz w:val="22"/>
          <w:szCs w:val="22"/>
        </w:rPr>
      </w:pPr>
    </w:p>
    <w:p w14:paraId="6F9D42BF" w14:textId="77777777" w:rsidR="00815B90" w:rsidRPr="00DF5F4D" w:rsidRDefault="00815B90" w:rsidP="00815B90">
      <w:pPr>
        <w:rPr>
          <w:rFonts w:ascii="Arial" w:hAnsi="Arial" w:cs="Arial"/>
          <w:color w:val="7B7B7B" w:themeColor="accent3" w:themeShade="BF"/>
          <w:sz w:val="22"/>
          <w:szCs w:val="22"/>
        </w:rPr>
      </w:pPr>
      <w:r w:rsidRPr="00DF5F4D">
        <w:rPr>
          <w:rFonts w:ascii="Arial" w:hAnsi="Arial" w:cs="Arial"/>
          <w:b/>
          <w:bCs/>
          <w:color w:val="7B7B7B" w:themeColor="accent3" w:themeShade="BF"/>
          <w:sz w:val="22"/>
          <w:szCs w:val="22"/>
        </w:rPr>
        <w:t>Ethical Principle 2 – Objectivity, Independence, and Impartiality</w:t>
      </w:r>
      <w:r w:rsidRPr="00DF5F4D">
        <w:rPr>
          <w:rStyle w:val="FootnoteReference"/>
          <w:rFonts w:ascii="Arial" w:hAnsi="Arial" w:cs="Arial"/>
          <w:color w:val="7B7B7B" w:themeColor="accent3" w:themeShade="BF"/>
          <w:sz w:val="22"/>
          <w:szCs w:val="22"/>
        </w:rPr>
        <w:footnoteReference w:id="8"/>
      </w:r>
    </w:p>
    <w:p w14:paraId="7F167B77" w14:textId="77777777" w:rsidR="00815B90" w:rsidRPr="00DF5F4D" w:rsidRDefault="00815B90" w:rsidP="00815B90">
      <w:pPr>
        <w:pStyle w:val="ListParagraph"/>
        <w:numPr>
          <w:ilvl w:val="0"/>
          <w:numId w:val="25"/>
        </w:numPr>
        <w:autoSpaceDE w:val="0"/>
        <w:autoSpaceDN w:val="0"/>
        <w:adjustRightInd w:val="0"/>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lastRenderedPageBreak/>
        <w:t xml:space="preserve">Members should exhibit the highest levels of objectivity, </w:t>
      </w:r>
      <w:proofErr w:type="gramStart"/>
      <w:r w:rsidRPr="00DF5F4D">
        <w:rPr>
          <w:rFonts w:ascii="Arial" w:hAnsi="Arial" w:cs="Arial"/>
          <w:color w:val="7B7B7B" w:themeColor="accent3" w:themeShade="BF"/>
          <w:sz w:val="22"/>
          <w:szCs w:val="22"/>
        </w:rPr>
        <w:t>independence</w:t>
      </w:r>
      <w:proofErr w:type="gramEnd"/>
      <w:r w:rsidRPr="00DF5F4D">
        <w:rPr>
          <w:rFonts w:ascii="Arial" w:hAnsi="Arial" w:cs="Arial"/>
          <w:color w:val="7B7B7B" w:themeColor="accent3" w:themeShade="BF"/>
          <w:sz w:val="22"/>
          <w:szCs w:val="22"/>
        </w:rPr>
        <w:t xml:space="preserve"> and impartiality in the exercise of their powers and duties.</w:t>
      </w:r>
    </w:p>
    <w:p w14:paraId="1C8B7B98" w14:textId="77777777" w:rsidR="00815B90" w:rsidRPr="00DF5F4D" w:rsidRDefault="00815B90" w:rsidP="00815B90">
      <w:pPr>
        <w:pStyle w:val="ListParagraph"/>
        <w:numPr>
          <w:ilvl w:val="0"/>
          <w:numId w:val="26"/>
        </w:numPr>
        <w:autoSpaceDE w:val="0"/>
        <w:autoSpaceDN w:val="0"/>
        <w:adjustRightInd w:val="0"/>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Members should avoid circumstances likely to result in a conflict of interest.</w:t>
      </w:r>
    </w:p>
    <w:p w14:paraId="2E113755" w14:textId="77777777" w:rsidR="00815B90" w:rsidRPr="00DF5F4D" w:rsidRDefault="00815B90" w:rsidP="00815B90">
      <w:pPr>
        <w:autoSpaceDE w:val="0"/>
        <w:autoSpaceDN w:val="0"/>
        <w:adjustRightInd w:val="0"/>
        <w:jc w:val="both"/>
        <w:rPr>
          <w:rFonts w:ascii="Arial" w:hAnsi="Arial" w:cs="Arial"/>
          <w:color w:val="7B7B7B" w:themeColor="accent3" w:themeShade="BF"/>
          <w:sz w:val="22"/>
          <w:szCs w:val="22"/>
        </w:rPr>
      </w:pPr>
    </w:p>
    <w:p w14:paraId="65848BCC" w14:textId="77777777" w:rsidR="00815B90" w:rsidRPr="00DF5F4D" w:rsidRDefault="00815B90" w:rsidP="00815B90">
      <w:pPr>
        <w:autoSpaceDE w:val="0"/>
        <w:autoSpaceDN w:val="0"/>
        <w:adjustRightInd w:val="0"/>
        <w:jc w:val="both"/>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(Secondary Source) ICAEW Ethical Fundamental Principle – Objectivity</w:t>
      </w:r>
      <w:r w:rsidRPr="00DF5F4D">
        <w:rPr>
          <w:rStyle w:val="FootnoteReference"/>
          <w:rFonts w:ascii="Arial" w:hAnsi="Arial" w:cs="Arial"/>
          <w:b/>
          <w:bCs/>
          <w:color w:val="7B7B7B" w:themeColor="accent3" w:themeShade="BF"/>
          <w:sz w:val="22"/>
          <w:szCs w:val="22"/>
        </w:rPr>
        <w:footnoteReference w:id="9"/>
      </w:r>
    </w:p>
    <w:p w14:paraId="28F3FBBC" w14:textId="77777777" w:rsidR="00815B90" w:rsidRPr="00DF5F4D" w:rsidRDefault="00815B90" w:rsidP="00815B90">
      <w:pPr>
        <w:autoSpaceDE w:val="0"/>
        <w:autoSpaceDN w:val="0"/>
        <w:adjustRightInd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An IP should not allow, bias, conflict of interests or undue influence of others to override his business or professional judgement.</w:t>
      </w:r>
    </w:p>
    <w:p w14:paraId="330D20FB" w14:textId="77777777" w:rsidR="00815B90" w:rsidRPr="00DF5F4D" w:rsidRDefault="00815B90" w:rsidP="00815B90">
      <w:pPr>
        <w:rPr>
          <w:rFonts w:ascii="Arial" w:hAnsi="Arial" w:cs="Arial"/>
          <w:color w:val="7B7B7B" w:themeColor="accent3" w:themeShade="BF"/>
          <w:sz w:val="22"/>
          <w:szCs w:val="22"/>
        </w:rPr>
      </w:pPr>
    </w:p>
    <w:p w14:paraId="19B7142E"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Reasons why this is an ethical issue:</w:t>
      </w:r>
    </w:p>
    <w:p w14:paraId="1F8DD7C5" w14:textId="77777777" w:rsidR="00815B90" w:rsidRPr="00DF5F4D" w:rsidRDefault="00815B90" w:rsidP="00815B90">
      <w:pPr>
        <w:pStyle w:val="ListParagraph"/>
        <w:numPr>
          <w:ilvl w:val="0"/>
          <w:numId w:val="27"/>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Given the company’s challenges, Mr. Relation is invited to the initial meeting of the shareholders and directors, where he provided legal advice to those present. Although Mr. Relation had not yet been engaged as the administrator, consultations of this nature should be limited to discussions regarding the company’s financial position is recoverable and the alternatives or whether insolvency is the only feasible solution. Consultations outside of this scope could present independence issues for Mr. Relation.  </w:t>
      </w:r>
    </w:p>
    <w:p w14:paraId="1F9B56BE" w14:textId="77777777" w:rsidR="00815B90" w:rsidRPr="00DF5F4D" w:rsidRDefault="00815B90" w:rsidP="00815B90">
      <w:pPr>
        <w:pStyle w:val="ListParagraph"/>
        <w:numPr>
          <w:ilvl w:val="0"/>
          <w:numId w:val="27"/>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Mr. Relation has a close personal relationship with one of the directors who is also a shareholder of the company. This is could impair his objectivity and impartiality.</w:t>
      </w:r>
    </w:p>
    <w:p w14:paraId="255B7704" w14:textId="77777777" w:rsidR="00815B90" w:rsidRPr="00DF5F4D" w:rsidRDefault="00815B90" w:rsidP="00815B90">
      <w:pPr>
        <w:pStyle w:val="ListParagraph"/>
        <w:numPr>
          <w:ilvl w:val="0"/>
          <w:numId w:val="27"/>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Mr. Relation is appointed by the board as the administrator in the company’s voluntary procedure and the directors have previously expressed concern about potential personal liability for their actions. As the administrator, it appears that Mr. Relation may be expected to ‘prioritize their interests</w:t>
      </w:r>
      <w:r w:rsidRPr="00DF5F4D">
        <w:rPr>
          <w:rStyle w:val="FootnoteReference"/>
          <w:rFonts w:ascii="Arial" w:hAnsi="Arial" w:cs="Arial"/>
          <w:color w:val="7B7B7B" w:themeColor="accent3" w:themeShade="BF"/>
          <w:sz w:val="22"/>
          <w:szCs w:val="22"/>
        </w:rPr>
        <w:footnoteReference w:id="10"/>
      </w:r>
      <w:r w:rsidRPr="00DF5F4D">
        <w:rPr>
          <w:rFonts w:ascii="Arial" w:hAnsi="Arial" w:cs="Arial"/>
          <w:color w:val="7B7B7B" w:themeColor="accent3" w:themeShade="BF"/>
          <w:sz w:val="22"/>
          <w:szCs w:val="22"/>
        </w:rPr>
        <w:t>’ over the interests of the company and its beneficiaries.</w:t>
      </w:r>
    </w:p>
    <w:p w14:paraId="40F18C93" w14:textId="77777777" w:rsidR="00815B90" w:rsidRPr="00DF5F4D" w:rsidRDefault="00815B90" w:rsidP="00815B90">
      <w:pPr>
        <w:pStyle w:val="ListParagraph"/>
        <w:numPr>
          <w:ilvl w:val="0"/>
          <w:numId w:val="27"/>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Immediately after accepting the appointment as administrator, a ‘planning meeting’ with the board is convened and Mr. Relation promises the directors that he intends to focus on the rescue of the company rather than the breach of their fiduciary duties. As an IP, Mr. Relation has a duty to be objective in all circumstances and he should not to allow the influence of the board to supersede his business judgement. </w:t>
      </w:r>
    </w:p>
    <w:p w14:paraId="0DAABF1E" w14:textId="77777777" w:rsidR="00815B90" w:rsidRPr="00DF5F4D" w:rsidRDefault="00815B90" w:rsidP="00815B90">
      <w:pPr>
        <w:pStyle w:val="ListParagraph"/>
        <w:numPr>
          <w:ilvl w:val="0"/>
          <w:numId w:val="27"/>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Due to ‘lack of funding’ the restructuring plan for the company fails and Mr. Relation is subsequently appointed as liquidator for the procedure. In addition to independence, objectivity and impartiality issues, this occurrence presents a mirage of other ethical issues including a conflict of interest where Mr. Relation may be placed in the position of evaluating his previous ‘failed’ decisions as the administrator.  </w:t>
      </w:r>
    </w:p>
    <w:p w14:paraId="6A72A1F6" w14:textId="77777777" w:rsidR="00815B90" w:rsidRPr="00DF5F4D" w:rsidRDefault="00815B90" w:rsidP="00815B90">
      <w:pPr>
        <w:pStyle w:val="ListParagraph"/>
        <w:rPr>
          <w:rFonts w:ascii="Arial" w:hAnsi="Arial" w:cs="Arial"/>
          <w:color w:val="7B7B7B" w:themeColor="accent3" w:themeShade="BF"/>
          <w:sz w:val="22"/>
          <w:szCs w:val="22"/>
        </w:rPr>
      </w:pPr>
    </w:p>
    <w:p w14:paraId="4ABC3FD2"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 xml:space="preserve">The threats identified in the scenario above: </w:t>
      </w:r>
    </w:p>
    <w:p w14:paraId="32E932E2" w14:textId="77777777" w:rsidR="00815B90" w:rsidRPr="00DF5F4D" w:rsidRDefault="00815B90" w:rsidP="00815B90">
      <w:pPr>
        <w:pStyle w:val="ListParagraph"/>
        <w:numPr>
          <w:ilvl w:val="0"/>
          <w:numId w:val="28"/>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Familiarity threat – As a result of Mr. Relation’s close personal relationship with Mr. </w:t>
      </w:r>
      <w:proofErr w:type="spellStart"/>
      <w:r w:rsidRPr="00DF5F4D">
        <w:rPr>
          <w:rFonts w:ascii="Arial" w:hAnsi="Arial" w:cs="Arial"/>
          <w:color w:val="7B7B7B" w:themeColor="accent3" w:themeShade="BF"/>
          <w:sz w:val="22"/>
          <w:szCs w:val="22"/>
        </w:rPr>
        <w:t>Inlaw</w:t>
      </w:r>
      <w:proofErr w:type="spellEnd"/>
      <w:r w:rsidRPr="00DF5F4D">
        <w:rPr>
          <w:rFonts w:ascii="Arial" w:hAnsi="Arial" w:cs="Arial"/>
          <w:color w:val="7B7B7B" w:themeColor="accent3" w:themeShade="BF"/>
          <w:sz w:val="22"/>
          <w:szCs w:val="22"/>
        </w:rPr>
        <w:t>.</w:t>
      </w:r>
    </w:p>
    <w:p w14:paraId="3751C88A" w14:textId="77777777" w:rsidR="00815B90" w:rsidRPr="00DF5F4D" w:rsidRDefault="00815B90" w:rsidP="00815B90">
      <w:pPr>
        <w:pStyle w:val="ListParagraph"/>
        <w:numPr>
          <w:ilvl w:val="0"/>
          <w:numId w:val="29"/>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Self-review threats – It would be inappropriate for Mr. Relation in the capacity as the liquidator to review is own previous actions and judgements in his previous office as administrator.</w:t>
      </w:r>
    </w:p>
    <w:p w14:paraId="57873810" w14:textId="77777777" w:rsidR="00815B90" w:rsidRPr="00DF5F4D" w:rsidRDefault="00815B90" w:rsidP="00815B90">
      <w:pPr>
        <w:pStyle w:val="ListParagraph"/>
        <w:numPr>
          <w:ilvl w:val="0"/>
          <w:numId w:val="30"/>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Self-interest threat – As administrator Mr. Relation would have incurred fees.  The rescue collapsed due to lack of funding and it is possible that not all fees owed to Mr. Relation in his capacity as the administrator were not settled.  Therefore, Mr. Relation is potentially a creditor in the liquidation, and he has a financial interest in the liquidation. Clearly, this is a self-interest threat.</w:t>
      </w:r>
    </w:p>
    <w:p w14:paraId="797EA729" w14:textId="77777777" w:rsidR="00815B90" w:rsidRPr="00DF5F4D" w:rsidRDefault="00815B90" w:rsidP="00815B90">
      <w:pPr>
        <w:pStyle w:val="ListParagraph"/>
        <w:numPr>
          <w:ilvl w:val="0"/>
          <w:numId w:val="30"/>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Advocacy threats – Mr. Relation had significant involvement with the board prior to his appointment and in this advisory role Mr. Relations objectivity may be compromised. </w:t>
      </w:r>
    </w:p>
    <w:p w14:paraId="0ADFB893" w14:textId="77777777" w:rsidR="00815B90" w:rsidRPr="00DF5F4D" w:rsidRDefault="00815B90" w:rsidP="00815B90">
      <w:pPr>
        <w:pStyle w:val="ListParagraph"/>
        <w:ind w:left="340"/>
        <w:jc w:val="both"/>
        <w:rPr>
          <w:rFonts w:ascii="Arial" w:hAnsi="Arial" w:cs="Arial"/>
          <w:color w:val="7B7B7B" w:themeColor="accent3" w:themeShade="BF"/>
          <w:sz w:val="22"/>
          <w:szCs w:val="22"/>
        </w:rPr>
      </w:pPr>
    </w:p>
    <w:p w14:paraId="43B88970"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Safeguards</w:t>
      </w:r>
    </w:p>
    <w:p w14:paraId="197D63B5" w14:textId="77777777" w:rsidR="00815B90" w:rsidRPr="00DF5F4D" w:rsidRDefault="00815B90" w:rsidP="00815B90">
      <w:pPr>
        <w:pStyle w:val="ListParagraph"/>
        <w:numPr>
          <w:ilvl w:val="0"/>
          <w:numId w:val="32"/>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Prior to Mr. Relation’s initial consultation meeting with the shareholders and the directors, he should prepare a disclosure statement outlining the nature of his discussions </w:t>
      </w:r>
      <w:proofErr w:type="gramStart"/>
      <w:r w:rsidRPr="00DF5F4D">
        <w:rPr>
          <w:rFonts w:ascii="Arial" w:hAnsi="Arial" w:cs="Arial"/>
          <w:color w:val="7B7B7B" w:themeColor="accent3" w:themeShade="BF"/>
          <w:sz w:val="22"/>
          <w:szCs w:val="22"/>
        </w:rPr>
        <w:t>and also</w:t>
      </w:r>
      <w:proofErr w:type="gramEnd"/>
      <w:r w:rsidRPr="00DF5F4D">
        <w:rPr>
          <w:rFonts w:ascii="Arial" w:hAnsi="Arial" w:cs="Arial"/>
          <w:color w:val="7B7B7B" w:themeColor="accent3" w:themeShade="BF"/>
          <w:sz w:val="22"/>
          <w:szCs w:val="22"/>
        </w:rPr>
        <w:t xml:space="preserve"> disclosing his close relations with Mr. </w:t>
      </w:r>
      <w:proofErr w:type="spellStart"/>
      <w:r w:rsidRPr="00DF5F4D">
        <w:rPr>
          <w:rFonts w:ascii="Arial" w:hAnsi="Arial" w:cs="Arial"/>
          <w:color w:val="7B7B7B" w:themeColor="accent3" w:themeShade="BF"/>
          <w:sz w:val="22"/>
          <w:szCs w:val="22"/>
        </w:rPr>
        <w:t>Inlaw</w:t>
      </w:r>
      <w:proofErr w:type="spellEnd"/>
      <w:r w:rsidRPr="00DF5F4D">
        <w:rPr>
          <w:rFonts w:ascii="Arial" w:hAnsi="Arial" w:cs="Arial"/>
          <w:color w:val="7B7B7B" w:themeColor="accent3" w:themeShade="BF"/>
          <w:sz w:val="22"/>
          <w:szCs w:val="22"/>
        </w:rPr>
        <w:t>.</w:t>
      </w:r>
    </w:p>
    <w:p w14:paraId="7A66DE4F" w14:textId="77777777" w:rsidR="00815B90" w:rsidRPr="00DF5F4D" w:rsidRDefault="00815B90" w:rsidP="00815B90">
      <w:pPr>
        <w:pStyle w:val="ListParagraph"/>
        <w:numPr>
          <w:ilvl w:val="0"/>
          <w:numId w:val="32"/>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Prior to any indication of an insolvency event, it is common for large corporations to consider its options for appropriate insolvency professionals and restructuring options- this </w:t>
      </w:r>
      <w:r w:rsidRPr="00DF5F4D">
        <w:rPr>
          <w:rFonts w:ascii="Arial" w:hAnsi="Arial" w:cs="Arial"/>
          <w:color w:val="7B7B7B" w:themeColor="accent3" w:themeShade="BF"/>
          <w:sz w:val="22"/>
          <w:szCs w:val="22"/>
        </w:rPr>
        <w:lastRenderedPageBreak/>
        <w:t xml:space="preserve">is </w:t>
      </w:r>
      <w:r>
        <w:rPr>
          <w:rFonts w:ascii="Arial" w:hAnsi="Arial" w:cs="Arial"/>
          <w:color w:val="7B7B7B" w:themeColor="accent3" w:themeShade="BF"/>
          <w:sz w:val="22"/>
          <w:szCs w:val="22"/>
        </w:rPr>
        <w:t xml:space="preserve">usually </w:t>
      </w:r>
      <w:r w:rsidRPr="00DF5F4D">
        <w:rPr>
          <w:rFonts w:ascii="Arial" w:hAnsi="Arial" w:cs="Arial"/>
          <w:color w:val="7B7B7B" w:themeColor="accent3" w:themeShade="BF"/>
          <w:sz w:val="22"/>
          <w:szCs w:val="22"/>
        </w:rPr>
        <w:t>outlined in the company’s risk assessment plan</w:t>
      </w:r>
      <w:r>
        <w:rPr>
          <w:rFonts w:ascii="Arial" w:hAnsi="Arial" w:cs="Arial"/>
          <w:color w:val="7B7B7B" w:themeColor="accent3" w:themeShade="BF"/>
          <w:sz w:val="22"/>
          <w:szCs w:val="22"/>
        </w:rPr>
        <w:t xml:space="preserve"> and should be considered by </w:t>
      </w:r>
      <w:proofErr w:type="spellStart"/>
      <w:r>
        <w:rPr>
          <w:rFonts w:ascii="Arial" w:hAnsi="Arial" w:cs="Arial"/>
          <w:color w:val="7B7B7B" w:themeColor="accent3" w:themeShade="BF"/>
          <w:sz w:val="22"/>
          <w:szCs w:val="22"/>
        </w:rPr>
        <w:t>WeBuild</w:t>
      </w:r>
      <w:proofErr w:type="spellEnd"/>
      <w:r>
        <w:rPr>
          <w:rFonts w:ascii="Arial" w:hAnsi="Arial" w:cs="Arial"/>
          <w:color w:val="7B7B7B" w:themeColor="accent3" w:themeShade="BF"/>
          <w:sz w:val="22"/>
          <w:szCs w:val="22"/>
        </w:rPr>
        <w:t>.</w:t>
      </w:r>
      <w:r w:rsidRPr="00DF5F4D">
        <w:rPr>
          <w:rFonts w:ascii="Arial" w:hAnsi="Arial" w:cs="Arial"/>
          <w:color w:val="7B7B7B" w:themeColor="accent3" w:themeShade="BF"/>
          <w:sz w:val="22"/>
          <w:szCs w:val="22"/>
        </w:rPr>
        <w:t xml:space="preserve">  </w:t>
      </w:r>
    </w:p>
    <w:p w14:paraId="576B6872" w14:textId="77777777" w:rsidR="00815B90" w:rsidRPr="00DF5F4D" w:rsidRDefault="00815B90" w:rsidP="00815B90">
      <w:pPr>
        <w:pStyle w:val="ListParagraph"/>
        <w:numPr>
          <w:ilvl w:val="0"/>
          <w:numId w:val="32"/>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Because of Mr. Relations close relationship with Mr. </w:t>
      </w:r>
      <w:proofErr w:type="spellStart"/>
      <w:r w:rsidRPr="00DF5F4D">
        <w:rPr>
          <w:rFonts w:ascii="Arial" w:hAnsi="Arial" w:cs="Arial"/>
          <w:color w:val="7B7B7B" w:themeColor="accent3" w:themeShade="BF"/>
          <w:sz w:val="22"/>
          <w:szCs w:val="22"/>
        </w:rPr>
        <w:t>Inlaw</w:t>
      </w:r>
      <w:proofErr w:type="spellEnd"/>
      <w:r w:rsidRPr="00DF5F4D">
        <w:rPr>
          <w:rFonts w:ascii="Arial" w:hAnsi="Arial" w:cs="Arial"/>
          <w:color w:val="7B7B7B" w:themeColor="accent3" w:themeShade="BF"/>
          <w:sz w:val="22"/>
          <w:szCs w:val="22"/>
        </w:rPr>
        <w:t>, he should consider a Joint IP appointment that could reduce the familiarity threat to an acceptable level.</w:t>
      </w:r>
    </w:p>
    <w:p w14:paraId="4E92BF0C" w14:textId="77777777" w:rsidR="00815B90" w:rsidRPr="00DF5F4D" w:rsidRDefault="00815B90" w:rsidP="00815B90">
      <w:pPr>
        <w:pStyle w:val="ListParagraph"/>
        <w:numPr>
          <w:ilvl w:val="0"/>
          <w:numId w:val="32"/>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All IP’s are encouraged to seek legal advice in certain circumstances. Mr. Relation should seek legal advice on the appropriateness of both appointments.</w:t>
      </w:r>
    </w:p>
    <w:p w14:paraId="6EB7FCD5" w14:textId="77777777" w:rsidR="00815B90" w:rsidRPr="00DF5F4D" w:rsidRDefault="00815B90" w:rsidP="00815B90">
      <w:pPr>
        <w:pStyle w:val="ListParagraph"/>
        <w:numPr>
          <w:ilvl w:val="0"/>
          <w:numId w:val="32"/>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Mr. IP may also consider seeking advice from the local Regulatory Professional Body on the appropriateness of the appointment and whether he </w:t>
      </w:r>
      <w:proofErr w:type="gramStart"/>
      <w:r w:rsidRPr="00DF5F4D">
        <w:rPr>
          <w:rFonts w:ascii="Arial" w:hAnsi="Arial" w:cs="Arial"/>
          <w:color w:val="7B7B7B" w:themeColor="accent3" w:themeShade="BF"/>
          <w:sz w:val="22"/>
          <w:szCs w:val="22"/>
        </w:rPr>
        <w:t>is in compliance with</w:t>
      </w:r>
      <w:proofErr w:type="gramEnd"/>
      <w:r w:rsidRPr="00DF5F4D">
        <w:rPr>
          <w:rFonts w:ascii="Arial" w:hAnsi="Arial" w:cs="Arial"/>
          <w:color w:val="7B7B7B" w:themeColor="accent3" w:themeShade="BF"/>
          <w:sz w:val="22"/>
          <w:szCs w:val="22"/>
        </w:rPr>
        <w:t xml:space="preserve"> the statutory regulations.</w:t>
      </w:r>
    </w:p>
    <w:p w14:paraId="236B708A" w14:textId="77777777" w:rsidR="00815B90" w:rsidRPr="00DF5F4D" w:rsidRDefault="00815B90" w:rsidP="00815B90">
      <w:pPr>
        <w:pStyle w:val="ListParagraph"/>
        <w:numPr>
          <w:ilvl w:val="0"/>
          <w:numId w:val="32"/>
        </w:numPr>
        <w:contextualSpacing w:val="0"/>
        <w:jc w:val="both"/>
        <w:rPr>
          <w:rFonts w:ascii="Arial" w:hAnsi="Arial" w:cs="Arial"/>
          <w:color w:val="7B7B7B" w:themeColor="accent3" w:themeShade="BF"/>
          <w:sz w:val="22"/>
          <w:szCs w:val="22"/>
          <w:lang w:val="en-GB"/>
        </w:rPr>
      </w:pPr>
      <w:r w:rsidRPr="00DF5F4D">
        <w:rPr>
          <w:rFonts w:ascii="Arial" w:hAnsi="Arial" w:cs="Arial"/>
          <w:color w:val="7B7B7B" w:themeColor="accent3" w:themeShade="BF"/>
          <w:sz w:val="22"/>
          <w:szCs w:val="22"/>
          <w:lang w:val="en-GB"/>
        </w:rPr>
        <w:t>A disclaimer (in the form of a disclosure statement) which outlines the extent and nature of these pre-commencement consultations will create an ‘air’ of transparency between the parties.</w:t>
      </w:r>
    </w:p>
    <w:p w14:paraId="6BC92D08" w14:textId="77777777" w:rsidR="00815B90" w:rsidRPr="00DF5F4D" w:rsidRDefault="00815B90" w:rsidP="00815B90">
      <w:pPr>
        <w:pStyle w:val="ListParagraph"/>
        <w:ind w:left="340"/>
        <w:jc w:val="both"/>
        <w:rPr>
          <w:rFonts w:ascii="Arial" w:hAnsi="Arial" w:cs="Arial"/>
          <w:color w:val="7B7B7B" w:themeColor="accent3" w:themeShade="BF"/>
          <w:sz w:val="22"/>
          <w:szCs w:val="22"/>
        </w:rPr>
      </w:pPr>
    </w:p>
    <w:p w14:paraId="1FD17003" w14:textId="77777777" w:rsidR="00815B90" w:rsidRPr="00DF5F4D" w:rsidRDefault="00815B90" w:rsidP="00815B90">
      <w:pPr>
        <w:rPr>
          <w:rFonts w:ascii="Arial" w:hAnsi="Arial" w:cs="Arial"/>
          <w:color w:val="7B7B7B" w:themeColor="accent3" w:themeShade="BF"/>
          <w:sz w:val="22"/>
          <w:szCs w:val="22"/>
        </w:rPr>
      </w:pPr>
    </w:p>
    <w:p w14:paraId="40C2F057" w14:textId="77777777" w:rsidR="00815B90" w:rsidRPr="00DF5F4D" w:rsidRDefault="00815B90" w:rsidP="00815B90">
      <w:pPr>
        <w:rPr>
          <w:rFonts w:ascii="Arial" w:hAnsi="Arial" w:cs="Arial"/>
          <w:color w:val="7B7B7B" w:themeColor="accent3" w:themeShade="BF"/>
          <w:sz w:val="22"/>
          <w:szCs w:val="22"/>
        </w:rPr>
      </w:pPr>
      <w:r w:rsidRPr="00DF5F4D">
        <w:rPr>
          <w:rFonts w:ascii="Arial" w:hAnsi="Arial" w:cs="Arial"/>
          <w:b/>
          <w:bCs/>
          <w:color w:val="7B7B7B" w:themeColor="accent3" w:themeShade="BF"/>
          <w:sz w:val="22"/>
          <w:szCs w:val="22"/>
        </w:rPr>
        <w:t>Relevant Case law</w:t>
      </w:r>
      <w:r w:rsidRPr="00DF5F4D">
        <w:rPr>
          <w:rFonts w:ascii="Arial" w:hAnsi="Arial" w:cs="Arial"/>
          <w:color w:val="7B7B7B" w:themeColor="accent3" w:themeShade="BF"/>
          <w:sz w:val="22"/>
          <w:szCs w:val="22"/>
        </w:rPr>
        <w:t xml:space="preserve"> </w:t>
      </w:r>
    </w:p>
    <w:p w14:paraId="118B1DDD" w14:textId="77777777" w:rsidR="00815B90" w:rsidRPr="00DF5F4D" w:rsidRDefault="00815B90" w:rsidP="00815B90">
      <w:pPr>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[Re </w:t>
      </w:r>
      <w:proofErr w:type="spellStart"/>
      <w:r w:rsidRPr="00DF5F4D">
        <w:rPr>
          <w:rFonts w:ascii="Arial" w:hAnsi="Arial" w:cs="Arial"/>
          <w:color w:val="7B7B7B" w:themeColor="accent3" w:themeShade="BF"/>
          <w:sz w:val="22"/>
          <w:szCs w:val="22"/>
        </w:rPr>
        <w:t>Korda</w:t>
      </w:r>
      <w:proofErr w:type="spellEnd"/>
      <w:r w:rsidRPr="00DF5F4D">
        <w:rPr>
          <w:rFonts w:ascii="Arial" w:hAnsi="Arial" w:cs="Arial"/>
          <w:color w:val="7B7B7B" w:themeColor="accent3" w:themeShade="BF"/>
          <w:sz w:val="22"/>
          <w:szCs w:val="22"/>
        </w:rPr>
        <w:t xml:space="preserve">, Ten Network Holdings Ltd (Admin </w:t>
      </w:r>
      <w:proofErr w:type="spellStart"/>
      <w:r w:rsidRPr="00DF5F4D">
        <w:rPr>
          <w:rFonts w:ascii="Arial" w:hAnsi="Arial" w:cs="Arial"/>
          <w:color w:val="7B7B7B" w:themeColor="accent3" w:themeShade="BF"/>
          <w:sz w:val="22"/>
          <w:szCs w:val="22"/>
        </w:rPr>
        <w:t>Apptd</w:t>
      </w:r>
      <w:proofErr w:type="spellEnd"/>
      <w:r w:rsidRPr="00DF5F4D">
        <w:rPr>
          <w:rFonts w:ascii="Arial" w:hAnsi="Arial" w:cs="Arial"/>
          <w:color w:val="7B7B7B" w:themeColor="accent3" w:themeShade="BF"/>
          <w:sz w:val="22"/>
          <w:szCs w:val="22"/>
        </w:rPr>
        <w:t xml:space="preserve">) (Recs and </w:t>
      </w:r>
      <w:proofErr w:type="spellStart"/>
      <w:r w:rsidRPr="00DF5F4D">
        <w:rPr>
          <w:rFonts w:ascii="Arial" w:hAnsi="Arial" w:cs="Arial"/>
          <w:color w:val="7B7B7B" w:themeColor="accent3" w:themeShade="BF"/>
          <w:sz w:val="22"/>
          <w:szCs w:val="22"/>
        </w:rPr>
        <w:t>Mgrs</w:t>
      </w:r>
      <w:proofErr w:type="spellEnd"/>
      <w:r w:rsidRPr="00DF5F4D">
        <w:rPr>
          <w:rFonts w:ascii="Arial" w:hAnsi="Arial" w:cs="Arial"/>
          <w:color w:val="7B7B7B" w:themeColor="accent3" w:themeShade="BF"/>
          <w:sz w:val="22"/>
          <w:szCs w:val="22"/>
        </w:rPr>
        <w:t xml:space="preserve"> </w:t>
      </w:r>
      <w:proofErr w:type="spellStart"/>
      <w:r w:rsidRPr="00DF5F4D">
        <w:rPr>
          <w:rFonts w:ascii="Arial" w:hAnsi="Arial" w:cs="Arial"/>
          <w:color w:val="7B7B7B" w:themeColor="accent3" w:themeShade="BF"/>
          <w:sz w:val="22"/>
          <w:szCs w:val="22"/>
        </w:rPr>
        <w:t>Apptd</w:t>
      </w:r>
      <w:proofErr w:type="spellEnd"/>
      <w:r w:rsidRPr="00DF5F4D">
        <w:rPr>
          <w:rFonts w:ascii="Arial" w:hAnsi="Arial" w:cs="Arial"/>
          <w:color w:val="7B7B7B" w:themeColor="accent3" w:themeShade="BF"/>
          <w:sz w:val="22"/>
          <w:szCs w:val="22"/>
        </w:rPr>
        <w:t>) [2017] FCA 914 [Australia] – it was held that safeguards should be implemented to avoid the existence or appearance of conflict should an IP appointment be necessary.</w:t>
      </w:r>
    </w:p>
    <w:p w14:paraId="21055C1D" w14:textId="77777777" w:rsidR="00815B90" w:rsidRPr="00DF5F4D" w:rsidRDefault="00815B90" w:rsidP="00815B90">
      <w:pPr>
        <w:pStyle w:val="ListParagraph"/>
        <w:rPr>
          <w:rFonts w:ascii="Arial" w:hAnsi="Arial" w:cs="Arial"/>
          <w:color w:val="7B7B7B" w:themeColor="accent3" w:themeShade="BF"/>
          <w:sz w:val="22"/>
          <w:szCs w:val="22"/>
        </w:rPr>
      </w:pPr>
    </w:p>
    <w:p w14:paraId="65AB7A2F" w14:textId="77777777" w:rsidR="00815B90" w:rsidRPr="00DF5F4D" w:rsidRDefault="00815B90" w:rsidP="00815B90">
      <w:pPr>
        <w:rPr>
          <w:rFonts w:ascii="Arial" w:hAnsi="Arial" w:cs="Arial"/>
          <w:color w:val="7B7B7B" w:themeColor="accent3" w:themeShade="BF"/>
          <w:sz w:val="22"/>
          <w:szCs w:val="22"/>
        </w:rPr>
      </w:pPr>
    </w:p>
    <w:p w14:paraId="7E7B3902" w14:textId="77777777" w:rsidR="00815B90" w:rsidRPr="00185C2B" w:rsidRDefault="00815B90" w:rsidP="00815B90">
      <w:pPr>
        <w:rPr>
          <w:rFonts w:ascii="Arial" w:hAnsi="Arial" w:cs="Arial"/>
          <w:b/>
          <w:bCs/>
          <w:color w:val="7B7B7B" w:themeColor="accent3" w:themeShade="BF"/>
          <w:sz w:val="22"/>
          <w:szCs w:val="22"/>
          <w:u w:val="single"/>
        </w:rPr>
      </w:pPr>
      <w:r w:rsidRPr="00185C2B">
        <w:rPr>
          <w:rFonts w:ascii="Arial" w:hAnsi="Arial" w:cs="Arial"/>
          <w:b/>
          <w:bCs/>
          <w:color w:val="7B7B7B" w:themeColor="accent3" w:themeShade="BF"/>
          <w:sz w:val="22"/>
          <w:szCs w:val="22"/>
          <w:u w:val="single"/>
        </w:rPr>
        <w:t xml:space="preserve">ETHICAL ISSUE #2 – The report concealing evidence of misconduct by the directors. </w:t>
      </w:r>
    </w:p>
    <w:p w14:paraId="5846FD0F" w14:textId="77777777" w:rsidR="00815B90" w:rsidRPr="00DF5F4D" w:rsidRDefault="00815B90" w:rsidP="00815B90">
      <w:pPr>
        <w:rPr>
          <w:rFonts w:ascii="Arial" w:hAnsi="Arial" w:cs="Arial"/>
          <w:color w:val="7B7B7B" w:themeColor="accent3" w:themeShade="BF"/>
          <w:sz w:val="22"/>
          <w:szCs w:val="22"/>
        </w:rPr>
      </w:pPr>
    </w:p>
    <w:p w14:paraId="366701B1"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Ethical Principle 1 - Integrity</w:t>
      </w:r>
      <w:r>
        <w:rPr>
          <w:rStyle w:val="FootnoteReference"/>
          <w:rFonts w:ascii="Arial" w:hAnsi="Arial" w:cs="Arial"/>
          <w:b/>
          <w:bCs/>
          <w:color w:val="7B7B7B" w:themeColor="accent3" w:themeShade="BF"/>
          <w:sz w:val="22"/>
          <w:szCs w:val="22"/>
        </w:rPr>
        <w:footnoteReference w:id="11"/>
      </w:r>
    </w:p>
    <w:p w14:paraId="28B8A397" w14:textId="77777777" w:rsidR="00815B90" w:rsidRPr="00DF5F4D" w:rsidRDefault="00815B90" w:rsidP="00815B90">
      <w:pPr>
        <w:autoSpaceDE w:val="0"/>
        <w:autoSpaceDN w:val="0"/>
        <w:adjustRightInd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In addition to complying with applicable law, Members should endeavor to demonstrate the highest levels of integrity by being straightforward, honest, and truthful; and by adhering to high moral and ethical principles in all aspects of their professional practice. </w:t>
      </w:r>
    </w:p>
    <w:p w14:paraId="4E68ABD9" w14:textId="77777777" w:rsidR="00815B90" w:rsidRPr="00DF5F4D" w:rsidRDefault="00815B90" w:rsidP="00815B90">
      <w:pPr>
        <w:rPr>
          <w:rFonts w:ascii="Arial" w:hAnsi="Arial" w:cs="Arial"/>
          <w:color w:val="7B7B7B" w:themeColor="accent3" w:themeShade="BF"/>
          <w:sz w:val="22"/>
          <w:szCs w:val="22"/>
        </w:rPr>
      </w:pPr>
    </w:p>
    <w:p w14:paraId="2095956D" w14:textId="77777777" w:rsidR="00815B90" w:rsidRPr="00DF5F4D" w:rsidRDefault="00815B90" w:rsidP="00815B90">
      <w:pPr>
        <w:rPr>
          <w:rFonts w:ascii="Arial" w:hAnsi="Arial" w:cs="Arial"/>
          <w:color w:val="7B7B7B" w:themeColor="accent3" w:themeShade="BF"/>
          <w:sz w:val="22"/>
          <w:szCs w:val="22"/>
        </w:rPr>
      </w:pPr>
      <w:r w:rsidRPr="00DF5F4D">
        <w:rPr>
          <w:rFonts w:ascii="Arial" w:hAnsi="Arial" w:cs="Arial"/>
          <w:b/>
          <w:bCs/>
          <w:color w:val="7B7B7B" w:themeColor="accent3" w:themeShade="BF"/>
          <w:sz w:val="22"/>
          <w:szCs w:val="22"/>
        </w:rPr>
        <w:t>(Secondary Source) ICAEW Ethical Fundamental Principle - Integrity</w:t>
      </w:r>
      <w:r>
        <w:rPr>
          <w:rStyle w:val="FootnoteReference"/>
          <w:rFonts w:ascii="Arial" w:hAnsi="Arial" w:cs="Arial"/>
          <w:b/>
          <w:bCs/>
          <w:color w:val="7B7B7B" w:themeColor="accent3" w:themeShade="BF"/>
          <w:sz w:val="22"/>
          <w:szCs w:val="22"/>
        </w:rPr>
        <w:footnoteReference w:id="12"/>
      </w:r>
    </w:p>
    <w:p w14:paraId="25923829" w14:textId="77777777" w:rsidR="00815B90" w:rsidRPr="00DF5F4D" w:rsidRDefault="00815B90" w:rsidP="00815B90">
      <w:pPr>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An insolvency practitioner should be straightforward and honest in all professional and business relationships.</w:t>
      </w:r>
    </w:p>
    <w:p w14:paraId="75815442" w14:textId="77777777" w:rsidR="00815B90" w:rsidRPr="00DF5F4D" w:rsidRDefault="00815B90" w:rsidP="00815B90">
      <w:pPr>
        <w:rPr>
          <w:rFonts w:ascii="Arial" w:hAnsi="Arial" w:cs="Arial"/>
          <w:color w:val="7B7B7B" w:themeColor="accent3" w:themeShade="BF"/>
          <w:sz w:val="22"/>
          <w:szCs w:val="22"/>
        </w:rPr>
      </w:pPr>
    </w:p>
    <w:p w14:paraId="7D8A603C"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Reasons why this is an ethical issue:</w:t>
      </w:r>
    </w:p>
    <w:p w14:paraId="409ACC2B" w14:textId="77777777" w:rsidR="00815B90" w:rsidRPr="00DF5F4D" w:rsidRDefault="00815B90" w:rsidP="00815B90">
      <w:pPr>
        <w:pStyle w:val="ListParagraph"/>
        <w:numPr>
          <w:ilvl w:val="0"/>
          <w:numId w:val="31"/>
        </w:numPr>
        <w:contextualSpacing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During</w:t>
      </w:r>
      <w:r w:rsidRPr="00DF5F4D">
        <w:rPr>
          <w:rFonts w:ascii="Arial" w:hAnsi="Arial" w:cs="Arial"/>
          <w:color w:val="7B7B7B" w:themeColor="accent3" w:themeShade="BF"/>
          <w:sz w:val="22"/>
          <w:szCs w:val="22"/>
        </w:rPr>
        <w:t xml:space="preserve"> Mr. Relation’s presentation to the creditors, he lied, indicating that there was no ‘wrongdoing and maladministration’ by the directors of the company. As an IP Mr. Relation has a duty to be honest in his dealings with stakeholders.</w:t>
      </w:r>
    </w:p>
    <w:p w14:paraId="0D975688" w14:textId="77777777" w:rsidR="00815B90" w:rsidRPr="00DF5F4D" w:rsidRDefault="00815B90" w:rsidP="00815B90">
      <w:pPr>
        <w:pStyle w:val="ListParagraph"/>
        <w:numPr>
          <w:ilvl w:val="0"/>
          <w:numId w:val="33"/>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Mr. Relation concealed facts from the creditors and misrepresented information contained in the company’s plan for reorganization. The content of the plan was based on a ‘superficial’ investigation and incredible reports drafted by Mr. </w:t>
      </w:r>
      <w:proofErr w:type="spellStart"/>
      <w:r w:rsidRPr="00DF5F4D">
        <w:rPr>
          <w:rFonts w:ascii="Arial" w:hAnsi="Arial" w:cs="Arial"/>
          <w:color w:val="7B7B7B" w:themeColor="accent3" w:themeShade="BF"/>
          <w:sz w:val="22"/>
          <w:szCs w:val="22"/>
        </w:rPr>
        <w:t>Inlaw</w:t>
      </w:r>
      <w:proofErr w:type="spellEnd"/>
      <w:r w:rsidRPr="00DF5F4D">
        <w:rPr>
          <w:rFonts w:ascii="Arial" w:hAnsi="Arial" w:cs="Arial"/>
          <w:color w:val="7B7B7B" w:themeColor="accent3" w:themeShade="BF"/>
          <w:sz w:val="22"/>
          <w:szCs w:val="22"/>
        </w:rPr>
        <w:t xml:space="preserve"> and therefore, could not accurately determine a true method of recovery for the company. Mr. Relation’s standard of integrity was called to question because he intentionally omitted critical information from the creditors report. </w:t>
      </w:r>
    </w:p>
    <w:p w14:paraId="01DF48C5" w14:textId="77777777" w:rsidR="00815B90" w:rsidRPr="00DF5F4D" w:rsidRDefault="00815B90" w:rsidP="00815B90">
      <w:pPr>
        <w:pStyle w:val="ListParagraph"/>
        <w:numPr>
          <w:ilvl w:val="0"/>
          <w:numId w:val="34"/>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Mr. Relation was aware of the directors’ breach of their fiduciary duties (via payment of performance bonuses and wrongful trading) and the potential personal liabilities. As </w:t>
      </w:r>
      <w:proofErr w:type="gramStart"/>
      <w:r w:rsidRPr="00DF5F4D">
        <w:rPr>
          <w:rFonts w:ascii="Arial" w:hAnsi="Arial" w:cs="Arial"/>
          <w:color w:val="7B7B7B" w:themeColor="accent3" w:themeShade="BF"/>
          <w:sz w:val="22"/>
          <w:szCs w:val="22"/>
        </w:rPr>
        <w:t>a</w:t>
      </w:r>
      <w:proofErr w:type="gramEnd"/>
      <w:r w:rsidRPr="00DF5F4D">
        <w:rPr>
          <w:rFonts w:ascii="Arial" w:hAnsi="Arial" w:cs="Arial"/>
          <w:color w:val="7B7B7B" w:themeColor="accent3" w:themeShade="BF"/>
          <w:sz w:val="22"/>
          <w:szCs w:val="22"/>
        </w:rPr>
        <w:t xml:space="preserve"> IP, Mr. Relation has a duty to transparency and to report the misconduct of the directors as well as circumstances surrounding the class action claims. The fact that he was made privy to this immediately after his appointment, implies that Mr. Relation was not honest and truthful in citing this as a possible implication that the director’s actions materially contributed to the decline of the company’s financial position. Furthermore, Mr. Relation has also breached his fiduciary duty to exercise the powers of the office with independence and impartiality and to act in the best interest of the creditors to whom fiduciary duties are owed. “If an IP has extensive powers and responsibilities, yet lacks integrity, </w:t>
      </w:r>
      <w:proofErr w:type="gramStart"/>
      <w:r w:rsidRPr="00DF5F4D">
        <w:rPr>
          <w:rFonts w:ascii="Arial" w:hAnsi="Arial" w:cs="Arial"/>
          <w:color w:val="7B7B7B" w:themeColor="accent3" w:themeShade="BF"/>
          <w:sz w:val="22"/>
          <w:szCs w:val="22"/>
        </w:rPr>
        <w:t>ethics</w:t>
      </w:r>
      <w:proofErr w:type="gramEnd"/>
      <w:r w:rsidRPr="00DF5F4D">
        <w:rPr>
          <w:rFonts w:ascii="Arial" w:hAnsi="Arial" w:cs="Arial"/>
          <w:color w:val="7B7B7B" w:themeColor="accent3" w:themeShade="BF"/>
          <w:sz w:val="22"/>
          <w:szCs w:val="22"/>
        </w:rPr>
        <w:t xml:space="preserve"> and </w:t>
      </w:r>
      <w:r w:rsidRPr="00DF5F4D">
        <w:rPr>
          <w:rFonts w:ascii="Arial" w:hAnsi="Arial" w:cs="Arial"/>
          <w:color w:val="7B7B7B" w:themeColor="accent3" w:themeShade="BF"/>
          <w:sz w:val="22"/>
          <w:szCs w:val="22"/>
        </w:rPr>
        <w:lastRenderedPageBreak/>
        <w:t>basic morality, it will not be of much benefit to the debtor, its stakeholders or society at large”</w:t>
      </w:r>
      <w:r w:rsidRPr="00DF5F4D">
        <w:rPr>
          <w:rStyle w:val="FootnoteReference"/>
          <w:rFonts w:ascii="Arial" w:hAnsi="Arial" w:cs="Arial"/>
          <w:color w:val="7B7B7B" w:themeColor="accent3" w:themeShade="BF"/>
          <w:sz w:val="22"/>
          <w:szCs w:val="22"/>
        </w:rPr>
        <w:footnoteReference w:id="13"/>
      </w:r>
      <w:r w:rsidRPr="00DF5F4D">
        <w:rPr>
          <w:rFonts w:ascii="Arial" w:hAnsi="Arial" w:cs="Arial"/>
          <w:color w:val="7B7B7B" w:themeColor="accent3" w:themeShade="BF"/>
          <w:sz w:val="22"/>
          <w:szCs w:val="22"/>
        </w:rPr>
        <w:t xml:space="preserve">. </w:t>
      </w:r>
    </w:p>
    <w:p w14:paraId="6DF76B3B" w14:textId="77777777" w:rsidR="00815B90" w:rsidRPr="00DF5F4D" w:rsidRDefault="00815B90" w:rsidP="00815B90">
      <w:pPr>
        <w:rPr>
          <w:rFonts w:ascii="Arial" w:hAnsi="Arial" w:cs="Arial"/>
          <w:b/>
          <w:bCs/>
          <w:color w:val="7B7B7B" w:themeColor="accent3" w:themeShade="BF"/>
          <w:sz w:val="22"/>
          <w:szCs w:val="22"/>
        </w:rPr>
      </w:pPr>
    </w:p>
    <w:p w14:paraId="47D9A315"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 xml:space="preserve">The threats identified in the scenario above: </w:t>
      </w:r>
    </w:p>
    <w:p w14:paraId="035235B9" w14:textId="77777777" w:rsidR="00815B90" w:rsidRPr="00DF5F4D" w:rsidRDefault="00815B90" w:rsidP="00815B90">
      <w:pPr>
        <w:pStyle w:val="ListParagraph"/>
        <w:numPr>
          <w:ilvl w:val="0"/>
          <w:numId w:val="35"/>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Mr. Relation is not demonstrating professional competence and behaviour and due care by making his determination that no investigation is required, having only used a report provided by the director, rather than seeking independent documents to evidence his findings.</w:t>
      </w:r>
    </w:p>
    <w:p w14:paraId="03E3AC90" w14:textId="77777777" w:rsidR="00815B90" w:rsidRPr="00DF5F4D" w:rsidRDefault="00815B90" w:rsidP="00815B90">
      <w:pPr>
        <w:pStyle w:val="ListParagraph"/>
        <w:numPr>
          <w:ilvl w:val="0"/>
          <w:numId w:val="36"/>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Mr. Relation did not divulge relevant information regarding the wrongful trading, performance bonuses and the class action suit that would be damaging in reporting the financial position of the company. Because of Mr. Relation’s close relations with Mr. </w:t>
      </w:r>
      <w:proofErr w:type="spellStart"/>
      <w:r w:rsidRPr="00DF5F4D">
        <w:rPr>
          <w:rFonts w:ascii="Arial" w:hAnsi="Arial" w:cs="Arial"/>
          <w:color w:val="7B7B7B" w:themeColor="accent3" w:themeShade="BF"/>
          <w:sz w:val="22"/>
          <w:szCs w:val="22"/>
        </w:rPr>
        <w:t>Inlaw</w:t>
      </w:r>
      <w:proofErr w:type="spellEnd"/>
      <w:r w:rsidRPr="00DF5F4D">
        <w:rPr>
          <w:rFonts w:ascii="Arial" w:hAnsi="Arial" w:cs="Arial"/>
          <w:color w:val="7B7B7B" w:themeColor="accent3" w:themeShade="BF"/>
          <w:sz w:val="22"/>
          <w:szCs w:val="22"/>
        </w:rPr>
        <w:t xml:space="preserve">, there was a financial interest on both parts to progress a successful restructuring of the company. This raised self-interest and familiarity threats. </w:t>
      </w:r>
    </w:p>
    <w:p w14:paraId="505FC630" w14:textId="77777777" w:rsidR="00815B90" w:rsidRPr="00DF5F4D" w:rsidRDefault="00815B90" w:rsidP="00815B90">
      <w:pPr>
        <w:pStyle w:val="ListParagraph"/>
        <w:numPr>
          <w:ilvl w:val="0"/>
          <w:numId w:val="37"/>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Mr. Relation is not demonstrating integrity by failing to be honest and straightforward with creditors about the company’s financial position.</w:t>
      </w:r>
    </w:p>
    <w:p w14:paraId="054300EA" w14:textId="77777777" w:rsidR="00815B90" w:rsidRPr="00DF5F4D" w:rsidRDefault="00815B90" w:rsidP="00815B90">
      <w:pPr>
        <w:rPr>
          <w:rFonts w:ascii="Arial" w:hAnsi="Arial" w:cs="Arial"/>
          <w:color w:val="7B7B7B" w:themeColor="accent3" w:themeShade="BF"/>
          <w:sz w:val="22"/>
          <w:szCs w:val="22"/>
        </w:rPr>
      </w:pPr>
    </w:p>
    <w:p w14:paraId="7686C142"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Safeguards</w:t>
      </w:r>
    </w:p>
    <w:p w14:paraId="2AB10048" w14:textId="77777777" w:rsidR="00815B90" w:rsidRPr="00DF5F4D" w:rsidRDefault="00815B90" w:rsidP="00815B90">
      <w:pPr>
        <w:pStyle w:val="ListParagraph"/>
        <w:numPr>
          <w:ilvl w:val="0"/>
          <w:numId w:val="38"/>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It would be difficult to remedy this threat.  However, Mr. Relation could maintain detailed records that would enable an informed third party to reach a view of the appropriateness of his actions.</w:t>
      </w:r>
    </w:p>
    <w:p w14:paraId="63649502" w14:textId="77777777" w:rsidR="00815B90" w:rsidRPr="00DF5F4D" w:rsidRDefault="00815B90" w:rsidP="00815B90">
      <w:pPr>
        <w:pStyle w:val="ListParagraph"/>
        <w:numPr>
          <w:ilvl w:val="0"/>
          <w:numId w:val="39"/>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Furthermore, as an IP, Mr. Relation should take immediate steps by implementing risk management systems to identify scenarios that would pose a threat (whether the threat is pre or post appointment). </w:t>
      </w:r>
    </w:p>
    <w:p w14:paraId="24B5592D" w14:textId="77777777" w:rsidR="00815B90" w:rsidRPr="00DF5F4D" w:rsidRDefault="00815B90" w:rsidP="00815B90">
      <w:pPr>
        <w:pStyle w:val="ListParagraph"/>
        <w:numPr>
          <w:ilvl w:val="0"/>
          <w:numId w:val="40"/>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Extensive due diligence on the client prior to engaging their services or accepting the appointment is crucial.</w:t>
      </w:r>
    </w:p>
    <w:p w14:paraId="5C2AD8F4" w14:textId="77777777" w:rsidR="00815B90" w:rsidRPr="00DF5F4D" w:rsidRDefault="00815B90" w:rsidP="00815B90">
      <w:pPr>
        <w:rPr>
          <w:rFonts w:ascii="Arial" w:hAnsi="Arial" w:cs="Arial"/>
          <w:color w:val="7B7B7B" w:themeColor="accent3" w:themeShade="BF"/>
          <w:sz w:val="22"/>
          <w:szCs w:val="22"/>
        </w:rPr>
      </w:pPr>
    </w:p>
    <w:p w14:paraId="72D1FF06" w14:textId="77777777" w:rsidR="00815B90" w:rsidRPr="00DF5F4D" w:rsidRDefault="00815B90" w:rsidP="00815B90">
      <w:pPr>
        <w:rPr>
          <w:rFonts w:ascii="Arial" w:hAnsi="Arial" w:cs="Arial"/>
          <w:b/>
          <w:bCs/>
          <w:color w:val="7B7B7B" w:themeColor="accent3" w:themeShade="BF"/>
          <w:sz w:val="22"/>
          <w:szCs w:val="22"/>
        </w:rPr>
      </w:pPr>
    </w:p>
    <w:p w14:paraId="7064C6DD" w14:textId="77777777" w:rsidR="00815B90" w:rsidRPr="00185C2B" w:rsidRDefault="00815B90" w:rsidP="00815B90">
      <w:pPr>
        <w:rPr>
          <w:rFonts w:ascii="Arial" w:hAnsi="Arial" w:cs="Arial"/>
          <w:b/>
          <w:bCs/>
          <w:color w:val="7B7B7B" w:themeColor="accent3" w:themeShade="BF"/>
          <w:sz w:val="22"/>
          <w:szCs w:val="22"/>
          <w:u w:val="single"/>
        </w:rPr>
      </w:pPr>
      <w:r w:rsidRPr="00185C2B">
        <w:rPr>
          <w:rFonts w:ascii="Arial" w:hAnsi="Arial" w:cs="Arial"/>
          <w:b/>
          <w:bCs/>
          <w:color w:val="7B7B7B" w:themeColor="accent3" w:themeShade="BF"/>
          <w:sz w:val="22"/>
          <w:szCs w:val="22"/>
          <w:u w:val="single"/>
        </w:rPr>
        <w:t>ETHICAL ISSUE #3 – The perception of the television interview</w:t>
      </w:r>
    </w:p>
    <w:p w14:paraId="652DFD33" w14:textId="77777777" w:rsidR="00815B90" w:rsidRPr="00DF5F4D" w:rsidRDefault="00815B90" w:rsidP="00815B90">
      <w:pPr>
        <w:rPr>
          <w:rFonts w:ascii="Arial" w:hAnsi="Arial" w:cs="Arial"/>
          <w:color w:val="7B7B7B" w:themeColor="accent3" w:themeShade="BF"/>
          <w:sz w:val="22"/>
          <w:szCs w:val="22"/>
        </w:rPr>
      </w:pPr>
    </w:p>
    <w:p w14:paraId="3057838A"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Ethical Principle 4 – Professional Behaviour</w:t>
      </w:r>
      <w:r>
        <w:rPr>
          <w:rStyle w:val="FootnoteReference"/>
          <w:rFonts w:ascii="Arial" w:hAnsi="Arial" w:cs="Arial"/>
          <w:b/>
          <w:bCs/>
          <w:color w:val="7B7B7B" w:themeColor="accent3" w:themeShade="BF"/>
          <w:sz w:val="22"/>
          <w:szCs w:val="22"/>
        </w:rPr>
        <w:footnoteReference w:id="14"/>
      </w:r>
    </w:p>
    <w:p w14:paraId="285E2232" w14:textId="77777777" w:rsidR="00815B90" w:rsidRPr="00DF5F4D" w:rsidRDefault="00815B90" w:rsidP="00815B90">
      <w:pPr>
        <w:autoSpaceDE w:val="0"/>
        <w:autoSpaceDN w:val="0"/>
        <w:adjustRightInd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Communication with stakeholders should be used to inform and educate them on the progress of a case. Members should strive to be accurate, honest, clear, </w:t>
      </w:r>
      <w:proofErr w:type="gramStart"/>
      <w:r w:rsidRPr="00DF5F4D">
        <w:rPr>
          <w:rFonts w:ascii="Arial" w:hAnsi="Arial" w:cs="Arial"/>
          <w:color w:val="7B7B7B" w:themeColor="accent3" w:themeShade="BF"/>
          <w:sz w:val="22"/>
          <w:szCs w:val="22"/>
        </w:rPr>
        <w:t>succinct</w:t>
      </w:r>
      <w:proofErr w:type="gramEnd"/>
      <w:r w:rsidRPr="00DF5F4D">
        <w:rPr>
          <w:rFonts w:ascii="Arial" w:hAnsi="Arial" w:cs="Arial"/>
          <w:color w:val="7B7B7B" w:themeColor="accent3" w:themeShade="BF"/>
          <w:sz w:val="22"/>
          <w:szCs w:val="22"/>
        </w:rPr>
        <w:t xml:space="preserve"> and timely.</w:t>
      </w:r>
    </w:p>
    <w:p w14:paraId="3E52A291" w14:textId="77777777" w:rsidR="00815B90" w:rsidRPr="00DF5F4D" w:rsidRDefault="00815B90" w:rsidP="00815B90">
      <w:pPr>
        <w:autoSpaceDE w:val="0"/>
        <w:autoSpaceDN w:val="0"/>
        <w:adjustRightInd w:val="0"/>
        <w:rPr>
          <w:rFonts w:ascii="Arial" w:hAnsi="Arial" w:cs="Arial"/>
          <w:color w:val="7B7B7B" w:themeColor="accent3" w:themeShade="BF"/>
          <w:sz w:val="22"/>
          <w:szCs w:val="22"/>
        </w:rPr>
      </w:pPr>
    </w:p>
    <w:p w14:paraId="03337CAE" w14:textId="77777777" w:rsidR="00815B90" w:rsidRPr="00DF5F4D" w:rsidRDefault="00815B90" w:rsidP="00815B90">
      <w:pPr>
        <w:rPr>
          <w:rFonts w:ascii="Arial" w:hAnsi="Arial" w:cs="Arial"/>
          <w:color w:val="7B7B7B" w:themeColor="accent3" w:themeShade="BF"/>
          <w:sz w:val="22"/>
          <w:szCs w:val="22"/>
        </w:rPr>
      </w:pPr>
      <w:r w:rsidRPr="00DF5F4D">
        <w:rPr>
          <w:rFonts w:ascii="Arial" w:hAnsi="Arial" w:cs="Arial"/>
          <w:b/>
          <w:bCs/>
          <w:color w:val="7B7B7B" w:themeColor="accent3" w:themeShade="BF"/>
          <w:sz w:val="22"/>
          <w:szCs w:val="22"/>
        </w:rPr>
        <w:t>(Secondary Source) ICAEW Ethical Fundamental Principle - Integrity</w:t>
      </w:r>
    </w:p>
    <w:p w14:paraId="6942D72E" w14:textId="77777777" w:rsidR="00815B90" w:rsidRPr="00DF5F4D" w:rsidRDefault="00815B90" w:rsidP="00815B90">
      <w:pPr>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An insolvency practitioner should comply with relevant laws and regulations and should avoid any action that discredits the profession. Insolvency practitioners should conduct themselves with courtesy and consideration towards all with whom they come into contact when performing their work.</w:t>
      </w:r>
    </w:p>
    <w:p w14:paraId="4445F3DA" w14:textId="77777777" w:rsidR="00815B90" w:rsidRPr="00DF5F4D" w:rsidRDefault="00815B90" w:rsidP="00815B90">
      <w:pPr>
        <w:autoSpaceDE w:val="0"/>
        <w:autoSpaceDN w:val="0"/>
        <w:adjustRightInd w:val="0"/>
        <w:rPr>
          <w:rFonts w:ascii="Arial" w:hAnsi="Arial" w:cs="Arial"/>
          <w:color w:val="7B7B7B" w:themeColor="accent3" w:themeShade="BF"/>
          <w:sz w:val="22"/>
          <w:szCs w:val="22"/>
        </w:rPr>
      </w:pPr>
    </w:p>
    <w:p w14:paraId="4AA8D181"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Reasons why this is an ethical issue:</w:t>
      </w:r>
    </w:p>
    <w:p w14:paraId="497A1D80" w14:textId="77777777" w:rsidR="00815B90" w:rsidRPr="00DF5F4D" w:rsidRDefault="00815B90" w:rsidP="00815B90">
      <w:pPr>
        <w:pStyle w:val="ListParagraph"/>
        <w:numPr>
          <w:ilvl w:val="0"/>
          <w:numId w:val="41"/>
        </w:numPr>
        <w:tabs>
          <w:tab w:val="clear" w:pos="340"/>
          <w:tab w:val="left" w:pos="360"/>
        </w:tabs>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Due to Mr. Relation having publicly advocated in </w:t>
      </w:r>
      <w:proofErr w:type="spellStart"/>
      <w:r w:rsidRPr="00DF5F4D">
        <w:rPr>
          <w:rFonts w:ascii="Arial" w:hAnsi="Arial" w:cs="Arial"/>
          <w:color w:val="7B7B7B" w:themeColor="accent3" w:themeShade="BF"/>
          <w:sz w:val="22"/>
          <w:szCs w:val="22"/>
        </w:rPr>
        <w:t>favour</w:t>
      </w:r>
      <w:proofErr w:type="spellEnd"/>
      <w:r w:rsidRPr="00DF5F4D">
        <w:rPr>
          <w:rFonts w:ascii="Arial" w:hAnsi="Arial" w:cs="Arial"/>
          <w:color w:val="7B7B7B" w:themeColor="accent3" w:themeShade="BF"/>
          <w:sz w:val="22"/>
          <w:szCs w:val="22"/>
        </w:rPr>
        <w:t xml:space="preserve"> of small creditors over ‘big business’, he is being perceived as not being impartial in his treatment of creditors. As an IP, Mr. Relation has a duty to treat the claims of all creditors fairly and objectively.</w:t>
      </w:r>
    </w:p>
    <w:p w14:paraId="6CCA96F5" w14:textId="77777777" w:rsidR="00815B90" w:rsidRPr="00DF5F4D" w:rsidRDefault="00815B90" w:rsidP="00815B90">
      <w:pPr>
        <w:pStyle w:val="ListParagraph"/>
        <w:numPr>
          <w:ilvl w:val="0"/>
          <w:numId w:val="41"/>
        </w:numPr>
        <w:tabs>
          <w:tab w:val="clear" w:pos="340"/>
          <w:tab w:val="left" w:pos="360"/>
        </w:tabs>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The nature of the discussions on the television interview with Mr. Relation could also be ‘seen and perceived’ to be independent and impartial in the context of the restructuring and liquidation proceedings.</w:t>
      </w:r>
    </w:p>
    <w:p w14:paraId="330E1E94" w14:textId="77777777" w:rsidR="00815B90" w:rsidRPr="00DF5F4D" w:rsidRDefault="00815B90" w:rsidP="00815B90">
      <w:pPr>
        <w:pStyle w:val="ListParagraph"/>
        <w:numPr>
          <w:ilvl w:val="0"/>
          <w:numId w:val="42"/>
        </w:numPr>
        <w:tabs>
          <w:tab w:val="clear" w:pos="340"/>
          <w:tab w:val="left" w:pos="360"/>
        </w:tabs>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It is possible that </w:t>
      </w:r>
      <w:proofErr w:type="gramStart"/>
      <w:r w:rsidRPr="00DF5F4D">
        <w:rPr>
          <w:rFonts w:ascii="Arial" w:hAnsi="Arial" w:cs="Arial"/>
          <w:color w:val="7B7B7B" w:themeColor="accent3" w:themeShade="BF"/>
          <w:sz w:val="22"/>
          <w:szCs w:val="22"/>
        </w:rPr>
        <w:t>as a result of</w:t>
      </w:r>
      <w:proofErr w:type="gramEnd"/>
      <w:r w:rsidRPr="00DF5F4D">
        <w:rPr>
          <w:rFonts w:ascii="Arial" w:hAnsi="Arial" w:cs="Arial"/>
          <w:color w:val="7B7B7B" w:themeColor="accent3" w:themeShade="BF"/>
          <w:sz w:val="22"/>
          <w:szCs w:val="22"/>
        </w:rPr>
        <w:t xml:space="preserve"> this interview, the ‘trust and reliance’ of the IP to act in the best interest of ABC bank is not plausible. The lawyer for ABC Bank has already expressed her discomfort regarding Mr. Relation’s position regarding financial institutions and it is likely that the bank could become uncooperative, reject to the plan for recovery and repossess its secured asset. </w:t>
      </w:r>
    </w:p>
    <w:p w14:paraId="3FB7EB0F" w14:textId="77777777" w:rsidR="00815B90" w:rsidRPr="00DF5F4D" w:rsidRDefault="00815B90" w:rsidP="00815B90">
      <w:pPr>
        <w:rPr>
          <w:rFonts w:ascii="Arial" w:hAnsi="Arial" w:cs="Arial"/>
          <w:color w:val="7B7B7B" w:themeColor="accent3" w:themeShade="BF"/>
          <w:sz w:val="22"/>
          <w:szCs w:val="22"/>
        </w:rPr>
      </w:pPr>
    </w:p>
    <w:p w14:paraId="0DC16962"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The threat identified in the scenario above</w:t>
      </w:r>
    </w:p>
    <w:p w14:paraId="4FF47A4A" w14:textId="77777777" w:rsidR="00815B90" w:rsidRPr="00DF5F4D" w:rsidRDefault="00815B90" w:rsidP="00815B90">
      <w:pPr>
        <w:pStyle w:val="ListParagraph"/>
        <w:numPr>
          <w:ilvl w:val="0"/>
          <w:numId w:val="43"/>
        </w:numPr>
        <w:contextualSpacing w:val="0"/>
        <w:jc w:val="both"/>
        <w:rPr>
          <w:rFonts w:ascii="Arial" w:hAnsi="Arial" w:cs="Arial"/>
          <w:color w:val="7B7B7B" w:themeColor="accent3" w:themeShade="BF"/>
          <w:sz w:val="22"/>
          <w:szCs w:val="22"/>
        </w:rPr>
      </w:pPr>
      <w:r w:rsidRPr="00DF5F4D">
        <w:rPr>
          <w:rFonts w:ascii="Arial" w:hAnsi="Arial" w:cs="Arial"/>
          <w:color w:val="7B7B7B" w:themeColor="accent3" w:themeShade="BF"/>
          <w:sz w:val="22"/>
          <w:szCs w:val="22"/>
        </w:rPr>
        <w:t xml:space="preserve">Advocacy threat: Mr. Relation’s comments on the television interview promoted an opinion that suggest he may not be capable of acting objectively when considering the position of all creditors. The comments could be perceived as a direct threat to the interest of the bank and other creditors involved in the insolvency proceedings of the company. </w:t>
      </w:r>
    </w:p>
    <w:p w14:paraId="710450BB" w14:textId="77777777" w:rsidR="00815B90" w:rsidRPr="00DF5F4D" w:rsidRDefault="00815B90" w:rsidP="00815B90">
      <w:pPr>
        <w:rPr>
          <w:rFonts w:ascii="Arial" w:hAnsi="Arial" w:cs="Arial"/>
          <w:color w:val="7B7B7B" w:themeColor="accent3" w:themeShade="BF"/>
          <w:sz w:val="22"/>
          <w:szCs w:val="22"/>
        </w:rPr>
      </w:pPr>
    </w:p>
    <w:p w14:paraId="4D9A0CB2" w14:textId="77777777" w:rsidR="00815B90" w:rsidRPr="00DF5F4D" w:rsidRDefault="00815B90" w:rsidP="00815B90">
      <w:pPr>
        <w:rPr>
          <w:rFonts w:ascii="Arial" w:hAnsi="Arial" w:cs="Arial"/>
          <w:b/>
          <w:bCs/>
          <w:color w:val="7B7B7B" w:themeColor="accent3" w:themeShade="BF"/>
          <w:sz w:val="22"/>
          <w:szCs w:val="22"/>
        </w:rPr>
      </w:pPr>
      <w:r w:rsidRPr="00DF5F4D">
        <w:rPr>
          <w:rFonts w:ascii="Arial" w:hAnsi="Arial" w:cs="Arial"/>
          <w:b/>
          <w:bCs/>
          <w:color w:val="7B7B7B" w:themeColor="accent3" w:themeShade="BF"/>
          <w:sz w:val="22"/>
          <w:szCs w:val="22"/>
        </w:rPr>
        <w:t>Safeguards</w:t>
      </w:r>
    </w:p>
    <w:p w14:paraId="626FA5C6" w14:textId="29E5DEC2" w:rsidR="002D3473" w:rsidRPr="002A37BB" w:rsidRDefault="00815B90" w:rsidP="00815B90">
      <w:pPr>
        <w:autoSpaceDE w:val="0"/>
        <w:autoSpaceDN w:val="0"/>
        <w:adjustRightInd w:val="0"/>
        <w:jc w:val="both"/>
        <w:rPr>
          <w:rFonts w:ascii="Arial" w:hAnsi="Arial" w:cs="Arial"/>
          <w:sz w:val="22"/>
          <w:szCs w:val="22"/>
          <w:lang w:val="en-GB"/>
        </w:rPr>
      </w:pPr>
      <w:r w:rsidRPr="00DF5F4D">
        <w:rPr>
          <w:rFonts w:ascii="Arial" w:hAnsi="Arial" w:cs="Arial"/>
          <w:color w:val="7B7B7B" w:themeColor="accent3" w:themeShade="BF"/>
          <w:sz w:val="22"/>
          <w:szCs w:val="22"/>
        </w:rPr>
        <w:t>IP’s should use the media as a vehicle to educate and inform stakeholders of their performance and duties in the insolvency procedure, rather than ‘sow’ seeds of controversy that could be damaging to the procedure.</w:t>
      </w:r>
      <w:r w:rsidR="002D3473" w:rsidRPr="002A37BB">
        <w:rPr>
          <w:rFonts w:ascii="Arial" w:hAnsi="Arial" w:cs="Arial"/>
          <w:color w:val="7B7B7B" w:themeColor="accent3" w:themeShade="BF"/>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3A8C" w14:textId="77777777" w:rsidR="008B261C" w:rsidRDefault="008B261C" w:rsidP="00241B44">
      <w:r>
        <w:separator/>
      </w:r>
    </w:p>
  </w:endnote>
  <w:endnote w:type="continuationSeparator" w:id="0">
    <w:p w14:paraId="1A1EF56F" w14:textId="77777777" w:rsidR="008B261C" w:rsidRDefault="008B26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17663C9B" w:rsidR="00241FA3" w:rsidRPr="009B4976" w:rsidRDefault="000B40A5" w:rsidP="009B4976">
    <w:pPr>
      <w:pStyle w:val="Footer"/>
      <w:ind w:right="360"/>
      <w:rPr>
        <w:rFonts w:ascii="Arial" w:hAnsi="Arial" w:cs="Arial"/>
        <w:sz w:val="18"/>
        <w:szCs w:val="18"/>
        <w:lang w:val="en-GB"/>
      </w:rPr>
    </w:pPr>
    <w:r w:rsidRPr="00E93904">
      <w:rPr>
        <w:rFonts w:ascii="Arial" w:hAnsi="Arial" w:cs="Arial"/>
        <w:sz w:val="18"/>
        <w:szCs w:val="18"/>
        <w:lang w:val="en-GB"/>
      </w:rPr>
      <w:t>202021IFU-304</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288C" w14:textId="77777777" w:rsidR="008B261C" w:rsidRDefault="008B261C" w:rsidP="00241B44">
      <w:r>
        <w:separator/>
      </w:r>
    </w:p>
  </w:footnote>
  <w:footnote w:type="continuationSeparator" w:id="0">
    <w:p w14:paraId="3A062A91" w14:textId="77777777" w:rsidR="008B261C" w:rsidRDefault="008B261C" w:rsidP="00241B44">
      <w:r>
        <w:continuationSeparator/>
      </w:r>
    </w:p>
  </w:footnote>
  <w:footnote w:id="1">
    <w:p w14:paraId="6C48E2BF" w14:textId="77777777" w:rsidR="000B40A5" w:rsidRDefault="000B40A5" w:rsidP="000B40A5">
      <w:pPr>
        <w:pStyle w:val="FootnoteText"/>
      </w:pPr>
      <w:r>
        <w:rPr>
          <w:rStyle w:val="FootnoteReference"/>
        </w:rPr>
        <w:footnoteRef/>
      </w:r>
      <w:r>
        <w:t xml:space="preserve"> Throughout this assessment, this abbreviation will be used with reference to an Insolvency Practitioner.</w:t>
      </w:r>
    </w:p>
  </w:footnote>
  <w:footnote w:id="2">
    <w:p w14:paraId="432FA5CF" w14:textId="77777777" w:rsidR="000B40A5" w:rsidRDefault="000B40A5" w:rsidP="000B40A5">
      <w:pPr>
        <w:pStyle w:val="FootnoteText"/>
      </w:pPr>
      <w:r>
        <w:rPr>
          <w:rStyle w:val="FootnoteReference"/>
        </w:rPr>
        <w:footnoteRef/>
      </w:r>
      <w:r>
        <w:t xml:space="preserve"> Jacobs, Dr. </w:t>
      </w:r>
      <w:proofErr w:type="spellStart"/>
      <w:r>
        <w:t>Lèzelle</w:t>
      </w:r>
      <w:proofErr w:type="spellEnd"/>
      <w:r>
        <w:t>, INSOL International Module 9 Guidance Text, Ethics and Professional Practice (2020/2021), p.5. Hereinafter, this text will be referred to as “the Guidance Text”).</w:t>
      </w:r>
    </w:p>
  </w:footnote>
  <w:footnote w:id="3">
    <w:p w14:paraId="194887E1" w14:textId="77777777" w:rsidR="00976646" w:rsidRDefault="00976646" w:rsidP="00976646">
      <w:pPr>
        <w:pStyle w:val="FootnoteText"/>
      </w:pPr>
      <w:r>
        <w:rPr>
          <w:rStyle w:val="FootnoteReference"/>
        </w:rPr>
        <w:footnoteRef/>
      </w:r>
      <w:r>
        <w:t xml:space="preserve"> Idem, section 5.6.1.3 (Time-based fees), p.31. </w:t>
      </w:r>
    </w:p>
  </w:footnote>
  <w:footnote w:id="4">
    <w:p w14:paraId="2AF8E12C" w14:textId="77777777" w:rsidR="002E2209" w:rsidRDefault="002E2209" w:rsidP="002E2209">
      <w:pPr>
        <w:pStyle w:val="FootnoteText"/>
      </w:pPr>
      <w:r>
        <w:rPr>
          <w:rStyle w:val="FootnoteReference"/>
        </w:rPr>
        <w:footnoteRef/>
      </w:r>
      <w:r>
        <w:t xml:space="preserve"> Refers to the role of an insolvency practitioner in a corporate setting.</w:t>
      </w:r>
    </w:p>
  </w:footnote>
  <w:footnote w:id="5">
    <w:p w14:paraId="28E32D54" w14:textId="77777777" w:rsidR="002E2209" w:rsidRDefault="002E2209" w:rsidP="002E2209">
      <w:pPr>
        <w:pStyle w:val="FootnoteText"/>
      </w:pPr>
      <w:r>
        <w:rPr>
          <w:rStyle w:val="FootnoteReference"/>
        </w:rPr>
        <w:footnoteRef/>
      </w:r>
      <w:r>
        <w:t xml:space="preserve"> The Guidance Text, section 5.3.4 (Secret monies and personal transactions with the company), p.19</w:t>
      </w:r>
    </w:p>
  </w:footnote>
  <w:footnote w:id="6">
    <w:p w14:paraId="125B9692" w14:textId="77777777" w:rsidR="00815B90" w:rsidRDefault="00815B90" w:rsidP="00815B90">
      <w:pPr>
        <w:pStyle w:val="FootnoteText"/>
      </w:pPr>
      <w:r>
        <w:rPr>
          <w:rStyle w:val="FootnoteReference"/>
        </w:rPr>
        <w:footnoteRef/>
      </w:r>
      <w:r>
        <w:rPr>
          <w:rStyle w:val="FootnoteReference"/>
        </w:rPr>
        <w:footnoteRef/>
      </w:r>
      <w:r>
        <w:rPr>
          <w:rStyle w:val="FootnoteReference"/>
        </w:rPr>
        <w:footnoteRef/>
      </w:r>
      <w:r>
        <w:t xml:space="preserve"> ICAEW Insolvency Code of Ethics, (Specialist Advice and Service), 2320.6 A6(b), p.33.</w:t>
      </w:r>
    </w:p>
  </w:footnote>
  <w:footnote w:id="7">
    <w:p w14:paraId="5EAC0C85" w14:textId="77777777" w:rsidR="00815B90" w:rsidRDefault="00815B90" w:rsidP="00815B90">
      <w:pPr>
        <w:pStyle w:val="FootnoteText"/>
      </w:pPr>
      <w:r>
        <w:rPr>
          <w:rStyle w:val="FootnoteReference"/>
        </w:rPr>
        <w:footnoteRef/>
      </w:r>
      <w:r>
        <w:t xml:space="preserve"> Idem, section 5.6.2.4 (Legal professionals), p.37.</w:t>
      </w:r>
    </w:p>
  </w:footnote>
  <w:footnote w:id="8">
    <w:p w14:paraId="729F8700" w14:textId="77777777" w:rsidR="00815B90" w:rsidRDefault="00815B90" w:rsidP="00815B90">
      <w:pPr>
        <w:pStyle w:val="FootnoteText"/>
      </w:pPr>
      <w:r>
        <w:rPr>
          <w:rStyle w:val="FootnoteReference"/>
        </w:rPr>
        <w:footnoteRef/>
      </w:r>
      <w:r>
        <w:t xml:space="preserve"> INSOL International Ethical Principles for Insolvency Professionals, October 2018</w:t>
      </w:r>
    </w:p>
  </w:footnote>
  <w:footnote w:id="9">
    <w:p w14:paraId="6D0AF2A0" w14:textId="77777777" w:rsidR="00815B90" w:rsidRDefault="00815B90" w:rsidP="00815B90">
      <w:pPr>
        <w:pStyle w:val="FootnoteText"/>
      </w:pPr>
      <w:r>
        <w:rPr>
          <w:rStyle w:val="FootnoteReference"/>
        </w:rPr>
        <w:footnoteRef/>
      </w:r>
      <w:r>
        <w:t xml:space="preserve"> The Guidance Text, Section 5.3 (Objectivity, </w:t>
      </w:r>
      <w:proofErr w:type="gramStart"/>
      <w:r>
        <w:t>independence</w:t>
      </w:r>
      <w:proofErr w:type="gramEnd"/>
      <w:r>
        <w:t xml:space="preserve"> and impartiality), p.14.</w:t>
      </w:r>
    </w:p>
  </w:footnote>
  <w:footnote w:id="10">
    <w:p w14:paraId="580AC60E" w14:textId="77777777" w:rsidR="00815B90" w:rsidRDefault="00815B90" w:rsidP="00815B90">
      <w:pPr>
        <w:pStyle w:val="FootnoteText"/>
      </w:pPr>
      <w:r>
        <w:rPr>
          <w:rStyle w:val="FootnoteReference"/>
        </w:rPr>
        <w:footnoteRef/>
      </w:r>
      <w:r>
        <w:t xml:space="preserve"> Idem, section 5.3.2 (Appointment), p.18.</w:t>
      </w:r>
    </w:p>
  </w:footnote>
  <w:footnote w:id="11">
    <w:p w14:paraId="305CF083" w14:textId="77777777" w:rsidR="00815B90" w:rsidRDefault="00815B90" w:rsidP="00815B90">
      <w:pPr>
        <w:pStyle w:val="FootnoteText"/>
      </w:pPr>
      <w:r>
        <w:rPr>
          <w:rStyle w:val="FootnoteReference"/>
        </w:rPr>
        <w:footnoteRef/>
      </w:r>
      <w:r>
        <w:t xml:space="preserve"> The Guidance Text, Section 5.2 (Integrity), p.12</w:t>
      </w:r>
    </w:p>
  </w:footnote>
  <w:footnote w:id="12">
    <w:p w14:paraId="78839ADE" w14:textId="77777777" w:rsidR="00815B90" w:rsidRDefault="00815B90" w:rsidP="00815B90">
      <w:pPr>
        <w:pStyle w:val="FootnoteText"/>
      </w:pPr>
      <w:r>
        <w:rPr>
          <w:rStyle w:val="FootnoteReference"/>
        </w:rPr>
        <w:footnoteRef/>
      </w:r>
      <w:r>
        <w:t xml:space="preserve"> Idem, re footnote 8</w:t>
      </w:r>
    </w:p>
  </w:footnote>
  <w:footnote w:id="13">
    <w:p w14:paraId="6BD92936" w14:textId="77777777" w:rsidR="00815B90" w:rsidRDefault="00815B90" w:rsidP="00815B90">
      <w:pPr>
        <w:jc w:val="both"/>
      </w:pPr>
      <w:r>
        <w:rPr>
          <w:rStyle w:val="FootnoteReference"/>
        </w:rPr>
        <w:footnoteRef/>
      </w:r>
      <w:r>
        <w:t xml:space="preserve"> Idem, The Guidance Text, section 3.2 (the nature of an insolvency appointment) p.3</w:t>
      </w:r>
    </w:p>
  </w:footnote>
  <w:footnote w:id="14">
    <w:p w14:paraId="050EF27C" w14:textId="77777777" w:rsidR="00815B90" w:rsidRDefault="00815B90" w:rsidP="00815B90">
      <w:pPr>
        <w:pStyle w:val="FootnoteText"/>
      </w:pPr>
      <w:r>
        <w:rPr>
          <w:rStyle w:val="FootnoteReference"/>
        </w:rPr>
        <w:footnoteRef/>
      </w:r>
      <w:r>
        <w:t xml:space="preserve"> Idem, Section 5.5 (Professional Behaviour), p.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1398"/>
    <w:multiLevelType w:val="hybridMultilevel"/>
    <w:tmpl w:val="0B18FDC2"/>
    <w:lvl w:ilvl="0" w:tplc="C08C7290">
      <w:start w:val="1"/>
      <w:numFmt w:val="bullet"/>
      <w:lvlText w:val=""/>
      <w:lvlJc w:val="left"/>
      <w:pPr>
        <w:ind w:left="720" w:hanging="360"/>
      </w:pPr>
      <w:rPr>
        <w:rFonts w:ascii="Wingdings" w:hAnsi="Wingdings"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F0E32"/>
    <w:multiLevelType w:val="singleLevel"/>
    <w:tmpl w:val="2B2696F4"/>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5" w15:restartNumberingAfterBreak="0">
    <w:nsid w:val="07F56109"/>
    <w:multiLevelType w:val="singleLevel"/>
    <w:tmpl w:val="7A36CA18"/>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6" w15:restartNumberingAfterBreak="0">
    <w:nsid w:val="095F37C8"/>
    <w:multiLevelType w:val="singleLevel"/>
    <w:tmpl w:val="6F720228"/>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7"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068F1"/>
    <w:multiLevelType w:val="singleLevel"/>
    <w:tmpl w:val="0158CC90"/>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9" w15:restartNumberingAfterBreak="0">
    <w:nsid w:val="1001193E"/>
    <w:multiLevelType w:val="singleLevel"/>
    <w:tmpl w:val="F4E6C356"/>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10" w15:restartNumberingAfterBreak="0">
    <w:nsid w:val="23BE7AD2"/>
    <w:multiLevelType w:val="hybridMultilevel"/>
    <w:tmpl w:val="AD2873E4"/>
    <w:lvl w:ilvl="0" w:tplc="6A4C772A">
      <w:start w:val="1"/>
      <w:numFmt w:val="decimal"/>
      <w:lvlText w:val="%1."/>
      <w:lvlJc w:val="left"/>
      <w:pPr>
        <w:ind w:left="720" w:hanging="360"/>
      </w:pPr>
      <w:rPr>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63868"/>
    <w:multiLevelType w:val="singleLevel"/>
    <w:tmpl w:val="C14E7FE6"/>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14" w15:restartNumberingAfterBreak="0">
    <w:nsid w:val="2FFA58EB"/>
    <w:multiLevelType w:val="singleLevel"/>
    <w:tmpl w:val="0ADAA108"/>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15"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A677F"/>
    <w:multiLevelType w:val="singleLevel"/>
    <w:tmpl w:val="D5BE6C6E"/>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1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54329"/>
    <w:multiLevelType w:val="singleLevel"/>
    <w:tmpl w:val="D2140490"/>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21" w15:restartNumberingAfterBreak="0">
    <w:nsid w:val="50FA6038"/>
    <w:multiLevelType w:val="hybridMultilevel"/>
    <w:tmpl w:val="DD30FCA0"/>
    <w:lvl w:ilvl="0" w:tplc="11A65486">
      <w:start w:val="1"/>
      <w:numFmt w:val="decimal"/>
      <w:lvlText w:val="%1."/>
      <w:lvlJc w:val="left"/>
      <w:pPr>
        <w:ind w:left="720" w:hanging="360"/>
      </w:pPr>
      <w:rPr>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6181C"/>
    <w:multiLevelType w:val="singleLevel"/>
    <w:tmpl w:val="F50EB3C8"/>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27" w15:restartNumberingAfterBreak="0">
    <w:nsid w:val="5F9B19F6"/>
    <w:multiLevelType w:val="singleLevel"/>
    <w:tmpl w:val="B6FA02E6"/>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28" w15:restartNumberingAfterBreak="0">
    <w:nsid w:val="62EF3B85"/>
    <w:multiLevelType w:val="singleLevel"/>
    <w:tmpl w:val="33EAFB3E"/>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29" w15:restartNumberingAfterBreak="0">
    <w:nsid w:val="68AF50F1"/>
    <w:multiLevelType w:val="singleLevel"/>
    <w:tmpl w:val="06F0933A"/>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30"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F78D8"/>
    <w:multiLevelType w:val="hybridMultilevel"/>
    <w:tmpl w:val="CFFA26B6"/>
    <w:lvl w:ilvl="0" w:tplc="597C3EE6">
      <w:start w:val="1"/>
      <w:numFmt w:val="bullet"/>
      <w:lvlText w:val=""/>
      <w:lvlJc w:val="left"/>
      <w:pPr>
        <w:ind w:left="720" w:hanging="360"/>
      </w:pPr>
      <w:rPr>
        <w:rFonts w:ascii="Wingdings" w:hAnsi="Wingdings"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D2B4C"/>
    <w:multiLevelType w:val="singleLevel"/>
    <w:tmpl w:val="624EE0EC"/>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36" w15:restartNumberingAfterBreak="0">
    <w:nsid w:val="7A780FFD"/>
    <w:multiLevelType w:val="singleLevel"/>
    <w:tmpl w:val="5568DAA6"/>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37" w15:restartNumberingAfterBreak="0">
    <w:nsid w:val="7AEA2834"/>
    <w:multiLevelType w:val="singleLevel"/>
    <w:tmpl w:val="3CA86046"/>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3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93511"/>
    <w:multiLevelType w:val="singleLevel"/>
    <w:tmpl w:val="AD008CF8"/>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40" w15:restartNumberingAfterBreak="0">
    <w:nsid w:val="7E781203"/>
    <w:multiLevelType w:val="singleLevel"/>
    <w:tmpl w:val="9F7AA174"/>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abstractNum w:abstractNumId="4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678FA"/>
    <w:multiLevelType w:val="singleLevel"/>
    <w:tmpl w:val="87428A3C"/>
    <w:lvl w:ilvl="0">
      <w:start w:val="1"/>
      <w:numFmt w:val="bullet"/>
      <w:lvlText w:val="—"/>
      <w:lvlJc w:val="left"/>
      <w:pPr>
        <w:tabs>
          <w:tab w:val="num" w:pos="340"/>
        </w:tabs>
        <w:ind w:left="340" w:hanging="340"/>
      </w:pPr>
      <w:rPr>
        <w:rFonts w:ascii="Arial" w:hAnsi="Arial" w:cs="Arial" w:hint="default"/>
        <w:color w:val="7B7B7B" w:themeColor="accent3" w:themeShade="BF"/>
        <w:sz w:val="24"/>
      </w:rPr>
    </w:lvl>
  </w:abstractNum>
  <w:num w:numId="1">
    <w:abstractNumId w:val="16"/>
  </w:num>
  <w:num w:numId="2">
    <w:abstractNumId w:val="11"/>
  </w:num>
  <w:num w:numId="3">
    <w:abstractNumId w:val="22"/>
  </w:num>
  <w:num w:numId="4">
    <w:abstractNumId w:val="19"/>
  </w:num>
  <w:num w:numId="5">
    <w:abstractNumId w:val="34"/>
  </w:num>
  <w:num w:numId="6">
    <w:abstractNumId w:val="38"/>
  </w:num>
  <w:num w:numId="7">
    <w:abstractNumId w:val="41"/>
  </w:num>
  <w:num w:numId="8">
    <w:abstractNumId w:val="31"/>
  </w:num>
  <w:num w:numId="9">
    <w:abstractNumId w:val="23"/>
  </w:num>
  <w:num w:numId="10">
    <w:abstractNumId w:val="7"/>
  </w:num>
  <w:num w:numId="11">
    <w:abstractNumId w:val="15"/>
  </w:num>
  <w:num w:numId="12">
    <w:abstractNumId w:val="12"/>
  </w:num>
  <w:num w:numId="13">
    <w:abstractNumId w:val="30"/>
  </w:num>
  <w:num w:numId="14">
    <w:abstractNumId w:val="3"/>
  </w:num>
  <w:num w:numId="15">
    <w:abstractNumId w:val="17"/>
  </w:num>
  <w:num w:numId="16">
    <w:abstractNumId w:val="25"/>
  </w:num>
  <w:num w:numId="17">
    <w:abstractNumId w:val="0"/>
  </w:num>
  <w:num w:numId="18">
    <w:abstractNumId w:val="32"/>
  </w:num>
  <w:num w:numId="19">
    <w:abstractNumId w:val="24"/>
  </w:num>
  <w:num w:numId="20">
    <w:abstractNumId w:val="2"/>
  </w:num>
  <w:num w:numId="21">
    <w:abstractNumId w:val="10"/>
  </w:num>
  <w:num w:numId="22">
    <w:abstractNumId w:val="33"/>
  </w:num>
  <w:num w:numId="23">
    <w:abstractNumId w:val="1"/>
  </w:num>
  <w:num w:numId="24">
    <w:abstractNumId w:val="21"/>
  </w:num>
  <w:num w:numId="25">
    <w:abstractNumId w:val="18"/>
  </w:num>
  <w:num w:numId="26">
    <w:abstractNumId w:val="29"/>
  </w:num>
  <w:num w:numId="27">
    <w:abstractNumId w:val="14"/>
  </w:num>
  <w:num w:numId="28">
    <w:abstractNumId w:val="37"/>
  </w:num>
  <w:num w:numId="29">
    <w:abstractNumId w:val="6"/>
  </w:num>
  <w:num w:numId="30">
    <w:abstractNumId w:val="4"/>
  </w:num>
  <w:num w:numId="31">
    <w:abstractNumId w:val="13"/>
  </w:num>
  <w:num w:numId="32">
    <w:abstractNumId w:val="42"/>
  </w:num>
  <w:num w:numId="33">
    <w:abstractNumId w:val="26"/>
  </w:num>
  <w:num w:numId="34">
    <w:abstractNumId w:val="5"/>
  </w:num>
  <w:num w:numId="35">
    <w:abstractNumId w:val="39"/>
  </w:num>
  <w:num w:numId="36">
    <w:abstractNumId w:val="9"/>
  </w:num>
  <w:num w:numId="37">
    <w:abstractNumId w:val="20"/>
  </w:num>
  <w:num w:numId="38">
    <w:abstractNumId w:val="36"/>
  </w:num>
  <w:num w:numId="39">
    <w:abstractNumId w:val="35"/>
  </w:num>
  <w:num w:numId="40">
    <w:abstractNumId w:val="28"/>
  </w:num>
  <w:num w:numId="41">
    <w:abstractNumId w:val="40"/>
  </w:num>
  <w:num w:numId="42">
    <w:abstractNumId w:val="8"/>
  </w:num>
  <w:num w:numId="4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D4A"/>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40A5"/>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85C2B"/>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209"/>
    <w:rsid w:val="002E2B14"/>
    <w:rsid w:val="002F1956"/>
    <w:rsid w:val="002F3440"/>
    <w:rsid w:val="002F75A3"/>
    <w:rsid w:val="00303C2F"/>
    <w:rsid w:val="003144EF"/>
    <w:rsid w:val="00314C5B"/>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3FA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15B90"/>
    <w:rsid w:val="0082483F"/>
    <w:rsid w:val="008279C0"/>
    <w:rsid w:val="00841D99"/>
    <w:rsid w:val="00867701"/>
    <w:rsid w:val="008723F3"/>
    <w:rsid w:val="00876F56"/>
    <w:rsid w:val="00881DE6"/>
    <w:rsid w:val="008837A6"/>
    <w:rsid w:val="0089145D"/>
    <w:rsid w:val="00896196"/>
    <w:rsid w:val="008A4DF2"/>
    <w:rsid w:val="008A6CFE"/>
    <w:rsid w:val="008B261C"/>
    <w:rsid w:val="008B5333"/>
    <w:rsid w:val="008B6223"/>
    <w:rsid w:val="008C4CD6"/>
    <w:rsid w:val="008C66E0"/>
    <w:rsid w:val="008E3339"/>
    <w:rsid w:val="008F20FC"/>
    <w:rsid w:val="008F5FFE"/>
    <w:rsid w:val="00900DD3"/>
    <w:rsid w:val="00905A43"/>
    <w:rsid w:val="00912C79"/>
    <w:rsid w:val="00920BED"/>
    <w:rsid w:val="00921B8C"/>
    <w:rsid w:val="00942123"/>
    <w:rsid w:val="0095207B"/>
    <w:rsid w:val="00962045"/>
    <w:rsid w:val="00976646"/>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AF24D4"/>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3EFD"/>
    <w:rsid w:val="00D84752"/>
    <w:rsid w:val="00D86B3B"/>
    <w:rsid w:val="00D8748A"/>
    <w:rsid w:val="00D93196"/>
    <w:rsid w:val="00DA0DC0"/>
    <w:rsid w:val="00DA77D6"/>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Adderley-Depass, Shannelle</cp:lastModifiedBy>
  <cp:revision>9</cp:revision>
  <cp:lastPrinted>2019-08-27T05:42:00Z</cp:lastPrinted>
  <dcterms:created xsi:type="dcterms:W3CDTF">2021-07-30T02:57:00Z</dcterms:created>
  <dcterms:modified xsi:type="dcterms:W3CDTF">2021-07-30T03:08:00Z</dcterms:modified>
</cp:coreProperties>
</file>