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4A53E8" w:rsidRDefault="002460B1" w:rsidP="00841D99">
      <w:pPr>
        <w:pStyle w:val="ListParagraph"/>
        <w:numPr>
          <w:ilvl w:val="0"/>
          <w:numId w:val="10"/>
        </w:numPr>
        <w:ind w:left="426"/>
        <w:jc w:val="both"/>
        <w:rPr>
          <w:rFonts w:ascii="Arial" w:hAnsi="Arial" w:cs="Arial"/>
          <w:sz w:val="22"/>
          <w:szCs w:val="22"/>
          <w:highlight w:val="yellow"/>
        </w:rPr>
      </w:pPr>
      <w:r w:rsidRPr="004A53E8">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4A53E8" w:rsidRDefault="00A37300" w:rsidP="00BA7E39">
      <w:pPr>
        <w:pStyle w:val="ListParagraph"/>
        <w:numPr>
          <w:ilvl w:val="0"/>
          <w:numId w:val="11"/>
        </w:numPr>
        <w:ind w:left="426"/>
        <w:jc w:val="both"/>
        <w:rPr>
          <w:rFonts w:ascii="Arial" w:hAnsi="Arial" w:cs="Arial"/>
          <w:sz w:val="22"/>
          <w:szCs w:val="22"/>
          <w:highlight w:val="yellow"/>
        </w:rPr>
      </w:pPr>
      <w:r w:rsidRPr="004A53E8">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Pr="00D25CBC" w:rsidRDefault="003A29B7" w:rsidP="00403FEE">
      <w:pPr>
        <w:pStyle w:val="ListParagraph"/>
        <w:numPr>
          <w:ilvl w:val="0"/>
          <w:numId w:val="12"/>
        </w:numPr>
        <w:ind w:left="426"/>
        <w:jc w:val="both"/>
        <w:rPr>
          <w:rFonts w:ascii="Arial" w:hAnsi="Arial" w:cs="Arial"/>
          <w:sz w:val="22"/>
          <w:szCs w:val="22"/>
          <w:highlight w:val="yellow"/>
        </w:rPr>
      </w:pPr>
      <w:r w:rsidRPr="00D25CBC">
        <w:rPr>
          <w:rFonts w:ascii="Arial" w:hAnsi="Arial" w:cs="Arial"/>
          <w:sz w:val="22"/>
          <w:szCs w:val="22"/>
          <w:highlight w:val="yellow"/>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D25CBC" w:rsidRDefault="00076A9F" w:rsidP="00403FEE">
      <w:pPr>
        <w:pStyle w:val="ListParagraph"/>
        <w:numPr>
          <w:ilvl w:val="0"/>
          <w:numId w:val="13"/>
        </w:numPr>
        <w:ind w:left="426"/>
        <w:jc w:val="both"/>
        <w:rPr>
          <w:rFonts w:ascii="Arial" w:hAnsi="Arial" w:cs="Arial"/>
          <w:sz w:val="22"/>
          <w:szCs w:val="22"/>
          <w:highlight w:val="yellow"/>
        </w:rPr>
      </w:pPr>
      <w:r w:rsidRPr="00D25CBC">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Pr="00D25CBC" w:rsidRDefault="00F01639" w:rsidP="00F01639">
      <w:pPr>
        <w:pStyle w:val="ListParagraph"/>
        <w:numPr>
          <w:ilvl w:val="0"/>
          <w:numId w:val="14"/>
        </w:numPr>
        <w:ind w:left="426"/>
        <w:jc w:val="both"/>
        <w:rPr>
          <w:rFonts w:ascii="Arial" w:hAnsi="Arial" w:cs="Arial"/>
          <w:sz w:val="22"/>
          <w:szCs w:val="22"/>
          <w:highlight w:val="yellow"/>
        </w:rPr>
      </w:pPr>
      <w:r w:rsidRPr="00D25CBC">
        <w:rPr>
          <w:rFonts w:ascii="Arial" w:hAnsi="Arial" w:cs="Arial"/>
          <w:sz w:val="22"/>
          <w:szCs w:val="22"/>
          <w:highlight w:val="yellow"/>
        </w:rPr>
        <w:t>s</w:t>
      </w:r>
      <w:r w:rsidR="007425B0" w:rsidRPr="00D25CBC">
        <w:rPr>
          <w:rFonts w:ascii="Arial" w:hAnsi="Arial" w:cs="Arial"/>
          <w:sz w:val="22"/>
          <w:szCs w:val="22"/>
          <w:highlight w:val="yellow"/>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D25CBC"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D25CBC">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25CBC"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25CBC">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325EC8"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325EC8">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Pr="00A657E9" w:rsidRDefault="00F83703" w:rsidP="00047A13">
      <w:pPr>
        <w:pStyle w:val="ListParagraph"/>
        <w:numPr>
          <w:ilvl w:val="0"/>
          <w:numId w:val="19"/>
        </w:numPr>
        <w:ind w:left="426"/>
        <w:jc w:val="both"/>
        <w:rPr>
          <w:rFonts w:ascii="Arial" w:hAnsi="Arial" w:cs="Arial"/>
          <w:sz w:val="22"/>
          <w:szCs w:val="22"/>
          <w:highlight w:val="yellow"/>
        </w:rPr>
      </w:pPr>
      <w:r w:rsidRPr="00A657E9">
        <w:rPr>
          <w:rFonts w:ascii="Arial" w:hAnsi="Arial" w:cs="Arial"/>
          <w:sz w:val="22"/>
          <w:szCs w:val="22"/>
          <w:highlight w:val="yellow"/>
        </w:rPr>
        <w:t xml:space="preserve">This statement is true since </w:t>
      </w:r>
      <w:r w:rsidR="00BC285B" w:rsidRPr="00A657E9">
        <w:rPr>
          <w:rFonts w:ascii="Arial" w:hAnsi="Arial" w:cs="Arial"/>
          <w:sz w:val="22"/>
          <w:szCs w:val="22"/>
          <w:highlight w:val="yellow"/>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might have carried out </w:t>
      </w:r>
      <w:r w:rsidR="00BC285B">
        <w:rPr>
          <w:rFonts w:ascii="Arial" w:hAnsi="Arial" w:cs="Arial"/>
          <w:sz w:val="22"/>
          <w:szCs w:val="22"/>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2B6E45" w:rsidRDefault="006A1258" w:rsidP="006A1258">
      <w:pPr>
        <w:pStyle w:val="ListParagraph"/>
        <w:numPr>
          <w:ilvl w:val="0"/>
          <w:numId w:val="20"/>
        </w:numPr>
        <w:ind w:left="426"/>
        <w:jc w:val="both"/>
        <w:rPr>
          <w:rFonts w:ascii="Arial" w:hAnsi="Arial" w:cs="Arial"/>
          <w:sz w:val="22"/>
          <w:szCs w:val="22"/>
          <w:highlight w:val="yellow"/>
        </w:rPr>
      </w:pPr>
      <w:r w:rsidRPr="002B6E45">
        <w:rPr>
          <w:rFonts w:ascii="Arial" w:hAnsi="Arial" w:cs="Arial"/>
          <w:sz w:val="22"/>
          <w:szCs w:val="22"/>
          <w:highlight w:val="yellow"/>
        </w:rPr>
        <w:t>r</w:t>
      </w:r>
      <w:r w:rsidR="00701CCC" w:rsidRPr="002B6E45">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2FCAF674" w14:textId="77777777" w:rsidR="0086135B" w:rsidRDefault="0086135B" w:rsidP="002A37BB">
      <w:pPr>
        <w:ind w:left="720" w:hanging="720"/>
        <w:jc w:val="both"/>
        <w:rPr>
          <w:rFonts w:ascii="Arial" w:hAnsi="Arial" w:cs="Arial"/>
          <w:sz w:val="22"/>
          <w:szCs w:val="22"/>
          <w:lang w:val="en-GB"/>
        </w:rPr>
      </w:pPr>
      <w:r>
        <w:rPr>
          <w:rFonts w:ascii="Arial" w:hAnsi="Arial" w:cs="Arial"/>
          <w:sz w:val="22"/>
          <w:szCs w:val="22"/>
          <w:lang w:val="en-GB"/>
        </w:rPr>
        <w:t>The main fiduciary duties of the insolvency professionals are as follows:</w:t>
      </w:r>
    </w:p>
    <w:p w14:paraId="00467AF1" w14:textId="77777777" w:rsidR="0086135B" w:rsidRDefault="0086135B" w:rsidP="0086135B">
      <w:pPr>
        <w:pStyle w:val="ListParagraph"/>
        <w:numPr>
          <w:ilvl w:val="0"/>
          <w:numId w:val="21"/>
        </w:numPr>
        <w:jc w:val="both"/>
        <w:rPr>
          <w:rFonts w:ascii="Arial" w:hAnsi="Arial" w:cs="Arial"/>
          <w:sz w:val="22"/>
          <w:szCs w:val="22"/>
          <w:lang w:val="en-GB"/>
        </w:rPr>
      </w:pPr>
      <w:r>
        <w:rPr>
          <w:rFonts w:ascii="Arial" w:hAnsi="Arial" w:cs="Arial"/>
          <w:sz w:val="22"/>
          <w:szCs w:val="22"/>
          <w:lang w:val="en-GB"/>
        </w:rPr>
        <w:t>the duty to act in good faith – this duty implies honesty and fair dealing;</w:t>
      </w:r>
    </w:p>
    <w:p w14:paraId="0BA8F877" w14:textId="77777777" w:rsidR="0086135B" w:rsidRDefault="0086135B" w:rsidP="0086135B">
      <w:pPr>
        <w:pStyle w:val="ListParagraph"/>
        <w:numPr>
          <w:ilvl w:val="0"/>
          <w:numId w:val="21"/>
        </w:numPr>
        <w:jc w:val="both"/>
        <w:rPr>
          <w:rFonts w:ascii="Arial" w:hAnsi="Arial" w:cs="Arial"/>
          <w:sz w:val="22"/>
          <w:szCs w:val="22"/>
          <w:lang w:val="en-GB"/>
        </w:rPr>
      </w:pPr>
      <w:r>
        <w:rPr>
          <w:rFonts w:ascii="Arial" w:hAnsi="Arial" w:cs="Arial"/>
          <w:sz w:val="22"/>
          <w:szCs w:val="22"/>
          <w:lang w:val="en-GB"/>
        </w:rPr>
        <w:t>the duty to act in the best interest of the beneficiary of the fiduciary duties;</w:t>
      </w:r>
    </w:p>
    <w:p w14:paraId="30A016BC" w14:textId="77777777" w:rsidR="0086135B" w:rsidRDefault="0086135B" w:rsidP="0086135B">
      <w:pPr>
        <w:pStyle w:val="ListParagraph"/>
        <w:numPr>
          <w:ilvl w:val="0"/>
          <w:numId w:val="21"/>
        </w:numPr>
        <w:jc w:val="both"/>
        <w:rPr>
          <w:rFonts w:ascii="Arial" w:hAnsi="Arial" w:cs="Arial"/>
          <w:sz w:val="22"/>
          <w:szCs w:val="22"/>
          <w:lang w:val="en-GB"/>
        </w:rPr>
      </w:pPr>
      <w:r>
        <w:rPr>
          <w:rFonts w:ascii="Arial" w:hAnsi="Arial" w:cs="Arial"/>
          <w:sz w:val="22"/>
          <w:szCs w:val="22"/>
          <w:lang w:val="en-GB"/>
        </w:rPr>
        <w:t>the duty to exercise the powers of the office in an independent and impartial manner- this duty includes the duty to avoid a conflict of interest;</w:t>
      </w:r>
    </w:p>
    <w:p w14:paraId="57BCFC30" w14:textId="7C2055E7" w:rsidR="009B07AD" w:rsidRPr="0086135B" w:rsidRDefault="0086135B" w:rsidP="0086135B">
      <w:pPr>
        <w:pStyle w:val="ListParagraph"/>
        <w:numPr>
          <w:ilvl w:val="0"/>
          <w:numId w:val="21"/>
        </w:numPr>
        <w:jc w:val="both"/>
        <w:rPr>
          <w:rFonts w:ascii="Arial" w:hAnsi="Arial" w:cs="Arial"/>
          <w:sz w:val="22"/>
          <w:szCs w:val="22"/>
          <w:lang w:val="en-GB"/>
        </w:rPr>
      </w:pPr>
      <w:r>
        <w:rPr>
          <w:rFonts w:ascii="Arial" w:hAnsi="Arial" w:cs="Arial"/>
          <w:sz w:val="22"/>
          <w:szCs w:val="22"/>
          <w:lang w:val="en-GB"/>
        </w:rPr>
        <w:t>a duty which is usually not regarded as being fiduciary in nature, the duty to act with care, skill and diligence.</w:t>
      </w:r>
      <w:r w:rsidRPr="0086135B">
        <w:rPr>
          <w:rFonts w:ascii="Arial" w:hAnsi="Arial" w:cs="Arial"/>
          <w:sz w:val="22"/>
          <w:szCs w:val="22"/>
          <w:lang w:val="en-GB"/>
        </w:rPr>
        <w:t xml:space="preserve"> </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04C35F17" w:rsidR="009B07AD" w:rsidRPr="002A37BB" w:rsidRDefault="00980F45" w:rsidP="00980F45">
      <w:pPr>
        <w:jc w:val="both"/>
        <w:rPr>
          <w:rFonts w:ascii="Arial" w:hAnsi="Arial" w:cs="Arial"/>
          <w:sz w:val="22"/>
          <w:szCs w:val="22"/>
        </w:rPr>
      </w:pPr>
      <w:r>
        <w:rPr>
          <w:rFonts w:ascii="Arial" w:hAnsi="Arial" w:cs="Arial"/>
          <w:sz w:val="22"/>
          <w:szCs w:val="22"/>
        </w:rPr>
        <w:t xml:space="preserve">The IP would be able to carry out his/her function in the best interest of the beneficiaries only if he is independent and impartial. It aims at removing bias, conflicting interest and undue influence of others from overriding the IP’s professional judgements in performance of his/her duties. Independence and impartiality would be looked at a matter of fact and from the perspective of an informed observer, therefore the </w:t>
      </w:r>
      <w:r w:rsidR="00D16B38">
        <w:rPr>
          <w:rFonts w:ascii="Arial" w:hAnsi="Arial" w:cs="Arial"/>
          <w:sz w:val="22"/>
          <w:szCs w:val="22"/>
        </w:rPr>
        <w:t>IP should refrain from matters that involve any stakeholders with whom he has an existing relationship with.</w:t>
      </w:r>
      <w:r w:rsidR="001C25F0">
        <w:rPr>
          <w:rFonts w:ascii="Arial" w:hAnsi="Arial" w:cs="Arial"/>
          <w:sz w:val="22"/>
          <w:szCs w:val="22"/>
        </w:rPr>
        <w:t xml:space="preserve"> IP must be factually free of any influences that could compromise his judgement and must on the other hand also avoid such circumstances that would lead a reasonably informed third party to conclude that the IP’s integrity, independence and impartiality have been compromised.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572227E7" w14:textId="482331EE" w:rsidR="0045683E" w:rsidRPr="002A37BB" w:rsidRDefault="003735B0" w:rsidP="002A37BB">
      <w:pPr>
        <w:jc w:val="both"/>
        <w:rPr>
          <w:rFonts w:ascii="Arial" w:hAnsi="Arial" w:cs="Arial"/>
          <w:bCs/>
          <w:sz w:val="22"/>
          <w:szCs w:val="22"/>
          <w:lang w:val="en-GB"/>
        </w:rPr>
      </w:pPr>
      <w:r>
        <w:rPr>
          <w:rFonts w:ascii="Arial" w:hAnsi="Arial" w:cs="Arial"/>
          <w:bCs/>
          <w:sz w:val="22"/>
          <w:szCs w:val="22"/>
          <w:lang w:val="en-GB"/>
        </w:rPr>
        <w:t xml:space="preserve">Time-based fees remains the most widely used method of calculation of the insolvency practitioner’s remuneration. </w:t>
      </w:r>
      <w:r w:rsidR="004F3B38">
        <w:rPr>
          <w:rFonts w:ascii="Arial" w:hAnsi="Arial" w:cs="Arial"/>
          <w:bCs/>
          <w:sz w:val="22"/>
          <w:szCs w:val="22"/>
          <w:lang w:val="en-GB"/>
        </w:rPr>
        <w:t xml:space="preserve">The biggest ethical issue relating to this method of calculation is that </w:t>
      </w:r>
      <w:r w:rsidR="00944443">
        <w:rPr>
          <w:rFonts w:ascii="Arial" w:hAnsi="Arial" w:cs="Arial"/>
          <w:bCs/>
          <w:sz w:val="22"/>
          <w:szCs w:val="22"/>
          <w:lang w:val="en-GB"/>
        </w:rPr>
        <w:t xml:space="preserve">this system might incentivise time spent on the administration without necessarily achieving any outcome and it might not be reflective of the actual work done. </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024A332" w14:textId="0449CA54" w:rsidR="00544127" w:rsidRDefault="00453730" w:rsidP="002A37BB">
      <w:pPr>
        <w:jc w:val="both"/>
        <w:rPr>
          <w:rFonts w:ascii="Arial" w:hAnsi="Arial" w:cs="Arial"/>
          <w:sz w:val="22"/>
          <w:szCs w:val="22"/>
        </w:rPr>
      </w:pPr>
      <w:r>
        <w:rPr>
          <w:rFonts w:ascii="Arial" w:hAnsi="Arial" w:cs="Arial"/>
          <w:sz w:val="22"/>
          <w:szCs w:val="22"/>
        </w:rPr>
        <w:lastRenderedPageBreak/>
        <w:t xml:space="preserve">The following circumstances in an insolvency proceeding </w:t>
      </w:r>
      <w:r w:rsidR="00940D34">
        <w:rPr>
          <w:rFonts w:ascii="Arial" w:hAnsi="Arial" w:cs="Arial"/>
          <w:sz w:val="22"/>
          <w:szCs w:val="22"/>
        </w:rPr>
        <w:t>often pose a threat to the insolvency and impartiality of the IP:</w:t>
      </w:r>
    </w:p>
    <w:p w14:paraId="1DE3B163" w14:textId="02E09F17" w:rsidR="00940D34" w:rsidRDefault="00940D34" w:rsidP="00940D34">
      <w:pPr>
        <w:pStyle w:val="ListParagraph"/>
        <w:numPr>
          <w:ilvl w:val="0"/>
          <w:numId w:val="22"/>
        </w:numPr>
        <w:jc w:val="both"/>
        <w:rPr>
          <w:rFonts w:ascii="Arial" w:hAnsi="Arial" w:cs="Arial"/>
          <w:sz w:val="22"/>
          <w:szCs w:val="22"/>
        </w:rPr>
      </w:pPr>
      <w:r>
        <w:rPr>
          <w:rFonts w:ascii="Arial" w:hAnsi="Arial" w:cs="Arial"/>
          <w:sz w:val="22"/>
          <w:szCs w:val="22"/>
        </w:rPr>
        <w:t xml:space="preserve">Pre-commencement/appointment involvement: </w:t>
      </w:r>
      <w:r w:rsidR="00057515">
        <w:rPr>
          <w:rFonts w:ascii="Arial" w:hAnsi="Arial" w:cs="Arial"/>
          <w:sz w:val="22"/>
          <w:szCs w:val="22"/>
        </w:rPr>
        <w:t>Consultation prior to the commencement of the insolvency process often take place between the IP, company or other stakeholders. Not all types of such contact would dilute the independence and impartiality but it may leave an impression of the lack of it. However, the consultation should not be of a material nature and should be limited to the company’s financial position, company’s solvency, effects of potential insolvency. This question arose in the matter of Re Korda, Ten  Net</w:t>
      </w:r>
      <w:r w:rsidR="004E43FC">
        <w:rPr>
          <w:rFonts w:ascii="Arial" w:hAnsi="Arial" w:cs="Arial"/>
          <w:sz w:val="22"/>
          <w:szCs w:val="22"/>
        </w:rPr>
        <w:t xml:space="preserve">work Holdings Ltd wherein the firm was involved with the company to review their financial position before their appointment as the administrator. The court held that it was in the intrinsic character of corporate restructuring, that the companies </w:t>
      </w:r>
      <w:r w:rsidR="00A467EA">
        <w:rPr>
          <w:rFonts w:ascii="Arial" w:hAnsi="Arial" w:cs="Arial"/>
          <w:sz w:val="22"/>
          <w:szCs w:val="22"/>
        </w:rPr>
        <w:t>engage administrator firms to g</w:t>
      </w:r>
      <w:r w:rsidR="004E43FC">
        <w:rPr>
          <w:rFonts w:ascii="Arial" w:hAnsi="Arial" w:cs="Arial"/>
          <w:sz w:val="22"/>
          <w:szCs w:val="22"/>
        </w:rPr>
        <w:t>a</w:t>
      </w:r>
      <w:r w:rsidR="00A467EA">
        <w:rPr>
          <w:rFonts w:ascii="Arial" w:hAnsi="Arial" w:cs="Arial"/>
          <w:sz w:val="22"/>
          <w:szCs w:val="22"/>
        </w:rPr>
        <w:t>u</w:t>
      </w:r>
      <w:bookmarkStart w:id="0" w:name="_GoBack"/>
      <w:bookmarkEnd w:id="0"/>
      <w:r w:rsidR="004E43FC">
        <w:rPr>
          <w:rFonts w:ascii="Arial" w:hAnsi="Arial" w:cs="Arial"/>
          <w:sz w:val="22"/>
          <w:szCs w:val="22"/>
        </w:rPr>
        <w:t xml:space="preserve">ge the financial position of the company before the actual commencement of any insolvency or insolvency like process. So long as certain safeguards like the administrator being engaged in limited capacity with no interaction or absolutely necessary interaction with the management of the company and declaration to the effect that if the company infact enters into an insolvency process they might be the potential administrator and thus their work must be done at an arms length basis currently. </w:t>
      </w:r>
    </w:p>
    <w:p w14:paraId="467F1DF8" w14:textId="77777777" w:rsidR="00E55950" w:rsidRDefault="00E55950" w:rsidP="00E55950">
      <w:pPr>
        <w:pStyle w:val="ListParagraph"/>
        <w:ind w:left="1080"/>
        <w:jc w:val="both"/>
        <w:rPr>
          <w:rFonts w:ascii="Arial" w:hAnsi="Arial" w:cs="Arial"/>
          <w:sz w:val="22"/>
          <w:szCs w:val="22"/>
        </w:rPr>
      </w:pPr>
    </w:p>
    <w:p w14:paraId="357A2BAC" w14:textId="2ECA33CA" w:rsidR="004E43FC" w:rsidRDefault="004E43FC" w:rsidP="00940D34">
      <w:pPr>
        <w:pStyle w:val="ListParagraph"/>
        <w:numPr>
          <w:ilvl w:val="0"/>
          <w:numId w:val="22"/>
        </w:numPr>
        <w:jc w:val="both"/>
        <w:rPr>
          <w:rFonts w:ascii="Arial" w:hAnsi="Arial" w:cs="Arial"/>
          <w:sz w:val="22"/>
          <w:szCs w:val="22"/>
        </w:rPr>
      </w:pPr>
      <w:r>
        <w:rPr>
          <w:rFonts w:ascii="Arial" w:hAnsi="Arial" w:cs="Arial"/>
          <w:sz w:val="22"/>
          <w:szCs w:val="22"/>
        </w:rPr>
        <w:t xml:space="preserve">Appointment of CIPs: Several jurisdictions allow the petitioner of an insolvency application to also suggest the name of the IP to be appointed as the CIP. This could lead to the particular stakeholder thinking that the CIP must automatically act in their favour. The practitioner must make it clear </w:t>
      </w:r>
      <w:r w:rsidR="00E55950">
        <w:rPr>
          <w:rFonts w:ascii="Arial" w:hAnsi="Arial" w:cs="Arial"/>
          <w:sz w:val="22"/>
          <w:szCs w:val="22"/>
        </w:rPr>
        <w:t xml:space="preserve">that he/she is an independent entity who must act in a manner to balance the interests of all the stakeholders and not any one particular class of stakeholders. </w:t>
      </w:r>
    </w:p>
    <w:p w14:paraId="1E318C00" w14:textId="77777777" w:rsidR="00E55950" w:rsidRDefault="00E55950" w:rsidP="00E55950">
      <w:pPr>
        <w:pStyle w:val="ListParagraph"/>
        <w:ind w:left="1080"/>
        <w:jc w:val="both"/>
        <w:rPr>
          <w:rFonts w:ascii="Arial" w:hAnsi="Arial" w:cs="Arial"/>
          <w:sz w:val="22"/>
          <w:szCs w:val="22"/>
        </w:rPr>
      </w:pPr>
    </w:p>
    <w:p w14:paraId="015B8B4A" w14:textId="621CBDE9" w:rsidR="00E55950" w:rsidRDefault="00E55950" w:rsidP="00940D34">
      <w:pPr>
        <w:pStyle w:val="ListParagraph"/>
        <w:numPr>
          <w:ilvl w:val="0"/>
          <w:numId w:val="22"/>
        </w:numPr>
        <w:jc w:val="both"/>
        <w:rPr>
          <w:rFonts w:ascii="Arial" w:hAnsi="Arial" w:cs="Arial"/>
          <w:sz w:val="22"/>
          <w:szCs w:val="22"/>
        </w:rPr>
      </w:pPr>
      <w:r>
        <w:rPr>
          <w:rFonts w:ascii="Arial" w:hAnsi="Arial" w:cs="Arial"/>
          <w:sz w:val="22"/>
          <w:szCs w:val="22"/>
        </w:rPr>
        <w:t xml:space="preserve">Subsequent appointments: </w:t>
      </w:r>
      <w:r w:rsidR="00D84579">
        <w:rPr>
          <w:rFonts w:ascii="Arial" w:hAnsi="Arial" w:cs="Arial"/>
          <w:sz w:val="22"/>
          <w:szCs w:val="22"/>
        </w:rPr>
        <w:t>This is a scenario wherein the same CIP is allowed to act in different insolvency capacities in relation to the same debtor company. Subsequent appointments therefore pose a problem in relation to independence and impartiality due to self-review and self-interest threats that is creates. The self-review threat refers to a situation where a CIP who was involved in decision making at the earlier stages of the process would not be able to evaluate the results of previous judgements made or services rendered. The self-interest threat relates to the issue of remuneration of the CIP.</w:t>
      </w:r>
    </w:p>
    <w:p w14:paraId="391B25F9" w14:textId="77777777" w:rsidR="00E6362C" w:rsidRPr="00E6362C" w:rsidRDefault="00E6362C" w:rsidP="00E6362C">
      <w:pPr>
        <w:pStyle w:val="ListParagraph"/>
        <w:rPr>
          <w:rFonts w:ascii="Arial" w:hAnsi="Arial" w:cs="Arial"/>
          <w:sz w:val="22"/>
          <w:szCs w:val="22"/>
        </w:rPr>
      </w:pPr>
    </w:p>
    <w:p w14:paraId="03AE81CB" w14:textId="13CDDBE7" w:rsidR="00E6362C" w:rsidRPr="00940D34" w:rsidRDefault="00E6362C" w:rsidP="00940D34">
      <w:pPr>
        <w:pStyle w:val="ListParagraph"/>
        <w:numPr>
          <w:ilvl w:val="0"/>
          <w:numId w:val="22"/>
        </w:numPr>
        <w:jc w:val="both"/>
        <w:rPr>
          <w:rFonts w:ascii="Arial" w:hAnsi="Arial" w:cs="Arial"/>
          <w:sz w:val="22"/>
          <w:szCs w:val="22"/>
        </w:rPr>
      </w:pPr>
      <w:r>
        <w:rPr>
          <w:rFonts w:ascii="Arial" w:hAnsi="Arial" w:cs="Arial"/>
          <w:sz w:val="22"/>
          <w:szCs w:val="22"/>
        </w:rPr>
        <w:t xml:space="preserve">Secret monies and personal transactions with the company: </w:t>
      </w:r>
      <w:r w:rsidR="00233445">
        <w:rPr>
          <w:rFonts w:ascii="Arial" w:hAnsi="Arial" w:cs="Arial"/>
          <w:sz w:val="22"/>
          <w:szCs w:val="22"/>
        </w:rPr>
        <w:t xml:space="preserve">CIP must never place themselves in a position where they stand to gain against and such a situation creates a conflict with his duties. The CIP’s duty to act with independence and impartiality therefore encapsulates the same values as the no-profit and no-conflict underpins his duty of undivided loyalty to the beneficiaries. The no-profit rule determines that a fiduciary may not profit from his position of trust and thereby be unjustly enriched by secret kick-backs or commissions. The no-conflict rule determines that a fiduciary may not allow a conflict to arise between his duties and the interests of the beneficiary, for eg. transacting with the debtor company in his personal capacity. This issue was interpreted in the matter of Commonwealth Bank of Australia v. Irving, wherein the chartered accountant Mr. Irving had a long-standing relationship with one of the erstwhile directors of the company Mr. Townsend. Mr. Irving had also provided consultation services to the company regarding its financial position. Although, Mr. Irving had disclosed his prior relationship to the directors of the company </w:t>
      </w:r>
      <w:r w:rsidR="00285871">
        <w:rPr>
          <w:rFonts w:ascii="Arial" w:hAnsi="Arial" w:cs="Arial"/>
          <w:sz w:val="22"/>
          <w:szCs w:val="22"/>
        </w:rPr>
        <w:t xml:space="preserve">and there was no factual evidence to prove any impropriety but the situation was exacerbated by </w:t>
      </w:r>
      <w:r w:rsidR="00D0249A">
        <w:rPr>
          <w:rFonts w:ascii="Arial" w:hAnsi="Arial" w:cs="Arial"/>
          <w:sz w:val="22"/>
          <w:szCs w:val="22"/>
        </w:rPr>
        <w:t>M</w:t>
      </w:r>
      <w:r w:rsidR="00285871">
        <w:rPr>
          <w:rFonts w:ascii="Arial" w:hAnsi="Arial" w:cs="Arial"/>
          <w:sz w:val="22"/>
          <w:szCs w:val="22"/>
        </w:rPr>
        <w:t xml:space="preserve">r. Townsend’s law firm acting as Mr. Irving’s legal counsels in the matter. Therefore, although individually the facts do not seem to affect the independence and impartiality of Mr. Irving but any informed observer may come to an alternate </w:t>
      </w:r>
      <w:r w:rsidR="00285871">
        <w:rPr>
          <w:rFonts w:ascii="Arial" w:hAnsi="Arial" w:cs="Arial"/>
          <w:sz w:val="22"/>
          <w:szCs w:val="22"/>
        </w:rPr>
        <w:lastRenderedPageBreak/>
        <w:t xml:space="preserve">conclusion due to the longstanding personal and professional relationship that strikes at the root of the matter between Mr. Irving and Mr. Townsend. </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47AABD1F" w:rsidR="00132584" w:rsidRDefault="00132584" w:rsidP="002A37BB">
      <w:pPr>
        <w:jc w:val="both"/>
        <w:rPr>
          <w:rFonts w:ascii="Arial" w:hAnsi="Arial" w:cs="Arial"/>
          <w:sz w:val="22"/>
          <w:szCs w:val="22"/>
        </w:rPr>
      </w:pPr>
    </w:p>
    <w:p w14:paraId="7C26368F" w14:textId="541F41D2" w:rsidR="006B1AA4" w:rsidRDefault="006B1AA4" w:rsidP="002A37BB">
      <w:pPr>
        <w:jc w:val="both"/>
        <w:rPr>
          <w:rFonts w:ascii="Arial" w:hAnsi="Arial" w:cs="Arial"/>
          <w:sz w:val="22"/>
          <w:szCs w:val="22"/>
        </w:rPr>
      </w:pPr>
      <w:r>
        <w:rPr>
          <w:rFonts w:ascii="Arial" w:hAnsi="Arial" w:cs="Arial"/>
          <w:sz w:val="22"/>
          <w:szCs w:val="22"/>
        </w:rPr>
        <w:t>It is common practice for CIPs to rely on legal professionals across jurisdictions. In South Africa and England and Wales, the CIPs are generally not trained in law and therefore in almost all cases it becomes paramount that they rely on legal professionals.</w:t>
      </w:r>
      <w:r w:rsidR="00271C12">
        <w:rPr>
          <w:rFonts w:ascii="Arial" w:hAnsi="Arial" w:cs="Arial"/>
          <w:sz w:val="22"/>
          <w:szCs w:val="22"/>
        </w:rPr>
        <w:t xml:space="preserve"> The Insolvency Code of Ethics by the Institute of Chartered Accountants of England and Wales addresses this issue with remarkable clarity. It puts the onus on the CIP in every matter to as a first step assess whether appointment of a legal professional is required and document the reasons found in support of the same. It also mandates disclosure with regards to any personal or professional  relationship that exists between the CIP and the legal professional.</w:t>
      </w:r>
      <w:r w:rsidR="006758EC">
        <w:rPr>
          <w:rFonts w:ascii="Arial" w:hAnsi="Arial" w:cs="Arial"/>
          <w:sz w:val="22"/>
          <w:szCs w:val="22"/>
        </w:rPr>
        <w:t xml:space="preserve"> Moreover it mandates a three-pronged approach to decide the appointment:</w:t>
      </w:r>
    </w:p>
    <w:p w14:paraId="4E2CED67" w14:textId="318008DB" w:rsidR="006758EC" w:rsidRDefault="006758EC" w:rsidP="006758EC">
      <w:pPr>
        <w:pStyle w:val="ListParagraph"/>
        <w:numPr>
          <w:ilvl w:val="0"/>
          <w:numId w:val="23"/>
        </w:numPr>
        <w:jc w:val="both"/>
        <w:rPr>
          <w:rFonts w:ascii="Arial" w:hAnsi="Arial" w:cs="Arial"/>
          <w:sz w:val="22"/>
          <w:szCs w:val="22"/>
        </w:rPr>
      </w:pPr>
      <w:r>
        <w:rPr>
          <w:rFonts w:ascii="Arial" w:hAnsi="Arial" w:cs="Arial"/>
          <w:sz w:val="22"/>
          <w:szCs w:val="22"/>
        </w:rPr>
        <w:t>Cost of services;</w:t>
      </w:r>
    </w:p>
    <w:p w14:paraId="17E08F6E" w14:textId="2CA43BE9" w:rsidR="006758EC" w:rsidRDefault="006758EC" w:rsidP="006758EC">
      <w:pPr>
        <w:pStyle w:val="ListParagraph"/>
        <w:numPr>
          <w:ilvl w:val="0"/>
          <w:numId w:val="23"/>
        </w:numPr>
        <w:jc w:val="both"/>
        <w:rPr>
          <w:rFonts w:ascii="Arial" w:hAnsi="Arial" w:cs="Arial"/>
          <w:sz w:val="22"/>
          <w:szCs w:val="22"/>
        </w:rPr>
      </w:pPr>
      <w:r>
        <w:rPr>
          <w:rFonts w:ascii="Arial" w:hAnsi="Arial" w:cs="Arial"/>
          <w:sz w:val="22"/>
          <w:szCs w:val="22"/>
        </w:rPr>
        <w:t>Whether the service provider has the requisite regulatory approval;</w:t>
      </w:r>
    </w:p>
    <w:p w14:paraId="339B1FB4" w14:textId="53F2DED6" w:rsidR="006758EC" w:rsidRDefault="006758EC" w:rsidP="006758EC">
      <w:pPr>
        <w:pStyle w:val="ListParagraph"/>
        <w:numPr>
          <w:ilvl w:val="0"/>
          <w:numId w:val="23"/>
        </w:numPr>
        <w:jc w:val="both"/>
        <w:rPr>
          <w:rFonts w:ascii="Arial" w:hAnsi="Arial" w:cs="Arial"/>
          <w:sz w:val="22"/>
          <w:szCs w:val="22"/>
        </w:rPr>
      </w:pPr>
      <w:r>
        <w:rPr>
          <w:rFonts w:ascii="Arial" w:hAnsi="Arial" w:cs="Arial"/>
          <w:sz w:val="22"/>
          <w:szCs w:val="22"/>
        </w:rPr>
        <w:t xml:space="preserve">The professional and ethical standards applicable to the service provider. </w:t>
      </w:r>
    </w:p>
    <w:p w14:paraId="275B8C30" w14:textId="77777777" w:rsidR="006758EC" w:rsidRPr="006758EC" w:rsidRDefault="006758EC" w:rsidP="006758EC">
      <w:pPr>
        <w:pStyle w:val="ListParagraph"/>
        <w:ind w:left="1080"/>
        <w:jc w:val="both"/>
        <w:rPr>
          <w:rFonts w:ascii="Arial" w:hAnsi="Arial" w:cs="Arial"/>
          <w:sz w:val="22"/>
          <w:szCs w:val="22"/>
        </w:rPr>
      </w:pPr>
    </w:p>
    <w:p w14:paraId="7940D274" w14:textId="4EF78FD5" w:rsidR="00DF75F8" w:rsidRDefault="00E67D42" w:rsidP="002A37BB">
      <w:pPr>
        <w:jc w:val="both"/>
        <w:rPr>
          <w:rFonts w:ascii="Arial" w:hAnsi="Arial" w:cs="Arial"/>
          <w:sz w:val="22"/>
          <w:szCs w:val="22"/>
          <w:lang w:val="en-GB"/>
        </w:rPr>
      </w:pPr>
      <w:r>
        <w:rPr>
          <w:rFonts w:ascii="Arial" w:hAnsi="Arial" w:cs="Arial"/>
          <w:sz w:val="22"/>
          <w:szCs w:val="22"/>
          <w:lang w:val="en-GB"/>
        </w:rPr>
        <w:t xml:space="preserve">Legal fees are the most controversial administrative costs. </w:t>
      </w:r>
      <w:r w:rsidR="00DB6B04">
        <w:rPr>
          <w:rFonts w:ascii="Arial" w:hAnsi="Arial" w:cs="Arial"/>
          <w:sz w:val="22"/>
          <w:szCs w:val="22"/>
          <w:lang w:val="en-GB"/>
        </w:rPr>
        <w:t xml:space="preserve">The Singaporean Kao case illustrated that the legal fees could be paid out as disbursements or third party costs. The court was of the opinion that the fees could be made part of the IP’s fees or could be separately billed in favour of the company. </w:t>
      </w:r>
      <w:r w:rsidR="004152EE">
        <w:rPr>
          <w:rFonts w:ascii="Arial" w:hAnsi="Arial" w:cs="Arial"/>
          <w:sz w:val="22"/>
          <w:szCs w:val="22"/>
          <w:lang w:val="en-GB"/>
        </w:rPr>
        <w:t xml:space="preserve">When it is included as part of disbursements, it has been held in Re Korda that it would be the IP’s onus to use their commercial judgment to assess if the fees claimed are reasonable or not. However when they are directly charges to the company the level of scrutiny and issues relating to assessing whether there is any duplication of work for which legal fees is charged </w:t>
      </w:r>
      <w:r w:rsidR="00A9419A">
        <w:rPr>
          <w:rFonts w:ascii="Arial" w:hAnsi="Arial" w:cs="Arial"/>
          <w:sz w:val="22"/>
          <w:szCs w:val="22"/>
          <w:lang w:val="en-GB"/>
        </w:rPr>
        <w:t xml:space="preserve">remains. In the Dovechem case, </w:t>
      </w:r>
      <w:r w:rsidR="002D5D08">
        <w:rPr>
          <w:rFonts w:ascii="Arial" w:hAnsi="Arial" w:cs="Arial"/>
          <w:sz w:val="22"/>
          <w:szCs w:val="22"/>
          <w:lang w:val="en-GB"/>
        </w:rPr>
        <w:t xml:space="preserve">the court was confronted with a question as to whether there was duplication of work on the liquidator’s side as they had charged 4 times the fees charged by the solicitors appointed in the matter. The onus then fell on the CIP to prove that there was no duplication of work and they were successful in the same. </w:t>
      </w:r>
    </w:p>
    <w:p w14:paraId="768CDB36" w14:textId="7DE801BB" w:rsidR="006B1AA4" w:rsidRDefault="006B1AA4" w:rsidP="002A37BB">
      <w:pPr>
        <w:jc w:val="both"/>
        <w:rPr>
          <w:rFonts w:ascii="Arial" w:hAnsi="Arial" w:cs="Arial"/>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w:t>
      </w:r>
      <w:r w:rsidRPr="00132584">
        <w:rPr>
          <w:rFonts w:ascii="Arial" w:hAnsi="Arial" w:cs="Arial"/>
          <w:sz w:val="22"/>
          <w:szCs w:val="22"/>
          <w:lang w:val="en-GB"/>
        </w:rPr>
        <w:lastRenderedPageBreak/>
        <w:t xml:space="preserve">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5F5A9039" w:rsidR="00087F21" w:rsidRDefault="00087F21" w:rsidP="00087F21">
      <w:pPr>
        <w:jc w:val="both"/>
        <w:rPr>
          <w:rFonts w:ascii="Arial" w:hAnsi="Arial" w:cs="Arial"/>
          <w:sz w:val="22"/>
          <w:szCs w:val="22"/>
          <w:lang w:val="en-GB"/>
        </w:rPr>
      </w:pPr>
      <w:bookmarkStart w:id="1" w:name="_Hlk17745211"/>
    </w:p>
    <w:p w14:paraId="305BB48C" w14:textId="0FC1EC2C" w:rsidR="00106555" w:rsidRDefault="00106555" w:rsidP="00087F21">
      <w:pPr>
        <w:jc w:val="both"/>
        <w:rPr>
          <w:rFonts w:ascii="Arial" w:hAnsi="Arial" w:cs="Arial"/>
          <w:sz w:val="22"/>
          <w:szCs w:val="22"/>
          <w:lang w:val="en-GB"/>
        </w:rPr>
      </w:pPr>
      <w:r>
        <w:rPr>
          <w:rFonts w:ascii="Arial" w:hAnsi="Arial" w:cs="Arial"/>
          <w:sz w:val="22"/>
          <w:szCs w:val="22"/>
          <w:lang w:val="en-GB"/>
        </w:rPr>
        <w:t xml:space="preserve">There are several ethical issues in the given facts. </w:t>
      </w:r>
      <w:r w:rsidR="00692904">
        <w:rPr>
          <w:rFonts w:ascii="Arial" w:hAnsi="Arial" w:cs="Arial"/>
          <w:sz w:val="22"/>
          <w:szCs w:val="22"/>
          <w:lang w:val="en-GB"/>
        </w:rPr>
        <w:t>A CIP has to function in accordance with the cardinal principles of integrity impartiality, independence and good management. However, the following ethical issues have marred the functioning of Mr. R</w:t>
      </w:r>
      <w:r w:rsidR="002B4D68">
        <w:rPr>
          <w:rFonts w:ascii="Arial" w:hAnsi="Arial" w:cs="Arial"/>
          <w:sz w:val="22"/>
          <w:szCs w:val="22"/>
          <w:lang w:val="en-GB"/>
        </w:rPr>
        <w:t>elations:</w:t>
      </w:r>
    </w:p>
    <w:p w14:paraId="2ED76873" w14:textId="40798D37" w:rsidR="003A5B56" w:rsidRDefault="003A5B56" w:rsidP="003A5B56">
      <w:pPr>
        <w:pStyle w:val="ListParagraph"/>
        <w:numPr>
          <w:ilvl w:val="0"/>
          <w:numId w:val="24"/>
        </w:numPr>
        <w:jc w:val="both"/>
        <w:rPr>
          <w:rFonts w:ascii="Arial" w:hAnsi="Arial" w:cs="Arial"/>
          <w:sz w:val="22"/>
          <w:szCs w:val="22"/>
        </w:rPr>
      </w:pPr>
      <w:r>
        <w:rPr>
          <w:rFonts w:ascii="Arial" w:hAnsi="Arial" w:cs="Arial"/>
          <w:sz w:val="22"/>
          <w:szCs w:val="22"/>
        </w:rPr>
        <w:t xml:space="preserve">Pre-commencement/appointment involvement: </w:t>
      </w:r>
      <w:r w:rsidR="002B4D68">
        <w:rPr>
          <w:rFonts w:ascii="Arial" w:hAnsi="Arial" w:cs="Arial"/>
          <w:sz w:val="22"/>
          <w:szCs w:val="22"/>
        </w:rPr>
        <w:t xml:space="preserve">In the given factual scenario, Mr. Relations </w:t>
      </w:r>
      <w:r w:rsidR="00BB5518">
        <w:rPr>
          <w:rFonts w:ascii="Arial" w:hAnsi="Arial" w:cs="Arial"/>
          <w:sz w:val="22"/>
          <w:szCs w:val="22"/>
        </w:rPr>
        <w:t xml:space="preserve">was acting as an adviser prior to the commencement of the </w:t>
      </w:r>
      <w:r w:rsidR="00BB5518">
        <w:rPr>
          <w:rFonts w:ascii="Arial" w:hAnsi="Arial" w:cs="Arial"/>
          <w:sz w:val="22"/>
          <w:szCs w:val="22"/>
        </w:rPr>
        <w:lastRenderedPageBreak/>
        <w:t xml:space="preserve">commencement of the insolvency process and infact is the key proponent for the company entering into voluntary administration process. </w:t>
      </w:r>
      <w:r w:rsidR="00BB5518">
        <w:rPr>
          <w:rFonts w:ascii="Arial" w:hAnsi="Arial" w:cs="Arial"/>
          <w:sz w:val="22"/>
          <w:szCs w:val="22"/>
        </w:rPr>
        <w:t xml:space="preserve">Not all types </w:t>
      </w:r>
      <w:r w:rsidR="00BB5518">
        <w:rPr>
          <w:rFonts w:ascii="Arial" w:hAnsi="Arial" w:cs="Arial"/>
          <w:sz w:val="22"/>
          <w:szCs w:val="22"/>
        </w:rPr>
        <w:t>c</w:t>
      </w:r>
      <w:r>
        <w:rPr>
          <w:rFonts w:ascii="Arial" w:hAnsi="Arial" w:cs="Arial"/>
          <w:sz w:val="22"/>
          <w:szCs w:val="22"/>
        </w:rPr>
        <w:t xml:space="preserve">onsultation prior to the commencement of the insolvency process would dilute the independence and impartiality </w:t>
      </w:r>
      <w:r w:rsidR="00BB5518">
        <w:rPr>
          <w:rFonts w:ascii="Arial" w:hAnsi="Arial" w:cs="Arial"/>
          <w:sz w:val="22"/>
          <w:szCs w:val="22"/>
        </w:rPr>
        <w:t xml:space="preserve">of the CIP unless </w:t>
      </w:r>
      <w:r>
        <w:rPr>
          <w:rFonts w:ascii="Arial" w:hAnsi="Arial" w:cs="Arial"/>
          <w:sz w:val="22"/>
          <w:szCs w:val="22"/>
        </w:rPr>
        <w:t xml:space="preserve">the consultation </w:t>
      </w:r>
      <w:r w:rsidR="00BB5518">
        <w:rPr>
          <w:rFonts w:ascii="Arial" w:hAnsi="Arial" w:cs="Arial"/>
          <w:sz w:val="22"/>
          <w:szCs w:val="22"/>
        </w:rPr>
        <w:t xml:space="preserve">is </w:t>
      </w:r>
      <w:r>
        <w:rPr>
          <w:rFonts w:ascii="Arial" w:hAnsi="Arial" w:cs="Arial"/>
          <w:sz w:val="22"/>
          <w:szCs w:val="22"/>
        </w:rPr>
        <w:t>of a material nature. This question arose in the matter of Re Korda, Ten  Network Holdings Ltd wherein the firm was involved with the company to review their financial position before their appointment as the administrator. The court held that it was in the intrinsic character of corporate restructuring, that the companies engage administrator firm</w:t>
      </w:r>
      <w:r w:rsidR="00BB5518">
        <w:rPr>
          <w:rFonts w:ascii="Arial" w:hAnsi="Arial" w:cs="Arial"/>
          <w:sz w:val="22"/>
          <w:szCs w:val="22"/>
        </w:rPr>
        <w:t>s to gau</w:t>
      </w:r>
      <w:r>
        <w:rPr>
          <w:rFonts w:ascii="Arial" w:hAnsi="Arial" w:cs="Arial"/>
          <w:sz w:val="22"/>
          <w:szCs w:val="22"/>
        </w:rPr>
        <w:t>ge the financial position of the company before the actual commencement of any insolvency or insolvency like process. So long as certain safeguards like the administrator being engaged in limited capacity with no interaction or absolutely necessary interaction with the management of the company and declaration to the effect that if the company infact enters into an insolvency process they might be the potential administrator and thus the</w:t>
      </w:r>
      <w:r w:rsidR="00106555">
        <w:rPr>
          <w:rFonts w:ascii="Arial" w:hAnsi="Arial" w:cs="Arial"/>
          <w:sz w:val="22"/>
          <w:szCs w:val="22"/>
        </w:rPr>
        <w:t>ir work must be done at an arms-</w:t>
      </w:r>
      <w:r>
        <w:rPr>
          <w:rFonts w:ascii="Arial" w:hAnsi="Arial" w:cs="Arial"/>
          <w:sz w:val="22"/>
          <w:szCs w:val="22"/>
        </w:rPr>
        <w:t xml:space="preserve">length basis currently. </w:t>
      </w:r>
      <w:r w:rsidR="00BB5518">
        <w:rPr>
          <w:rFonts w:ascii="Arial" w:hAnsi="Arial" w:cs="Arial"/>
          <w:sz w:val="22"/>
          <w:szCs w:val="22"/>
        </w:rPr>
        <w:t>The consultation therefore must be limited to the extent of assessment of the</w:t>
      </w:r>
      <w:r w:rsidR="00BB5518">
        <w:rPr>
          <w:rFonts w:ascii="Arial" w:hAnsi="Arial" w:cs="Arial"/>
          <w:sz w:val="22"/>
          <w:szCs w:val="22"/>
        </w:rPr>
        <w:t xml:space="preserve"> company’s financial position, company’s solvency, effects of potential insolvency</w:t>
      </w:r>
      <w:r w:rsidR="00BB5518">
        <w:rPr>
          <w:rFonts w:ascii="Arial" w:hAnsi="Arial" w:cs="Arial"/>
          <w:sz w:val="22"/>
          <w:szCs w:val="22"/>
        </w:rPr>
        <w:t xml:space="preserve">. However, in the given case the consulation was not at an arms length basis and was certainly not limited to the financial position of the company. </w:t>
      </w:r>
    </w:p>
    <w:p w14:paraId="18CEBD2D" w14:textId="77777777" w:rsidR="003A5B56" w:rsidRDefault="003A5B56" w:rsidP="003A5B56">
      <w:pPr>
        <w:pStyle w:val="ListParagraph"/>
        <w:ind w:left="1080"/>
        <w:jc w:val="both"/>
        <w:rPr>
          <w:rFonts w:ascii="Arial" w:hAnsi="Arial" w:cs="Arial"/>
          <w:sz w:val="22"/>
          <w:szCs w:val="22"/>
        </w:rPr>
      </w:pPr>
    </w:p>
    <w:p w14:paraId="4E3C2011" w14:textId="6C477834" w:rsidR="003A5B56" w:rsidRDefault="003A5B56" w:rsidP="003A5B56">
      <w:pPr>
        <w:pStyle w:val="ListParagraph"/>
        <w:numPr>
          <w:ilvl w:val="0"/>
          <w:numId w:val="24"/>
        </w:numPr>
        <w:jc w:val="both"/>
        <w:rPr>
          <w:rFonts w:ascii="Arial" w:hAnsi="Arial" w:cs="Arial"/>
          <w:sz w:val="22"/>
          <w:szCs w:val="22"/>
        </w:rPr>
      </w:pPr>
      <w:r>
        <w:rPr>
          <w:rFonts w:ascii="Arial" w:hAnsi="Arial" w:cs="Arial"/>
          <w:sz w:val="22"/>
          <w:szCs w:val="22"/>
        </w:rPr>
        <w:t xml:space="preserve">Appointment of CIPs: </w:t>
      </w:r>
      <w:r w:rsidR="00D96B36">
        <w:rPr>
          <w:rFonts w:ascii="Arial" w:hAnsi="Arial" w:cs="Arial"/>
          <w:sz w:val="22"/>
          <w:szCs w:val="22"/>
        </w:rPr>
        <w:t xml:space="preserve">In the present case Mr. Relations has along standing person relationship with the directors and moreover has expressly stated that he would act in the interest of </w:t>
      </w:r>
      <w:r w:rsidR="00FF3E93">
        <w:rPr>
          <w:rFonts w:ascii="Arial" w:hAnsi="Arial" w:cs="Arial"/>
          <w:sz w:val="22"/>
          <w:szCs w:val="22"/>
        </w:rPr>
        <w:t>shareholders over the interest of the creditors</w:t>
      </w:r>
      <w:r w:rsidR="00D96B36">
        <w:rPr>
          <w:rFonts w:ascii="Arial" w:hAnsi="Arial" w:cs="Arial"/>
          <w:sz w:val="22"/>
          <w:szCs w:val="22"/>
        </w:rPr>
        <w:t xml:space="preserve">. </w:t>
      </w:r>
      <w:r>
        <w:rPr>
          <w:rFonts w:ascii="Arial" w:hAnsi="Arial" w:cs="Arial"/>
          <w:sz w:val="22"/>
          <w:szCs w:val="22"/>
        </w:rPr>
        <w:t xml:space="preserve">The </w:t>
      </w:r>
      <w:r w:rsidR="00FF3E93">
        <w:rPr>
          <w:rFonts w:ascii="Arial" w:hAnsi="Arial" w:cs="Arial"/>
          <w:sz w:val="22"/>
          <w:szCs w:val="22"/>
        </w:rPr>
        <w:t xml:space="preserve">CIP </w:t>
      </w:r>
      <w:r>
        <w:rPr>
          <w:rFonts w:ascii="Arial" w:hAnsi="Arial" w:cs="Arial"/>
          <w:sz w:val="22"/>
          <w:szCs w:val="22"/>
        </w:rPr>
        <w:t xml:space="preserve">must </w:t>
      </w:r>
      <w:r w:rsidR="00FF3E93">
        <w:rPr>
          <w:rFonts w:ascii="Arial" w:hAnsi="Arial" w:cs="Arial"/>
          <w:sz w:val="22"/>
          <w:szCs w:val="22"/>
        </w:rPr>
        <w:t>at all times operate a</w:t>
      </w:r>
      <w:r>
        <w:rPr>
          <w:rFonts w:ascii="Arial" w:hAnsi="Arial" w:cs="Arial"/>
          <w:sz w:val="22"/>
          <w:szCs w:val="22"/>
        </w:rPr>
        <w:t xml:space="preserve">s an independent entity who must act in a manner to balance the interests of all the stakeholders and not any one particular class of stakeholders. </w:t>
      </w:r>
      <w:r w:rsidR="002B0A00">
        <w:rPr>
          <w:rFonts w:ascii="Arial" w:hAnsi="Arial" w:cs="Arial"/>
          <w:sz w:val="22"/>
          <w:szCs w:val="22"/>
        </w:rPr>
        <w:t xml:space="preserve">However, in this case Mr. Relation has deliberately covered up the malfeasance of the existing management of the </w:t>
      </w:r>
      <w:r w:rsidR="001E5307">
        <w:rPr>
          <w:rFonts w:ascii="Arial" w:hAnsi="Arial" w:cs="Arial"/>
          <w:sz w:val="22"/>
          <w:szCs w:val="22"/>
        </w:rPr>
        <w:t xml:space="preserve">company and thereby aided in the diversion of funds that could’ve been used to repay or even rescue the company. </w:t>
      </w:r>
      <w:r w:rsidR="009E7319">
        <w:rPr>
          <w:rFonts w:ascii="Arial" w:hAnsi="Arial" w:cs="Arial"/>
          <w:sz w:val="22"/>
          <w:szCs w:val="22"/>
        </w:rPr>
        <w:t xml:space="preserve">Moreover, considering the deliberate concealing of facts in the given factual matrix, the fact that a declaration of the interest of the CIP was given is not enough to attest to his independence and impartiality. </w:t>
      </w:r>
      <w:r w:rsidR="006B6DA8">
        <w:rPr>
          <w:rFonts w:ascii="Arial" w:hAnsi="Arial" w:cs="Arial"/>
          <w:sz w:val="22"/>
          <w:szCs w:val="22"/>
        </w:rPr>
        <w:t>This was discussed at length in t</w:t>
      </w:r>
      <w:r w:rsidR="006B6DA8">
        <w:rPr>
          <w:rFonts w:ascii="Arial" w:hAnsi="Arial" w:cs="Arial"/>
          <w:sz w:val="22"/>
          <w:szCs w:val="22"/>
        </w:rPr>
        <w:t>he matter of Commonwealth Bank of Australia v. Irving, wherein the chartered accountant Mr. Irving had a long-standing relationship with one of the erstwhile directors of the company Mr. Townsend. Mr. Irving had also provided consultation services to the company regarding its financial position. Although, Mr. Irving had disclosed his prior relationship to the directors of the company and there was no factual evidence to prove any impropriety but the situation was exacerbated by Mr. Townsend’s law firm acting as Mr. Irving’s legal counsels in the matter. Therefore, although individually the facts do not seem to affect the independence and impartiality of Mr. Irving but any informed observer may come to an alternate conclusion due to the longstanding personal and professional relationship that strikes at the root of the matter between Mr. Irving and Mr. Townsend</w:t>
      </w:r>
      <w:r w:rsidR="001C5774">
        <w:rPr>
          <w:rFonts w:ascii="Arial" w:hAnsi="Arial" w:cs="Arial"/>
          <w:sz w:val="22"/>
          <w:szCs w:val="22"/>
        </w:rPr>
        <w:t xml:space="preserve">. </w:t>
      </w:r>
    </w:p>
    <w:p w14:paraId="73A71945" w14:textId="77777777" w:rsidR="003A5B56" w:rsidRDefault="003A5B56" w:rsidP="003A5B56">
      <w:pPr>
        <w:pStyle w:val="ListParagraph"/>
        <w:ind w:left="1080"/>
        <w:jc w:val="both"/>
        <w:rPr>
          <w:rFonts w:ascii="Arial" w:hAnsi="Arial" w:cs="Arial"/>
          <w:sz w:val="22"/>
          <w:szCs w:val="22"/>
        </w:rPr>
      </w:pPr>
    </w:p>
    <w:p w14:paraId="6C8157E3" w14:textId="1E1BCDD7" w:rsidR="003A5B56" w:rsidRDefault="0027766D" w:rsidP="003A5B56">
      <w:pPr>
        <w:pStyle w:val="ListParagraph"/>
        <w:numPr>
          <w:ilvl w:val="0"/>
          <w:numId w:val="24"/>
        </w:numPr>
        <w:jc w:val="both"/>
        <w:rPr>
          <w:rFonts w:ascii="Arial" w:hAnsi="Arial" w:cs="Arial"/>
          <w:sz w:val="22"/>
          <w:szCs w:val="22"/>
        </w:rPr>
      </w:pPr>
      <w:r>
        <w:rPr>
          <w:rFonts w:ascii="Arial" w:hAnsi="Arial" w:cs="Arial"/>
          <w:sz w:val="22"/>
          <w:szCs w:val="22"/>
        </w:rPr>
        <w:t xml:space="preserve">Subsequent appointments: </w:t>
      </w:r>
      <w:r w:rsidR="003A5B56">
        <w:rPr>
          <w:rFonts w:ascii="Arial" w:hAnsi="Arial" w:cs="Arial"/>
          <w:sz w:val="22"/>
          <w:szCs w:val="22"/>
        </w:rPr>
        <w:t xml:space="preserve">This is a scenario wherein the same CIP is allowed to act in different insolvency capacities in relation to the same debtor company. </w:t>
      </w:r>
      <w:r>
        <w:rPr>
          <w:rFonts w:ascii="Arial" w:hAnsi="Arial" w:cs="Arial"/>
          <w:sz w:val="22"/>
          <w:szCs w:val="22"/>
        </w:rPr>
        <w:t>In the present case Mr. Relation is also proposed to be appointed as the liquidator. Subsequent appointments</w:t>
      </w:r>
      <w:r w:rsidR="003A5B56">
        <w:rPr>
          <w:rFonts w:ascii="Arial" w:hAnsi="Arial" w:cs="Arial"/>
          <w:sz w:val="22"/>
          <w:szCs w:val="22"/>
        </w:rPr>
        <w:t xml:space="preserve"> pose a problem in relation to independence and impartiality due to self-review and self-interest threats that is creates. The self-review threat refers to a situation where a CIP who was involved in decision making at the earlier stages of the process would not be able to evaluate the results of previous judgements made or services rendered.</w:t>
      </w:r>
      <w:r>
        <w:rPr>
          <w:rFonts w:ascii="Arial" w:hAnsi="Arial" w:cs="Arial"/>
          <w:sz w:val="22"/>
          <w:szCs w:val="22"/>
        </w:rPr>
        <w:t xml:space="preserve"> In this case, the the cover-up by Mr. Relation by aiding the directors from any liability for breach of duty shall not be rectified even at the liquidation stage. </w:t>
      </w:r>
      <w:r w:rsidR="003A5B56">
        <w:rPr>
          <w:rFonts w:ascii="Arial" w:hAnsi="Arial" w:cs="Arial"/>
          <w:sz w:val="22"/>
          <w:szCs w:val="22"/>
        </w:rPr>
        <w:t xml:space="preserve"> The self-interest threat relates to the issue of remuneration of the CIP.</w:t>
      </w:r>
      <w:r>
        <w:rPr>
          <w:rFonts w:ascii="Arial" w:hAnsi="Arial" w:cs="Arial"/>
          <w:sz w:val="22"/>
          <w:szCs w:val="22"/>
        </w:rPr>
        <w:t xml:space="preserve"> Since Mr. Relation has been </w:t>
      </w:r>
      <w:r>
        <w:rPr>
          <w:rFonts w:ascii="Arial" w:hAnsi="Arial" w:cs="Arial"/>
          <w:sz w:val="22"/>
          <w:szCs w:val="22"/>
        </w:rPr>
        <w:lastRenderedPageBreak/>
        <w:t xml:space="preserve">involved in the matter from the very inception and since he took substantial risk in covering up the malfeasance of the directors, there is a high likelihood of  him claiming a unscrupulous amount as his professional fees.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1"/>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FD62" w14:textId="77777777" w:rsidR="003E7BAF" w:rsidRDefault="003E7BAF" w:rsidP="00241B44">
      <w:r>
        <w:separator/>
      </w:r>
    </w:p>
  </w:endnote>
  <w:endnote w:type="continuationSeparator" w:id="0">
    <w:p w14:paraId="6B8FFC0D" w14:textId="77777777" w:rsidR="003E7BAF" w:rsidRDefault="003E7B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06555" w:rsidRPr="00FC7B47" w:rsidRDefault="0010655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06555" w:rsidRPr="00FC7B47" w:rsidRDefault="0010655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C04C5F6" w:rsidR="00106555" w:rsidRPr="009B4976" w:rsidRDefault="00106555" w:rsidP="0010655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467EA">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30F05E79" w14:textId="031A7A0B" w:rsidR="00106555" w:rsidRPr="009B4976" w:rsidRDefault="00106555"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9.docx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8829" w14:textId="77777777" w:rsidR="003E7BAF" w:rsidRDefault="003E7BAF" w:rsidP="00241B44">
      <w:r>
        <w:separator/>
      </w:r>
    </w:p>
  </w:footnote>
  <w:footnote w:type="continuationSeparator" w:id="0">
    <w:p w14:paraId="2594A025" w14:textId="77777777" w:rsidR="003E7BAF" w:rsidRDefault="003E7B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B2D29"/>
    <w:multiLevelType w:val="hybridMultilevel"/>
    <w:tmpl w:val="B46C3A36"/>
    <w:lvl w:ilvl="0" w:tplc="E3EEA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E5CBF"/>
    <w:multiLevelType w:val="hybridMultilevel"/>
    <w:tmpl w:val="DA7C594A"/>
    <w:lvl w:ilvl="0" w:tplc="BBA8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75850"/>
    <w:multiLevelType w:val="hybridMultilevel"/>
    <w:tmpl w:val="F9CA5CCC"/>
    <w:lvl w:ilvl="0" w:tplc="BC36E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10842"/>
    <w:multiLevelType w:val="hybridMultilevel"/>
    <w:tmpl w:val="F9CA5CCC"/>
    <w:lvl w:ilvl="0" w:tplc="BC36E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5C525A"/>
    <w:multiLevelType w:val="hybridMultilevel"/>
    <w:tmpl w:val="F9CA5CCC"/>
    <w:lvl w:ilvl="0" w:tplc="BC36E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2"/>
  </w:num>
  <w:num w:numId="5">
    <w:abstractNumId w:val="22"/>
  </w:num>
  <w:num w:numId="6">
    <w:abstractNumId w:val="23"/>
  </w:num>
  <w:num w:numId="7">
    <w:abstractNumId w:val="24"/>
  </w:num>
  <w:num w:numId="8">
    <w:abstractNumId w:val="19"/>
  </w:num>
  <w:num w:numId="9">
    <w:abstractNumId w:val="15"/>
  </w:num>
  <w:num w:numId="10">
    <w:abstractNumId w:val="3"/>
  </w:num>
  <w:num w:numId="11">
    <w:abstractNumId w:val="9"/>
  </w:num>
  <w:num w:numId="12">
    <w:abstractNumId w:val="7"/>
  </w:num>
  <w:num w:numId="13">
    <w:abstractNumId w:val="18"/>
  </w:num>
  <w:num w:numId="14">
    <w:abstractNumId w:val="2"/>
  </w:num>
  <w:num w:numId="15">
    <w:abstractNumId w:val="11"/>
  </w:num>
  <w:num w:numId="16">
    <w:abstractNumId w:val="17"/>
  </w:num>
  <w:num w:numId="17">
    <w:abstractNumId w:val="0"/>
  </w:num>
  <w:num w:numId="18">
    <w:abstractNumId w:val="20"/>
  </w:num>
  <w:num w:numId="19">
    <w:abstractNumId w:val="16"/>
  </w:num>
  <w:num w:numId="20">
    <w:abstractNumId w:val="1"/>
  </w:num>
  <w:num w:numId="21">
    <w:abstractNumId w:val="4"/>
  </w:num>
  <w:num w:numId="22">
    <w:abstractNumId w:val="14"/>
  </w:num>
  <w:num w:numId="23">
    <w:abstractNumId w:val="5"/>
  </w:num>
  <w:num w:numId="24">
    <w:abstractNumId w:val="2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57515"/>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06555"/>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25F0"/>
    <w:rsid w:val="001C45FC"/>
    <w:rsid w:val="001C5774"/>
    <w:rsid w:val="001D0469"/>
    <w:rsid w:val="001D29C0"/>
    <w:rsid w:val="001D4862"/>
    <w:rsid w:val="001E172D"/>
    <w:rsid w:val="001E25B9"/>
    <w:rsid w:val="001E49E0"/>
    <w:rsid w:val="001E5307"/>
    <w:rsid w:val="001E7B5A"/>
    <w:rsid w:val="001F7412"/>
    <w:rsid w:val="0020090A"/>
    <w:rsid w:val="00202DFE"/>
    <w:rsid w:val="0020725B"/>
    <w:rsid w:val="002110F1"/>
    <w:rsid w:val="0022120D"/>
    <w:rsid w:val="00233445"/>
    <w:rsid w:val="002356EA"/>
    <w:rsid w:val="0024116D"/>
    <w:rsid w:val="00241B44"/>
    <w:rsid w:val="00241FA3"/>
    <w:rsid w:val="00245EFB"/>
    <w:rsid w:val="002460B1"/>
    <w:rsid w:val="0025386E"/>
    <w:rsid w:val="002577C4"/>
    <w:rsid w:val="002638B0"/>
    <w:rsid w:val="0026647A"/>
    <w:rsid w:val="002668D3"/>
    <w:rsid w:val="00271C12"/>
    <w:rsid w:val="0027299F"/>
    <w:rsid w:val="0027766D"/>
    <w:rsid w:val="00284EBE"/>
    <w:rsid w:val="00285871"/>
    <w:rsid w:val="002903A7"/>
    <w:rsid w:val="0029433F"/>
    <w:rsid w:val="00294829"/>
    <w:rsid w:val="0029690F"/>
    <w:rsid w:val="00297C8A"/>
    <w:rsid w:val="002A2A60"/>
    <w:rsid w:val="002A37BB"/>
    <w:rsid w:val="002B0A00"/>
    <w:rsid w:val="002B1C45"/>
    <w:rsid w:val="002B4D68"/>
    <w:rsid w:val="002B6E45"/>
    <w:rsid w:val="002C13C8"/>
    <w:rsid w:val="002C3547"/>
    <w:rsid w:val="002C5F61"/>
    <w:rsid w:val="002D0021"/>
    <w:rsid w:val="002D17D1"/>
    <w:rsid w:val="002D299D"/>
    <w:rsid w:val="002D3473"/>
    <w:rsid w:val="002D5D08"/>
    <w:rsid w:val="002E2B14"/>
    <w:rsid w:val="002F1956"/>
    <w:rsid w:val="002F3440"/>
    <w:rsid w:val="002F4FC2"/>
    <w:rsid w:val="002F75A3"/>
    <w:rsid w:val="00303C2F"/>
    <w:rsid w:val="003144EF"/>
    <w:rsid w:val="00325EC8"/>
    <w:rsid w:val="00326292"/>
    <w:rsid w:val="00326415"/>
    <w:rsid w:val="00330937"/>
    <w:rsid w:val="00330F31"/>
    <w:rsid w:val="00334648"/>
    <w:rsid w:val="0033768C"/>
    <w:rsid w:val="00337938"/>
    <w:rsid w:val="00340769"/>
    <w:rsid w:val="00341AA6"/>
    <w:rsid w:val="00361A0A"/>
    <w:rsid w:val="00364836"/>
    <w:rsid w:val="0036565C"/>
    <w:rsid w:val="0036625E"/>
    <w:rsid w:val="003735B0"/>
    <w:rsid w:val="0037465A"/>
    <w:rsid w:val="00382C98"/>
    <w:rsid w:val="0038533C"/>
    <w:rsid w:val="00386568"/>
    <w:rsid w:val="00390B57"/>
    <w:rsid w:val="00391384"/>
    <w:rsid w:val="003948D5"/>
    <w:rsid w:val="00396821"/>
    <w:rsid w:val="00397D3A"/>
    <w:rsid w:val="003A051E"/>
    <w:rsid w:val="003A29B7"/>
    <w:rsid w:val="003A5B56"/>
    <w:rsid w:val="003B170F"/>
    <w:rsid w:val="003B3C5F"/>
    <w:rsid w:val="003C4471"/>
    <w:rsid w:val="003D0A6D"/>
    <w:rsid w:val="003E0B16"/>
    <w:rsid w:val="003E67D1"/>
    <w:rsid w:val="003E7BAF"/>
    <w:rsid w:val="00403FEE"/>
    <w:rsid w:val="00404329"/>
    <w:rsid w:val="00405DC1"/>
    <w:rsid w:val="004152EE"/>
    <w:rsid w:val="00415F1F"/>
    <w:rsid w:val="0042108F"/>
    <w:rsid w:val="004216C5"/>
    <w:rsid w:val="0042466C"/>
    <w:rsid w:val="00430FED"/>
    <w:rsid w:val="00434A8C"/>
    <w:rsid w:val="00437297"/>
    <w:rsid w:val="00444284"/>
    <w:rsid w:val="00445CE6"/>
    <w:rsid w:val="00452C6A"/>
    <w:rsid w:val="004534C2"/>
    <w:rsid w:val="00453730"/>
    <w:rsid w:val="0045446F"/>
    <w:rsid w:val="0045683E"/>
    <w:rsid w:val="00477C72"/>
    <w:rsid w:val="004807F1"/>
    <w:rsid w:val="00491675"/>
    <w:rsid w:val="00493855"/>
    <w:rsid w:val="004948AB"/>
    <w:rsid w:val="00495E79"/>
    <w:rsid w:val="004A2D83"/>
    <w:rsid w:val="004A53E8"/>
    <w:rsid w:val="004A57DD"/>
    <w:rsid w:val="004A7B51"/>
    <w:rsid w:val="004A7D71"/>
    <w:rsid w:val="004A7EF3"/>
    <w:rsid w:val="004B11FD"/>
    <w:rsid w:val="004B23A2"/>
    <w:rsid w:val="004D1A5A"/>
    <w:rsid w:val="004D2C62"/>
    <w:rsid w:val="004D2FFF"/>
    <w:rsid w:val="004D3721"/>
    <w:rsid w:val="004D64F9"/>
    <w:rsid w:val="004E3A6B"/>
    <w:rsid w:val="004E43FC"/>
    <w:rsid w:val="004E622C"/>
    <w:rsid w:val="004F3B38"/>
    <w:rsid w:val="004F50CD"/>
    <w:rsid w:val="004F5FDF"/>
    <w:rsid w:val="00501270"/>
    <w:rsid w:val="005177FE"/>
    <w:rsid w:val="0052263B"/>
    <w:rsid w:val="00524728"/>
    <w:rsid w:val="00532B07"/>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58EC"/>
    <w:rsid w:val="00677AEB"/>
    <w:rsid w:val="00680EF2"/>
    <w:rsid w:val="00687A1D"/>
    <w:rsid w:val="00692904"/>
    <w:rsid w:val="00697EA1"/>
    <w:rsid w:val="006A1258"/>
    <w:rsid w:val="006A2646"/>
    <w:rsid w:val="006A6530"/>
    <w:rsid w:val="006B1AA4"/>
    <w:rsid w:val="006B435A"/>
    <w:rsid w:val="006B4C64"/>
    <w:rsid w:val="006B6DA8"/>
    <w:rsid w:val="006D6BD5"/>
    <w:rsid w:val="006E3CEF"/>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41D99"/>
    <w:rsid w:val="0086135B"/>
    <w:rsid w:val="00866895"/>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40D34"/>
    <w:rsid w:val="00942123"/>
    <w:rsid w:val="00944443"/>
    <w:rsid w:val="0095207B"/>
    <w:rsid w:val="00962045"/>
    <w:rsid w:val="009671D2"/>
    <w:rsid w:val="00980E61"/>
    <w:rsid w:val="00980F45"/>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319"/>
    <w:rsid w:val="009F275E"/>
    <w:rsid w:val="00A047EE"/>
    <w:rsid w:val="00A2274A"/>
    <w:rsid w:val="00A235B7"/>
    <w:rsid w:val="00A27A7A"/>
    <w:rsid w:val="00A34ABE"/>
    <w:rsid w:val="00A37300"/>
    <w:rsid w:val="00A407EF"/>
    <w:rsid w:val="00A40CCE"/>
    <w:rsid w:val="00A467EA"/>
    <w:rsid w:val="00A46B4C"/>
    <w:rsid w:val="00A5117B"/>
    <w:rsid w:val="00A56D34"/>
    <w:rsid w:val="00A60074"/>
    <w:rsid w:val="00A657E9"/>
    <w:rsid w:val="00A6627C"/>
    <w:rsid w:val="00A71019"/>
    <w:rsid w:val="00A81029"/>
    <w:rsid w:val="00A845F5"/>
    <w:rsid w:val="00A9419A"/>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0D28"/>
    <w:rsid w:val="00B44713"/>
    <w:rsid w:val="00B44F0F"/>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B5518"/>
    <w:rsid w:val="00BC285B"/>
    <w:rsid w:val="00BE4FF3"/>
    <w:rsid w:val="00BF50F7"/>
    <w:rsid w:val="00C02F29"/>
    <w:rsid w:val="00C10B1A"/>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0249A"/>
    <w:rsid w:val="00D148DC"/>
    <w:rsid w:val="00D16B38"/>
    <w:rsid w:val="00D17FDC"/>
    <w:rsid w:val="00D21D8C"/>
    <w:rsid w:val="00D25CBC"/>
    <w:rsid w:val="00D53719"/>
    <w:rsid w:val="00D63EFD"/>
    <w:rsid w:val="00D84579"/>
    <w:rsid w:val="00D84752"/>
    <w:rsid w:val="00D86B3B"/>
    <w:rsid w:val="00D8748A"/>
    <w:rsid w:val="00D93196"/>
    <w:rsid w:val="00D96B36"/>
    <w:rsid w:val="00DA0DC0"/>
    <w:rsid w:val="00DB243C"/>
    <w:rsid w:val="00DB482A"/>
    <w:rsid w:val="00DB50FB"/>
    <w:rsid w:val="00DB56F2"/>
    <w:rsid w:val="00DB6B04"/>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55950"/>
    <w:rsid w:val="00E6302B"/>
    <w:rsid w:val="00E6362C"/>
    <w:rsid w:val="00E6452F"/>
    <w:rsid w:val="00E64F45"/>
    <w:rsid w:val="00E6742D"/>
    <w:rsid w:val="00E67D42"/>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B85"/>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3E9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6A98-B7D4-4BE9-93AB-ADA971CD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IC Universal Legal</cp:lastModifiedBy>
  <cp:revision>69</cp:revision>
  <cp:lastPrinted>2019-08-27T05:42:00Z</cp:lastPrinted>
  <dcterms:created xsi:type="dcterms:W3CDTF">2020-12-11T11:56:00Z</dcterms:created>
  <dcterms:modified xsi:type="dcterms:W3CDTF">2021-07-29T16:16:00Z</dcterms:modified>
</cp:coreProperties>
</file>