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w:t>
      </w:r>
      <w:proofErr w:type="gramStart"/>
      <w:r w:rsidRPr="00CA448F">
        <w:rPr>
          <w:rFonts w:ascii="Arial" w:hAnsi="Arial" w:cs="Arial"/>
          <w:sz w:val="22"/>
          <w:szCs w:val="22"/>
          <w:lang w:val="en-GB"/>
        </w:rPr>
        <w:t>are</w:t>
      </w:r>
      <w:proofErr w:type="gramEnd"/>
      <w:r w:rsidRPr="00CA448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051077" w:rsidRDefault="002073B6" w:rsidP="00640623">
      <w:pPr>
        <w:pStyle w:val="ListParagraph"/>
        <w:numPr>
          <w:ilvl w:val="0"/>
          <w:numId w:val="9"/>
        </w:numPr>
        <w:ind w:left="426" w:hanging="426"/>
        <w:rPr>
          <w:rFonts w:ascii="Arial" w:hAnsi="Arial" w:cs="Arial"/>
          <w:bCs/>
          <w:sz w:val="22"/>
          <w:szCs w:val="22"/>
          <w:highlight w:val="yellow"/>
          <w:lang w:val="en-GB"/>
        </w:rPr>
      </w:pPr>
      <w:r w:rsidRPr="00051077">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Pr="00565332" w:rsidRDefault="002073B6" w:rsidP="00640623">
      <w:pPr>
        <w:pStyle w:val="ListParagraph"/>
        <w:numPr>
          <w:ilvl w:val="0"/>
          <w:numId w:val="11"/>
        </w:numPr>
        <w:ind w:left="426" w:hanging="426"/>
        <w:rPr>
          <w:rFonts w:ascii="Arial" w:hAnsi="Arial" w:cs="Arial"/>
          <w:sz w:val="22"/>
          <w:szCs w:val="22"/>
          <w:highlight w:val="yellow"/>
          <w:lang w:val="en-GB"/>
        </w:rPr>
      </w:pPr>
      <w:r w:rsidRPr="00565332">
        <w:rPr>
          <w:rFonts w:ascii="Arial" w:hAnsi="Arial" w:cs="Arial"/>
          <w:sz w:val="22"/>
          <w:szCs w:val="22"/>
          <w:highlight w:val="yellow"/>
          <w:lang w:val="en-GB"/>
        </w:rPr>
        <w:t>The insolvency laws of the financial centres have no application and cannot be enforced in the UAE “mainland” (</w:t>
      </w:r>
      <w:r w:rsidR="00E74ECD" w:rsidRPr="00565332">
        <w:rPr>
          <w:rFonts w:ascii="Arial" w:hAnsi="Arial" w:cs="Arial"/>
          <w:sz w:val="22"/>
          <w:szCs w:val="22"/>
          <w:highlight w:val="yellow"/>
          <w:lang w:val="en-GB"/>
        </w:rPr>
        <w:t xml:space="preserve">that is, </w:t>
      </w:r>
      <w:r w:rsidRPr="00565332">
        <w:rPr>
          <w:rFonts w:ascii="Arial" w:hAnsi="Arial" w:cs="Arial"/>
          <w:sz w:val="22"/>
          <w:szCs w:val="22"/>
          <w:highlight w:val="yellow"/>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565332" w:rsidRDefault="002073B6" w:rsidP="00640623">
      <w:pPr>
        <w:pStyle w:val="ListParagraph"/>
        <w:numPr>
          <w:ilvl w:val="0"/>
          <w:numId w:val="13"/>
        </w:numPr>
        <w:ind w:left="426" w:hanging="426"/>
        <w:rPr>
          <w:rFonts w:ascii="Arial" w:hAnsi="Arial" w:cs="Arial"/>
          <w:bCs/>
          <w:sz w:val="22"/>
          <w:szCs w:val="22"/>
          <w:highlight w:val="yellow"/>
          <w:lang w:val="en-GB"/>
        </w:rPr>
      </w:pPr>
      <w:r w:rsidRPr="00565332">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565332" w:rsidRDefault="008D1432" w:rsidP="00640623">
      <w:pPr>
        <w:pStyle w:val="ListParagraph"/>
        <w:numPr>
          <w:ilvl w:val="0"/>
          <w:numId w:val="15"/>
        </w:numPr>
        <w:ind w:left="426" w:hanging="426"/>
        <w:rPr>
          <w:rFonts w:ascii="Arial" w:hAnsi="Arial" w:cs="Arial"/>
          <w:bCs/>
          <w:sz w:val="22"/>
          <w:szCs w:val="22"/>
          <w:highlight w:val="yellow"/>
          <w:lang w:val="en-GB"/>
        </w:rPr>
      </w:pPr>
      <w:r w:rsidRPr="00565332">
        <w:rPr>
          <w:rFonts w:ascii="Arial" w:hAnsi="Arial" w:cs="Arial"/>
          <w:bCs/>
          <w:sz w:val="22"/>
          <w:szCs w:val="22"/>
          <w:highlight w:val="yellow"/>
          <w:lang w:val="en-GB"/>
        </w:rPr>
        <w:t>True</w:t>
      </w:r>
      <w:r w:rsidR="002073B6" w:rsidRPr="00565332">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051077" w:rsidRDefault="002073B6" w:rsidP="00640623">
      <w:pPr>
        <w:pStyle w:val="ListParagraph"/>
        <w:numPr>
          <w:ilvl w:val="0"/>
          <w:numId w:val="17"/>
        </w:numPr>
        <w:ind w:left="426" w:hanging="426"/>
        <w:rPr>
          <w:rFonts w:ascii="Arial" w:hAnsi="Arial" w:cs="Arial"/>
          <w:bCs/>
          <w:sz w:val="22"/>
          <w:szCs w:val="22"/>
          <w:highlight w:val="yellow"/>
          <w:lang w:val="en-GB"/>
        </w:rPr>
      </w:pPr>
      <w:r w:rsidRPr="00051077">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051077" w:rsidRDefault="002073B6" w:rsidP="00640623">
      <w:pPr>
        <w:pStyle w:val="ListParagraph"/>
        <w:numPr>
          <w:ilvl w:val="0"/>
          <w:numId w:val="18"/>
        </w:numPr>
        <w:ind w:left="426" w:hanging="426"/>
        <w:rPr>
          <w:rFonts w:ascii="Arial" w:hAnsi="Arial" w:cs="Arial"/>
          <w:bCs/>
          <w:sz w:val="22"/>
          <w:szCs w:val="22"/>
          <w:highlight w:val="yellow"/>
          <w:lang w:val="en-GB"/>
        </w:rPr>
      </w:pPr>
      <w:r w:rsidRPr="00051077">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323BB1" w:rsidRDefault="002073B6" w:rsidP="00640623">
      <w:pPr>
        <w:pStyle w:val="ListParagraph"/>
        <w:numPr>
          <w:ilvl w:val="0"/>
          <w:numId w:val="20"/>
        </w:numPr>
        <w:ind w:left="426" w:hanging="426"/>
        <w:rPr>
          <w:rFonts w:ascii="Arial" w:hAnsi="Arial" w:cs="Arial"/>
          <w:bCs/>
          <w:sz w:val="22"/>
          <w:szCs w:val="22"/>
          <w:highlight w:val="yellow"/>
          <w:lang w:val="en-GB"/>
        </w:rPr>
      </w:pPr>
      <w:r w:rsidRPr="00323BB1">
        <w:rPr>
          <w:rFonts w:ascii="Arial" w:hAnsi="Arial" w:cs="Arial"/>
          <w:bCs/>
          <w:sz w:val="22"/>
          <w:szCs w:val="22"/>
          <w:highlight w:val="yellow"/>
          <w:lang w:val="en-GB"/>
        </w:rPr>
        <w:t xml:space="preserve">Interest on debts owed by the debtor stops accruing on the date of commencement of Preventive Composition. </w:t>
      </w:r>
      <w:r w:rsidRPr="00323BB1">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323BB1" w:rsidRDefault="002073B6" w:rsidP="00640623">
      <w:pPr>
        <w:pStyle w:val="ListParagraph"/>
        <w:numPr>
          <w:ilvl w:val="0"/>
          <w:numId w:val="22"/>
        </w:numPr>
        <w:ind w:left="426" w:hanging="426"/>
        <w:rPr>
          <w:rFonts w:ascii="Arial" w:hAnsi="Arial" w:cs="Arial"/>
          <w:bCs/>
          <w:sz w:val="22"/>
          <w:szCs w:val="22"/>
          <w:highlight w:val="yellow"/>
          <w:lang w:val="en-GB"/>
        </w:rPr>
      </w:pPr>
      <w:r w:rsidRPr="00323BB1">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717EE7" w:rsidRDefault="00BA06CC" w:rsidP="00640623">
      <w:pPr>
        <w:pStyle w:val="ListParagraph"/>
        <w:numPr>
          <w:ilvl w:val="0"/>
          <w:numId w:val="24"/>
        </w:numPr>
        <w:ind w:left="426" w:hanging="426"/>
        <w:rPr>
          <w:rFonts w:ascii="Arial" w:hAnsi="Arial" w:cs="Arial"/>
          <w:bCs/>
          <w:sz w:val="22"/>
          <w:szCs w:val="22"/>
          <w:highlight w:val="yellow"/>
          <w:lang w:val="en-GB"/>
        </w:rPr>
      </w:pPr>
      <w:r w:rsidRPr="00717EE7">
        <w:rPr>
          <w:rFonts w:ascii="Arial" w:hAnsi="Arial" w:cs="Arial"/>
          <w:sz w:val="22"/>
          <w:szCs w:val="22"/>
          <w:highlight w:val="yellow"/>
        </w:rPr>
        <w:t>A</w:t>
      </w:r>
      <w:r w:rsidR="00F80E9B" w:rsidRPr="00717EE7">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717EE7">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Pr="00717EE7" w:rsidRDefault="002073B6" w:rsidP="00640623">
      <w:pPr>
        <w:pStyle w:val="ListParagraph"/>
        <w:numPr>
          <w:ilvl w:val="0"/>
          <w:numId w:val="25"/>
        </w:numPr>
        <w:ind w:left="426" w:hanging="426"/>
        <w:rPr>
          <w:rFonts w:ascii="Arial" w:hAnsi="Arial" w:cs="Arial"/>
          <w:bCs/>
          <w:sz w:val="22"/>
          <w:szCs w:val="22"/>
          <w:highlight w:val="yellow"/>
          <w:lang w:val="en-GB"/>
        </w:rPr>
      </w:pPr>
      <w:r w:rsidRPr="00717EE7">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2D2F9A91" w14:textId="0D3819F9" w:rsidR="00941102" w:rsidRDefault="00941102" w:rsidP="00941102">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key point of distinction in the registration of real property interests across the UAE is that each emirate operates its own system in registering land. This then results in different laws and procedures for registration of real property interests although the</w:t>
      </w:r>
      <w:r w:rsidR="004C283B">
        <w:rPr>
          <w:rFonts w:ascii="Arial" w:hAnsi="Arial" w:cs="Arial"/>
          <w:color w:val="808080" w:themeColor="background1" w:themeShade="80"/>
          <w:sz w:val="22"/>
          <w:szCs w:val="22"/>
          <w:lang w:val="en-GB"/>
        </w:rPr>
        <w:t xml:space="preserve"> laws</w:t>
      </w:r>
      <w:r>
        <w:rPr>
          <w:rFonts w:ascii="Arial" w:hAnsi="Arial" w:cs="Arial"/>
          <w:color w:val="808080" w:themeColor="background1" w:themeShade="80"/>
          <w:sz w:val="22"/>
          <w:szCs w:val="22"/>
          <w:lang w:val="en-GB"/>
        </w:rPr>
        <w:t xml:space="preserve"> may all share a number of similarities.</w:t>
      </w:r>
    </w:p>
    <w:p w14:paraId="1B1C85C3" w14:textId="77777777" w:rsidR="00941102" w:rsidRDefault="00941102" w:rsidP="00941102">
      <w:pPr>
        <w:rPr>
          <w:rFonts w:ascii="Arial" w:hAnsi="Arial" w:cs="Arial"/>
          <w:color w:val="808080" w:themeColor="background1" w:themeShade="80"/>
          <w:sz w:val="22"/>
          <w:szCs w:val="22"/>
          <w:lang w:val="en-GB"/>
        </w:rPr>
      </w:pPr>
    </w:p>
    <w:p w14:paraId="0A17D9AF" w14:textId="79A98151" w:rsidR="00A334F9" w:rsidRPr="00CA448F" w:rsidRDefault="00B61F57" w:rsidP="00941102">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between the </w:t>
      </w:r>
      <w:proofErr w:type="gramStart"/>
      <w:r>
        <w:rPr>
          <w:rFonts w:ascii="Arial" w:hAnsi="Arial" w:cs="Arial"/>
          <w:color w:val="808080" w:themeColor="background1" w:themeShade="80"/>
          <w:sz w:val="22"/>
          <w:szCs w:val="22"/>
          <w:lang w:val="en-GB"/>
        </w:rPr>
        <w:t>sale</w:t>
      </w:r>
      <w:proofErr w:type="gramEnd"/>
      <w:r>
        <w:rPr>
          <w:rFonts w:ascii="Arial" w:hAnsi="Arial" w:cs="Arial"/>
          <w:color w:val="808080" w:themeColor="background1" w:themeShade="80"/>
          <w:sz w:val="22"/>
          <w:szCs w:val="22"/>
          <w:lang w:val="en-GB"/>
        </w:rPr>
        <w:t xml:space="preserve"> of mortgaged real property following a debtor default in a financial free zone versus mainland UAE is that in the financial free zone, a creditor can take possession of the property through 60 days’ notice and sell the property (or take rent or profits) without a court order</w:t>
      </w:r>
      <w:r w:rsidR="004C283B">
        <w:rPr>
          <w:rFonts w:ascii="Arial" w:hAnsi="Arial" w:cs="Arial"/>
          <w:color w:val="808080" w:themeColor="background1" w:themeShade="80"/>
          <w:sz w:val="22"/>
          <w:szCs w:val="22"/>
          <w:lang w:val="en-GB"/>
        </w:rPr>
        <w:t>. W</w:t>
      </w:r>
      <w:r>
        <w:rPr>
          <w:rFonts w:ascii="Arial" w:hAnsi="Arial" w:cs="Arial"/>
          <w:color w:val="808080" w:themeColor="background1" w:themeShade="80"/>
          <w:sz w:val="22"/>
          <w:szCs w:val="22"/>
          <w:lang w:val="en-GB"/>
        </w:rPr>
        <w:t>hile in mainland UAE the sale of mortgaged property requires a court order and the sale is conducted by the Court’s execution department.</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w:t>
      </w:r>
      <w:proofErr w:type="gramStart"/>
      <w:r w:rsidRPr="00CA448F">
        <w:rPr>
          <w:rFonts w:ascii="Arial" w:hAnsi="Arial" w:cs="Arial"/>
          <w:sz w:val="22"/>
          <w:szCs w:val="22"/>
          <w:lang w:val="en-GB"/>
        </w:rPr>
        <w:t>following:</w:t>
      </w:r>
      <w:proofErr w:type="gramEnd"/>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7A6C8689" w:rsidR="00651151" w:rsidRDefault="004C283B"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w:t>
      </w:r>
      <w:r>
        <w:rPr>
          <w:rFonts w:ascii="Arial" w:hAnsi="Arial" w:cs="Arial"/>
          <w:color w:val="808080" w:themeColor="background1" w:themeShade="80"/>
          <w:sz w:val="22"/>
          <w:szCs w:val="22"/>
        </w:rPr>
        <w:tab/>
        <w:t>Court.</w:t>
      </w:r>
    </w:p>
    <w:p w14:paraId="557C3DE5" w14:textId="77777777" w:rsidR="004C283B" w:rsidRDefault="004C283B" w:rsidP="00640623">
      <w:pPr>
        <w:ind w:left="720" w:hanging="720"/>
        <w:rPr>
          <w:rFonts w:ascii="Arial" w:hAnsi="Arial" w:cs="Arial"/>
          <w:color w:val="808080" w:themeColor="background1" w:themeShade="80"/>
          <w:sz w:val="22"/>
          <w:szCs w:val="22"/>
        </w:rPr>
      </w:pPr>
    </w:p>
    <w:p w14:paraId="0B743F64" w14:textId="02DF3DA0" w:rsidR="004C283B" w:rsidRDefault="004C283B"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 </w:t>
      </w:r>
      <w:r>
        <w:rPr>
          <w:rFonts w:ascii="Arial" w:hAnsi="Arial" w:cs="Arial"/>
          <w:color w:val="808080" w:themeColor="background1" w:themeShade="80"/>
          <w:sz w:val="22"/>
          <w:szCs w:val="22"/>
        </w:rPr>
        <w:tab/>
        <w:t>Trustee.</w:t>
      </w:r>
    </w:p>
    <w:p w14:paraId="5044A907" w14:textId="77777777" w:rsidR="004C283B" w:rsidRDefault="004C283B" w:rsidP="00640623">
      <w:pPr>
        <w:ind w:left="720" w:hanging="720"/>
        <w:rPr>
          <w:rFonts w:ascii="Arial" w:hAnsi="Arial" w:cs="Arial"/>
          <w:color w:val="808080" w:themeColor="background1" w:themeShade="80"/>
          <w:sz w:val="22"/>
          <w:szCs w:val="22"/>
        </w:rPr>
      </w:pPr>
    </w:p>
    <w:p w14:paraId="14585BD6" w14:textId="1CAB122A" w:rsidR="004C283B" w:rsidRDefault="004C283B"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(c)</w:t>
      </w:r>
      <w:r>
        <w:rPr>
          <w:rFonts w:ascii="Arial" w:hAnsi="Arial" w:cs="Arial"/>
          <w:color w:val="808080" w:themeColor="background1" w:themeShade="80"/>
          <w:sz w:val="22"/>
          <w:szCs w:val="22"/>
        </w:rPr>
        <w:tab/>
        <w:t>Court.</w:t>
      </w:r>
    </w:p>
    <w:p w14:paraId="6B7C6A5B" w14:textId="77777777" w:rsidR="004C283B" w:rsidRDefault="004C283B" w:rsidP="00640623">
      <w:pPr>
        <w:ind w:left="720" w:hanging="720"/>
        <w:rPr>
          <w:rFonts w:ascii="Arial" w:hAnsi="Arial" w:cs="Arial"/>
          <w:color w:val="808080" w:themeColor="background1" w:themeShade="80"/>
          <w:sz w:val="22"/>
          <w:szCs w:val="22"/>
        </w:rPr>
      </w:pPr>
    </w:p>
    <w:p w14:paraId="26776741" w14:textId="04495A32" w:rsidR="004C283B" w:rsidRPr="00CA448F" w:rsidRDefault="004C283B"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(d)</w:t>
      </w:r>
      <w:r>
        <w:rPr>
          <w:rFonts w:ascii="Arial" w:hAnsi="Arial" w:cs="Arial"/>
          <w:color w:val="808080" w:themeColor="background1" w:themeShade="80"/>
          <w:sz w:val="22"/>
          <w:szCs w:val="22"/>
        </w:rPr>
        <w:tab/>
        <w:t>Trustee.</w:t>
      </w:r>
    </w:p>
    <w:p w14:paraId="64A03659" w14:textId="7151E7F2" w:rsidR="006F58B3" w:rsidRDefault="006F58B3"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1BC403EC" w14:textId="7FAAE82D" w:rsidR="00DA7503" w:rsidRDefault="00DA750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An application to commence </w:t>
      </w:r>
      <w:r w:rsidR="00DF5858">
        <w:rPr>
          <w:rFonts w:ascii="Arial" w:hAnsi="Arial" w:cs="Arial"/>
          <w:color w:val="808080" w:themeColor="background1" w:themeShade="80"/>
          <w:sz w:val="22"/>
          <w:szCs w:val="22"/>
          <w:lang w:val="en-GB"/>
        </w:rPr>
        <w:t>preventive c</w:t>
      </w:r>
      <w:r>
        <w:rPr>
          <w:rFonts w:ascii="Arial" w:hAnsi="Arial" w:cs="Arial"/>
          <w:color w:val="808080" w:themeColor="background1" w:themeShade="80"/>
          <w:sz w:val="22"/>
          <w:szCs w:val="22"/>
          <w:lang w:val="en-GB"/>
        </w:rPr>
        <w:t>omposition under Article 6 of the UAE Bankruptcy Law is by way of the debtor only applying to Court to appoint a composition trustee</w:t>
      </w:r>
      <w:r w:rsidR="00934921">
        <w:rPr>
          <w:rFonts w:ascii="Arial" w:hAnsi="Arial" w:cs="Arial"/>
          <w:color w:val="808080" w:themeColor="background1" w:themeShade="80"/>
          <w:sz w:val="22"/>
          <w:szCs w:val="22"/>
          <w:lang w:val="en-GB"/>
        </w:rPr>
        <w:t xml:space="preserve">, based on the debtor setting out its position, its proposal for </w:t>
      </w:r>
      <w:r w:rsidR="00DF5858">
        <w:rPr>
          <w:rFonts w:ascii="Arial" w:hAnsi="Arial" w:cs="Arial"/>
          <w:color w:val="808080" w:themeColor="background1" w:themeShade="80"/>
          <w:sz w:val="22"/>
          <w:szCs w:val="22"/>
          <w:lang w:val="en-GB"/>
        </w:rPr>
        <w:t>preventive c</w:t>
      </w:r>
      <w:r w:rsidR="00934921">
        <w:rPr>
          <w:rFonts w:ascii="Arial" w:hAnsi="Arial" w:cs="Arial"/>
          <w:color w:val="808080" w:themeColor="background1" w:themeShade="80"/>
          <w:sz w:val="22"/>
          <w:szCs w:val="22"/>
          <w:lang w:val="en-GB"/>
        </w:rPr>
        <w:t>omposition and the name of the proposed trustee</w:t>
      </w:r>
      <w:r>
        <w:rPr>
          <w:rFonts w:ascii="Arial" w:hAnsi="Arial" w:cs="Arial"/>
          <w:color w:val="808080" w:themeColor="background1" w:themeShade="80"/>
          <w:sz w:val="22"/>
          <w:szCs w:val="22"/>
          <w:lang w:val="en-GB"/>
        </w:rPr>
        <w:t xml:space="preserve">. </w:t>
      </w:r>
    </w:p>
    <w:p w14:paraId="60C3938B" w14:textId="77777777" w:rsidR="00DA7503" w:rsidRDefault="00DA7503" w:rsidP="00640623">
      <w:pPr>
        <w:rPr>
          <w:rFonts w:ascii="Arial" w:hAnsi="Arial" w:cs="Arial"/>
          <w:color w:val="808080" w:themeColor="background1" w:themeShade="80"/>
          <w:sz w:val="22"/>
          <w:szCs w:val="22"/>
          <w:lang w:val="en-GB"/>
        </w:rPr>
      </w:pPr>
    </w:p>
    <w:p w14:paraId="50DAF75B" w14:textId="1A91C02A" w:rsidR="00C72848" w:rsidRPr="00CA448F" w:rsidRDefault="00DA750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contrast the bankruptcy procedure is based on an application to the Court by either a debtor or a creditor and is initiated when the debtor is in default of a payment obligation for 30 consecutive business days</w:t>
      </w:r>
      <w:r w:rsidR="00934921">
        <w:rPr>
          <w:rFonts w:ascii="Arial" w:hAnsi="Arial" w:cs="Arial"/>
          <w:color w:val="808080" w:themeColor="background1" w:themeShade="80"/>
          <w:sz w:val="22"/>
          <w:szCs w:val="22"/>
          <w:lang w:val="en-GB"/>
        </w:rPr>
        <w:t xml:space="preserve"> (subject to certain recent relaxations) or a creditor (or group of creditors) are owed more than AED 100,000 and which has not been paid within 30 business days of the debtor being notified to make payment</w:t>
      </w:r>
      <w:r>
        <w:rPr>
          <w:rFonts w:ascii="Arial" w:hAnsi="Arial" w:cs="Arial"/>
          <w:color w:val="808080" w:themeColor="background1" w:themeShade="80"/>
          <w:sz w:val="22"/>
          <w:szCs w:val="22"/>
          <w:lang w:val="en-GB"/>
        </w:rPr>
        <w:t>.</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63A31AA1" w14:textId="0681A46B" w:rsidR="00B52047" w:rsidRPr="00CA448F" w:rsidRDefault="00C253A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creditor can commence bankruptcy of a debtor, arising from a payment default of a debtor, while in the context of preventive composition, a creditor does not have standing to apply.</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2D563184" w14:textId="77777777" w:rsidR="00793F74" w:rsidRDefault="00793F74"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historical need to introduce comprehensive insolvency legislation in the UAE, culminating in the UAE Bankruptcy Law, were the defaults by Dubai World which would have led to the largest insolvency in UAE’s history with numerous implications for the UAE economy. </w:t>
      </w:r>
    </w:p>
    <w:p w14:paraId="15CB4A2F" w14:textId="77777777" w:rsidR="00793F74" w:rsidRDefault="00793F74" w:rsidP="00640623">
      <w:pPr>
        <w:rPr>
          <w:rFonts w:ascii="Arial" w:hAnsi="Arial" w:cs="Arial"/>
          <w:color w:val="808080" w:themeColor="background1" w:themeShade="80"/>
          <w:sz w:val="22"/>
          <w:szCs w:val="22"/>
        </w:rPr>
      </w:pPr>
    </w:p>
    <w:p w14:paraId="0CA09841" w14:textId="18499B68" w:rsidR="001A45DB" w:rsidRDefault="00793F74"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While Dubai World’s defaults were resolved with its creditors through a special tribunal, it was sufficient impetus for UAE legislators to promulgate the Bankruptcy Law (for commercial </w:t>
      </w:r>
      <w:r>
        <w:rPr>
          <w:rFonts w:ascii="Arial" w:hAnsi="Arial" w:cs="Arial"/>
          <w:color w:val="808080" w:themeColor="background1" w:themeShade="80"/>
          <w:sz w:val="22"/>
          <w:szCs w:val="22"/>
        </w:rPr>
        <w:lastRenderedPageBreak/>
        <w:t xml:space="preserve">insolvencies) and Personal Bankruptcy Law (in relation to those who did not fall within the Bankruptcy Law). </w:t>
      </w:r>
    </w:p>
    <w:p w14:paraId="5ADBAEE2" w14:textId="77777777" w:rsidR="00793F74" w:rsidRDefault="00793F74" w:rsidP="00640623">
      <w:pPr>
        <w:rPr>
          <w:rFonts w:ascii="Arial" w:hAnsi="Arial" w:cs="Arial"/>
          <w:color w:val="808080" w:themeColor="background1" w:themeShade="80"/>
          <w:sz w:val="22"/>
          <w:szCs w:val="22"/>
        </w:rPr>
      </w:pPr>
    </w:p>
    <w:p w14:paraId="38D10698" w14:textId="5C75BA7E" w:rsidR="00793F74" w:rsidRDefault="00793F74"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The UAE Bankruptcy Law applies to commercial enterprises consisting of companies under the Commercial Companies Law, state owned entities who have opted into the Bankruptcy Law, all free zone companies (with the exception of DIFC and ADGM), professional firms and traders.</w:t>
      </w:r>
    </w:p>
    <w:p w14:paraId="2B805E06" w14:textId="77777777" w:rsidR="00793F74" w:rsidRDefault="00793F74" w:rsidP="00640623">
      <w:pPr>
        <w:rPr>
          <w:rFonts w:ascii="Arial" w:hAnsi="Arial" w:cs="Arial"/>
          <w:color w:val="808080" w:themeColor="background1" w:themeShade="80"/>
          <w:sz w:val="22"/>
          <w:szCs w:val="22"/>
        </w:rPr>
      </w:pPr>
    </w:p>
    <w:p w14:paraId="76A3D562" w14:textId="0C0182B6" w:rsidR="00793F74" w:rsidRPr="00CA448F" w:rsidRDefault="00793F74"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Bankruptcy Law was well received in the UAE since it </w:t>
      </w:r>
      <w:r w:rsidR="00B26F06">
        <w:rPr>
          <w:rFonts w:ascii="Arial" w:hAnsi="Arial" w:cs="Arial"/>
          <w:color w:val="808080" w:themeColor="background1" w:themeShade="80"/>
          <w:sz w:val="22"/>
          <w:szCs w:val="22"/>
        </w:rPr>
        <w:t xml:space="preserve">addressed a previously under </w:t>
      </w:r>
      <w:r>
        <w:rPr>
          <w:rFonts w:ascii="Arial" w:hAnsi="Arial" w:cs="Arial"/>
          <w:color w:val="808080" w:themeColor="background1" w:themeShade="80"/>
          <w:sz w:val="22"/>
          <w:szCs w:val="22"/>
        </w:rPr>
        <w:t xml:space="preserve">developed </w:t>
      </w:r>
      <w:r w:rsidR="00B26F06">
        <w:rPr>
          <w:rFonts w:ascii="Arial" w:hAnsi="Arial" w:cs="Arial"/>
          <w:color w:val="808080" w:themeColor="background1" w:themeShade="80"/>
          <w:sz w:val="22"/>
          <w:szCs w:val="22"/>
        </w:rPr>
        <w:t xml:space="preserve">area of law however there have only been limited number of cases where the law has been applied. </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2DD624B3" w14:textId="378DFF3F" w:rsidR="001A45DB" w:rsidRDefault="00870E18"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Following the commencement of a bankruptcy proceeding under Article 67 of the UAE Bankruptcy Law, the Court is regularly involved at various points continuously throughout the restructuring in a bankruptcy process. </w:t>
      </w:r>
      <w:r w:rsidR="00337C31">
        <w:rPr>
          <w:rFonts w:ascii="Arial" w:hAnsi="Arial" w:cs="Arial"/>
          <w:color w:val="808080" w:themeColor="background1" w:themeShade="80"/>
          <w:sz w:val="22"/>
          <w:szCs w:val="22"/>
          <w:lang w:val="en-GB"/>
        </w:rPr>
        <w:t xml:space="preserve">For example, once the bankruptcy application is made, a Court looks to appoint an expert from a panel to determine the debtor’s financial position pursuant to Article 77. </w:t>
      </w:r>
    </w:p>
    <w:p w14:paraId="615C935B" w14:textId="77777777" w:rsidR="00337C31" w:rsidRDefault="00337C31" w:rsidP="00640623">
      <w:pPr>
        <w:rPr>
          <w:rFonts w:ascii="Arial" w:hAnsi="Arial" w:cs="Arial"/>
          <w:color w:val="808080" w:themeColor="background1" w:themeShade="80"/>
          <w:sz w:val="22"/>
          <w:szCs w:val="22"/>
          <w:lang w:val="en-GB"/>
        </w:rPr>
      </w:pPr>
    </w:p>
    <w:p w14:paraId="5D85F105" w14:textId="04B10EFD" w:rsidR="00337C31" w:rsidRDefault="00337C3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Other points when a Court is required to be actively engaged include determining whether to commence bankruptcy based on the experts report (Article 78), whether to replace </w:t>
      </w:r>
      <w:r w:rsidR="00DC00A6">
        <w:rPr>
          <w:rFonts w:ascii="Arial" w:hAnsi="Arial" w:cs="Arial"/>
          <w:color w:val="808080" w:themeColor="background1" w:themeShade="80"/>
          <w:sz w:val="22"/>
          <w:szCs w:val="22"/>
          <w:lang w:val="en-GB"/>
        </w:rPr>
        <w:t>an</w:t>
      </w:r>
      <w:r>
        <w:rPr>
          <w:rFonts w:ascii="Arial" w:hAnsi="Arial" w:cs="Arial"/>
          <w:color w:val="808080" w:themeColor="background1" w:themeShade="80"/>
          <w:sz w:val="22"/>
          <w:szCs w:val="22"/>
          <w:lang w:val="en-GB"/>
        </w:rPr>
        <w:t xml:space="preserve"> expert if their appoint</w:t>
      </w:r>
      <w:r w:rsidR="00DC00A6">
        <w:rPr>
          <w:rFonts w:ascii="Arial" w:hAnsi="Arial" w:cs="Arial"/>
          <w:color w:val="808080" w:themeColor="background1" w:themeShade="80"/>
          <w:sz w:val="22"/>
          <w:szCs w:val="22"/>
          <w:lang w:val="en-GB"/>
        </w:rPr>
        <w:t>ment</w:t>
      </w:r>
      <w:r>
        <w:rPr>
          <w:rFonts w:ascii="Arial" w:hAnsi="Arial" w:cs="Arial"/>
          <w:color w:val="808080" w:themeColor="background1" w:themeShade="80"/>
          <w:sz w:val="22"/>
          <w:szCs w:val="22"/>
          <w:lang w:val="en-GB"/>
        </w:rPr>
        <w:t xml:space="preserve"> is against the interests of creditors (Article 86), whether or not to appoint supervisors (Article 87), providing information on the debtor to trustees (Article 88), determining the final list of creditors (Article 94), </w:t>
      </w:r>
      <w:r w:rsidR="00DC00A6">
        <w:rPr>
          <w:rFonts w:ascii="Arial" w:hAnsi="Arial" w:cs="Arial"/>
          <w:color w:val="808080" w:themeColor="background1" w:themeShade="80"/>
          <w:sz w:val="22"/>
          <w:szCs w:val="22"/>
          <w:lang w:val="en-GB"/>
        </w:rPr>
        <w:t>deciding whether to suspend interest payments on a default (Article 163), rescind contracts, leases or employment contracts (Articles 165, 166 and 167), or deal with</w:t>
      </w:r>
      <w:r>
        <w:rPr>
          <w:rFonts w:ascii="Arial" w:hAnsi="Arial" w:cs="Arial"/>
          <w:color w:val="808080" w:themeColor="background1" w:themeShade="80"/>
          <w:sz w:val="22"/>
          <w:szCs w:val="22"/>
          <w:lang w:val="en-GB"/>
        </w:rPr>
        <w:t xml:space="preserve"> a creditors’ objection to a scheme placed before the Court (Article 108)</w:t>
      </w:r>
      <w:r w:rsidR="00DC00A6">
        <w:rPr>
          <w:rFonts w:ascii="Arial" w:hAnsi="Arial" w:cs="Arial"/>
          <w:color w:val="808080" w:themeColor="background1" w:themeShade="80"/>
          <w:sz w:val="22"/>
          <w:szCs w:val="22"/>
          <w:lang w:val="en-GB"/>
        </w:rPr>
        <w:t>.</w:t>
      </w:r>
    </w:p>
    <w:p w14:paraId="1798C5F9" w14:textId="77777777" w:rsidR="00DC00A6" w:rsidRDefault="00DC00A6" w:rsidP="00640623">
      <w:pPr>
        <w:rPr>
          <w:rFonts w:ascii="Arial" w:hAnsi="Arial" w:cs="Arial"/>
          <w:color w:val="808080" w:themeColor="background1" w:themeShade="80"/>
          <w:sz w:val="22"/>
          <w:szCs w:val="22"/>
          <w:lang w:val="en-GB"/>
        </w:rPr>
      </w:pPr>
    </w:p>
    <w:p w14:paraId="4F979C19" w14:textId="3496EF7D" w:rsidR="00DC00A6" w:rsidRPr="00CA448F" w:rsidRDefault="00DC00A6"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Aside from these, the Court can form committees of creditors, divided into categories, and direct such committees on their conduct when meeting (Article 104) and will also continue to receive information from the trustee (in the performance of their duty) thereby monitoring the bankruptcy process intricately (Articles 113 and 114). The Courts powers can impact the restructuring directly, for example by restricting the sale of certain assets without its permission (Article 112) or ultimately terminate a restructuring which triggers liquidation of the debtor (Article 123). </w:t>
      </w: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0196A221" w14:textId="77777777" w:rsidR="00E97EB2" w:rsidRDefault="00E97EB2"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lastRenderedPageBreak/>
        <w:t>The high degree of Court involvement in the UAE Bankruptcy Law would appear to reflect an environment that is not familiar with insolvency (owing to the minimal development of insolvency law prior to the Bankruptcy Law) and therefore requiring greater supervision and involvement of the Court, not least to ensure that all parties’ rights are protected.</w:t>
      </w:r>
    </w:p>
    <w:p w14:paraId="61CB0210" w14:textId="77777777" w:rsidR="00E97EB2" w:rsidRDefault="00E97EB2" w:rsidP="00640623">
      <w:pPr>
        <w:rPr>
          <w:rFonts w:ascii="Arial" w:hAnsi="Arial" w:cs="Arial"/>
          <w:color w:val="808080" w:themeColor="background1" w:themeShade="80"/>
          <w:sz w:val="22"/>
          <w:szCs w:val="22"/>
          <w:shd w:val="clear" w:color="auto" w:fill="FFFFFF"/>
        </w:rPr>
      </w:pPr>
    </w:p>
    <w:p w14:paraId="6E64D493" w14:textId="7D1FE820" w:rsidR="00224E71" w:rsidRDefault="00E97EB2" w:rsidP="00640623">
      <w:pPr>
        <w:rPr>
          <w:rFonts w:ascii="Arial" w:hAnsi="Arial" w:cs="Arial"/>
          <w:sz w:val="22"/>
          <w:szCs w:val="22"/>
          <w:shd w:val="clear" w:color="auto" w:fill="FFFFFF"/>
        </w:rPr>
      </w:pPr>
      <w:r>
        <w:rPr>
          <w:rFonts w:ascii="Arial" w:hAnsi="Arial" w:cs="Arial"/>
          <w:color w:val="808080" w:themeColor="background1" w:themeShade="80"/>
          <w:sz w:val="22"/>
          <w:szCs w:val="22"/>
          <w:shd w:val="clear" w:color="auto" w:fill="FFFFFF"/>
        </w:rPr>
        <w:t xml:space="preserve">This view is reinforced by Article 86 (the power to </w:t>
      </w:r>
      <w:r w:rsidRPr="00E97EB2">
        <w:rPr>
          <w:rFonts w:ascii="Arial" w:hAnsi="Arial" w:cs="Arial"/>
          <w:color w:val="808080" w:themeColor="background1" w:themeShade="80"/>
          <w:sz w:val="22"/>
          <w:szCs w:val="22"/>
          <w:shd w:val="clear" w:color="auto" w:fill="FFFFFF"/>
        </w:rPr>
        <w:t>replace an expert if</w:t>
      </w:r>
      <w:r>
        <w:rPr>
          <w:rFonts w:ascii="Arial" w:hAnsi="Arial" w:cs="Arial"/>
          <w:color w:val="808080" w:themeColor="background1" w:themeShade="80"/>
          <w:sz w:val="22"/>
          <w:szCs w:val="22"/>
          <w:shd w:val="clear" w:color="auto" w:fill="FFFFFF"/>
        </w:rPr>
        <w:t xml:space="preserve"> the expert acts contrary to </w:t>
      </w:r>
      <w:r w:rsidRPr="00E97EB2">
        <w:rPr>
          <w:rFonts w:ascii="Arial" w:hAnsi="Arial" w:cs="Arial"/>
          <w:color w:val="808080" w:themeColor="background1" w:themeShade="80"/>
          <w:sz w:val="22"/>
          <w:szCs w:val="22"/>
          <w:shd w:val="clear" w:color="auto" w:fill="FFFFFF"/>
        </w:rPr>
        <w:t>the interests of creditors</w:t>
      </w:r>
      <w:r>
        <w:rPr>
          <w:rFonts w:ascii="Arial" w:hAnsi="Arial" w:cs="Arial"/>
          <w:color w:val="808080" w:themeColor="background1" w:themeShade="80"/>
          <w:sz w:val="22"/>
          <w:szCs w:val="22"/>
          <w:shd w:val="clear" w:color="auto" w:fill="FFFFFF"/>
        </w:rPr>
        <w:t>, Article 87 (using</w:t>
      </w:r>
      <w:r w:rsidRPr="00E97EB2">
        <w:rPr>
          <w:rFonts w:ascii="Arial" w:hAnsi="Arial" w:cs="Arial"/>
          <w:color w:val="808080" w:themeColor="background1" w:themeShade="80"/>
          <w:sz w:val="22"/>
          <w:szCs w:val="22"/>
          <w:shd w:val="clear" w:color="auto" w:fill="FFFFFF"/>
        </w:rPr>
        <w:t xml:space="preserve"> supervisors</w:t>
      </w:r>
      <w:r>
        <w:rPr>
          <w:rFonts w:ascii="Arial" w:hAnsi="Arial" w:cs="Arial"/>
          <w:color w:val="808080" w:themeColor="background1" w:themeShade="80"/>
          <w:sz w:val="22"/>
          <w:szCs w:val="22"/>
          <w:shd w:val="clear" w:color="auto" w:fill="FFFFFF"/>
        </w:rPr>
        <w:t xml:space="preserve"> to monitor the process), Articles 113 and 114 (receiving updates on the restructuring process at regular intervals) or Article 112 (</w:t>
      </w:r>
      <w:r>
        <w:rPr>
          <w:rFonts w:ascii="Arial" w:hAnsi="Arial" w:cs="Arial"/>
          <w:color w:val="808080" w:themeColor="background1" w:themeShade="80"/>
          <w:sz w:val="22"/>
          <w:szCs w:val="22"/>
          <w:lang w:val="en-GB"/>
        </w:rPr>
        <w:t xml:space="preserve">limiting which assets can be sold). Notwithstanding these Articles, the Court retains the final power under Article 123 which is to determine the success of the restructuring, or whether liquidation is preferred. </w:t>
      </w:r>
    </w:p>
    <w:p w14:paraId="7242DA50" w14:textId="09BE2959" w:rsidR="00224E71" w:rsidRDefault="00224E71" w:rsidP="00640623">
      <w:pPr>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77D8AD6A" w14:textId="77777777" w:rsidR="00DF5858" w:rsidRDefault="00DF5858"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After making an application, the Court’s appointed expert is to provide a report within 20 business days (outlining whether the debtor is eligible for preventive composition) and upon which the Court will make its decision within another 5 business days. </w:t>
      </w:r>
    </w:p>
    <w:p w14:paraId="5FB8018F" w14:textId="77777777" w:rsidR="00DF5858" w:rsidRDefault="00DF5858" w:rsidP="00640623">
      <w:pPr>
        <w:rPr>
          <w:rFonts w:ascii="Arial" w:hAnsi="Arial" w:cs="Arial"/>
          <w:color w:val="808080" w:themeColor="background1" w:themeShade="80"/>
          <w:sz w:val="22"/>
          <w:szCs w:val="22"/>
          <w:lang w:val="en-GB"/>
        </w:rPr>
      </w:pPr>
    </w:p>
    <w:p w14:paraId="15B20D56" w14:textId="77777777" w:rsidR="00DF5858" w:rsidRDefault="00DF5858"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At this point, a trustee is appointed and who is required to issue a notice of the Court’s decision to proceed within preventive composition within 5 business days. The notice contains a period of 20 business days for creditors to lodge claims against the debtor. A list of creditors compiled by the trustee is then lodged with Court within 10 business days of the 20 business day period given in the notice. </w:t>
      </w:r>
    </w:p>
    <w:p w14:paraId="70452A31" w14:textId="77777777" w:rsidR="00DF5858" w:rsidRDefault="00DF5858" w:rsidP="00640623">
      <w:pPr>
        <w:rPr>
          <w:rFonts w:ascii="Arial" w:hAnsi="Arial" w:cs="Arial"/>
          <w:color w:val="808080" w:themeColor="background1" w:themeShade="80"/>
          <w:sz w:val="22"/>
          <w:szCs w:val="22"/>
          <w:lang w:val="en-GB"/>
        </w:rPr>
      </w:pPr>
    </w:p>
    <w:p w14:paraId="2DC68C68" w14:textId="77777777" w:rsidR="00322341" w:rsidRDefault="00DF5858"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45 business days from the date of the notice being published by the trustee, the preventive composition scheme needs to be submitted in Court. </w:t>
      </w:r>
      <w:r w:rsidR="00322341">
        <w:rPr>
          <w:rFonts w:ascii="Arial" w:hAnsi="Arial" w:cs="Arial"/>
          <w:color w:val="808080" w:themeColor="background1" w:themeShade="80"/>
          <w:sz w:val="22"/>
          <w:szCs w:val="22"/>
          <w:lang w:val="en-GB"/>
        </w:rPr>
        <w:t xml:space="preserve">The Court then decides within 10 business days if the scheme is acceptable and protects the interests of all parties. If the scheme is acceptable, a period of 5 business days is given to convene a creditors meeting, and which is held within 15 business days of the notice to convene. </w:t>
      </w:r>
    </w:p>
    <w:p w14:paraId="237E4F1D" w14:textId="77777777" w:rsidR="00322341" w:rsidRDefault="00322341" w:rsidP="00640623">
      <w:pPr>
        <w:rPr>
          <w:rFonts w:ascii="Arial" w:hAnsi="Arial" w:cs="Arial"/>
          <w:color w:val="808080" w:themeColor="background1" w:themeShade="80"/>
          <w:sz w:val="22"/>
          <w:szCs w:val="22"/>
          <w:lang w:val="en-GB"/>
        </w:rPr>
      </w:pPr>
    </w:p>
    <w:p w14:paraId="5D931986" w14:textId="3E69F375" w:rsidR="00BD1061" w:rsidRPr="00CA448F" w:rsidRDefault="0032234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The trustee then places an approved scheme before the Court within 3 business days to be adopted or rejected.</w:t>
      </w:r>
      <w:r w:rsidR="0066463A">
        <w:rPr>
          <w:rFonts w:ascii="Arial" w:hAnsi="Arial" w:cs="Arial"/>
          <w:color w:val="808080" w:themeColor="background1" w:themeShade="80"/>
          <w:sz w:val="22"/>
          <w:szCs w:val="22"/>
          <w:lang w:val="en-GB"/>
        </w:rPr>
        <w:t xml:space="preserve"> After this, the trustee registers the scheme on the corporate register, and publishes a summary, within 7 business days.</w:t>
      </w:r>
      <w:r w:rsidR="00DF5858">
        <w:rPr>
          <w:rFonts w:ascii="Arial" w:hAnsi="Arial" w:cs="Arial"/>
          <w:color w:val="808080" w:themeColor="background1" w:themeShade="80"/>
          <w:sz w:val="22"/>
          <w:szCs w:val="22"/>
          <w:lang w:val="en-GB"/>
        </w:rPr>
        <w:t xml:space="preserve">   </w:t>
      </w:r>
    </w:p>
    <w:p w14:paraId="6CDA2848" w14:textId="08483F1B" w:rsidR="00BD1061" w:rsidRPr="00CA448F" w:rsidRDefault="00BD1061"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018D5BEE" w14:textId="74A6ABDA" w:rsidR="009D3106" w:rsidRDefault="0066463A"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VGK LLC would proceed to liquidation, after the failed preventive composition scheme making restructuring impossible, through an appointed trustee, which may be the same trustee that worked on the preventive composition under Article 126 of the UAE Bankruptcy Law. </w:t>
      </w:r>
    </w:p>
    <w:p w14:paraId="0B0908E3" w14:textId="77777777" w:rsidR="0066463A" w:rsidRDefault="0066463A" w:rsidP="00640623">
      <w:pPr>
        <w:rPr>
          <w:rFonts w:ascii="Arial" w:hAnsi="Arial" w:cs="Arial"/>
          <w:color w:val="808080" w:themeColor="background1" w:themeShade="80"/>
          <w:sz w:val="22"/>
          <w:szCs w:val="22"/>
          <w:lang w:val="en-GB"/>
        </w:rPr>
      </w:pPr>
    </w:p>
    <w:p w14:paraId="391BBDA9" w14:textId="24481BF2" w:rsidR="0066463A" w:rsidRDefault="0066463A"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After the trustees continuation (or fresh appointment, if a different trustee is involved), the trustee reports to the Court on a monthly basis on the liquidation of the debtor’s assets. Meanwhile creditors are required to lodge their claims with the trustee within 10 business days of the Court’s order for VGK LLC’s liquidation.</w:t>
      </w:r>
    </w:p>
    <w:p w14:paraId="02A237EC" w14:textId="77777777" w:rsidR="0066463A" w:rsidRDefault="0066463A" w:rsidP="00640623">
      <w:pPr>
        <w:rPr>
          <w:rFonts w:ascii="Arial" w:hAnsi="Arial" w:cs="Arial"/>
          <w:color w:val="808080" w:themeColor="background1" w:themeShade="80"/>
          <w:sz w:val="22"/>
          <w:szCs w:val="22"/>
          <w:lang w:val="en-GB"/>
        </w:rPr>
      </w:pPr>
    </w:p>
    <w:p w14:paraId="6738DF11" w14:textId="77777777" w:rsidR="002D1B89" w:rsidRDefault="0066463A"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Based on the facts of VGK LLC, the </w:t>
      </w:r>
      <w:r w:rsidR="002D1B89">
        <w:rPr>
          <w:rFonts w:ascii="Arial" w:hAnsi="Arial" w:cs="Arial"/>
          <w:color w:val="808080" w:themeColor="background1" w:themeShade="80"/>
          <w:sz w:val="22"/>
          <w:szCs w:val="22"/>
          <w:lang w:val="en-GB"/>
        </w:rPr>
        <w:t xml:space="preserve">restaurant site being developed would be liquidated through a public auction and any proposed purchasers reported to the Court. Once the site has been sold, the proceeds would be distributed to the shareholder as a secured creditor (to the extent of his mortgage for the unpaid purchase price), followed by the Court and trustees costs, and then unpaid staff (up to 3 months’ salary). </w:t>
      </w:r>
    </w:p>
    <w:p w14:paraId="272F7549" w14:textId="77777777" w:rsidR="002D1B89" w:rsidRDefault="002D1B89" w:rsidP="00640623">
      <w:pPr>
        <w:rPr>
          <w:rFonts w:ascii="Arial" w:hAnsi="Arial" w:cs="Arial"/>
          <w:color w:val="808080" w:themeColor="background1" w:themeShade="80"/>
          <w:sz w:val="22"/>
          <w:szCs w:val="22"/>
          <w:lang w:val="en-GB"/>
        </w:rPr>
      </w:pPr>
    </w:p>
    <w:p w14:paraId="7D64EA21" w14:textId="0BD28B1C" w:rsidR="0066463A" w:rsidRPr="00CA448F" w:rsidRDefault="002D1B89"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any other amounts remain to be distributed, the shareholder may be entitled to receive further funds, towards what he is owed up to 2024, but up to an amount that would be legally payable today.  </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3CBC23CB" w14:textId="77777777" w:rsidR="00174580" w:rsidRDefault="00174580"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Neither the UAE Bankruptcy Law nor the DIFC Insolvency Law provide for insolvencies of groups of companies. However, under the protocol for enforcement between the DIFC Courts and the Dubai Courts, the winding up VGK Limited can be enforced in the Dubai Courts, such that the assets of VGK LLC would be reduced to the extent of the assets held within its fully owned subsidiary, VGK Limited. </w:t>
      </w:r>
    </w:p>
    <w:p w14:paraId="15CAD925" w14:textId="77777777" w:rsidR="00174580" w:rsidRDefault="00174580" w:rsidP="00640623">
      <w:pPr>
        <w:rPr>
          <w:rFonts w:ascii="Arial" w:hAnsi="Arial" w:cs="Arial"/>
          <w:color w:val="808080" w:themeColor="background1" w:themeShade="80"/>
          <w:sz w:val="22"/>
          <w:szCs w:val="22"/>
          <w:lang w:val="en-GB"/>
        </w:rPr>
      </w:pPr>
    </w:p>
    <w:p w14:paraId="3C995ECF" w14:textId="77777777" w:rsidR="009C2507" w:rsidRDefault="00174580"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Given that VGK Limited is a DIFC incorporated company, the creditors of VGK Limited (with debts of at least US$ 2,000) can pursue an application for winding up of the company under Article 83 of the DIFC Insolvency Law. The application to wind up the company can also be made by the directors and </w:t>
      </w:r>
      <w:r w:rsidR="009C2507">
        <w:rPr>
          <w:rFonts w:ascii="Arial" w:hAnsi="Arial" w:cs="Arial"/>
          <w:color w:val="808080" w:themeColor="background1" w:themeShade="80"/>
          <w:sz w:val="22"/>
          <w:szCs w:val="22"/>
          <w:lang w:val="en-GB"/>
        </w:rPr>
        <w:t>or the company itself.</w:t>
      </w:r>
    </w:p>
    <w:p w14:paraId="6C315617" w14:textId="77777777" w:rsidR="009C2507" w:rsidRDefault="009C2507" w:rsidP="00640623">
      <w:pPr>
        <w:rPr>
          <w:rFonts w:ascii="Arial" w:hAnsi="Arial" w:cs="Arial"/>
          <w:color w:val="808080" w:themeColor="background1" w:themeShade="80"/>
          <w:sz w:val="22"/>
          <w:szCs w:val="22"/>
          <w:lang w:val="en-GB"/>
        </w:rPr>
      </w:pPr>
    </w:p>
    <w:p w14:paraId="385F7F1A" w14:textId="26E89665" w:rsidR="00640623" w:rsidRPr="00CA448F" w:rsidRDefault="00174580"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Following this, the C</w:t>
      </w:r>
      <w:r w:rsidR="009C2507">
        <w:rPr>
          <w:rFonts w:ascii="Arial" w:hAnsi="Arial" w:cs="Arial"/>
          <w:color w:val="808080" w:themeColor="background1" w:themeShade="80"/>
          <w:sz w:val="22"/>
          <w:szCs w:val="22"/>
          <w:lang w:val="en-GB"/>
        </w:rPr>
        <w:t>ourt appoints a liquidator who would be responsible for VGK Limited until the final winding up order, to preserve asset values while also collating assets that would realise liquidity for distribution to creditors. The liquidator would then also call for creditors to submit their claims in writing (with supporting evidence), which he would then rank and pay according to their claim priorities.</w:t>
      </w:r>
      <w:bookmarkStart w:id="1" w:name="_GoBack"/>
      <w:bookmarkEnd w:id="1"/>
      <w:r w:rsidR="009C2507">
        <w:rPr>
          <w:rFonts w:ascii="Arial" w:hAnsi="Arial" w:cs="Arial"/>
          <w:color w:val="808080" w:themeColor="background1" w:themeShade="80"/>
          <w:sz w:val="22"/>
          <w:szCs w:val="22"/>
          <w:lang w:val="en-GB"/>
        </w:rPr>
        <w:t xml:space="preserve">  </w:t>
      </w: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E370" w14:textId="77777777" w:rsidR="00A0180C" w:rsidRDefault="00A0180C" w:rsidP="00241B44">
      <w:r>
        <w:separator/>
      </w:r>
    </w:p>
  </w:endnote>
  <w:endnote w:type="continuationSeparator" w:id="0">
    <w:p w14:paraId="76F94F6C" w14:textId="77777777" w:rsidR="00A0180C" w:rsidRDefault="00A0180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9C2507">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F59BECD" w14:textId="7273FA8C" w:rsidR="00241FA3" w:rsidRPr="009B4976" w:rsidRDefault="003B064F" w:rsidP="009B4976">
    <w:pPr>
      <w:pStyle w:val="Footer"/>
      <w:ind w:right="360"/>
      <w:rPr>
        <w:rFonts w:ascii="Arial" w:hAnsi="Arial" w:cs="Arial"/>
        <w:sz w:val="18"/>
        <w:szCs w:val="18"/>
        <w:lang w:val="en-GB"/>
      </w:rPr>
    </w:pPr>
    <w:r>
      <w:rPr>
        <w:rFonts w:ascii="Arial" w:hAnsi="Arial" w:cs="Arial"/>
        <w:sz w:val="18"/>
        <w:szCs w:val="18"/>
        <w:lang w:val="en-GB"/>
      </w:rPr>
      <w:t>202021IFU-395</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61DF" w14:textId="77777777" w:rsidR="00A0180C" w:rsidRDefault="00A0180C" w:rsidP="00241B44">
      <w:r>
        <w:separator/>
      </w:r>
    </w:p>
  </w:footnote>
  <w:footnote w:type="continuationSeparator" w:id="0">
    <w:p w14:paraId="1FF43AC6" w14:textId="77777777" w:rsidR="00A0180C" w:rsidRDefault="00A0180C"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51077"/>
    <w:rsid w:val="00065166"/>
    <w:rsid w:val="00082609"/>
    <w:rsid w:val="000851CC"/>
    <w:rsid w:val="00085C85"/>
    <w:rsid w:val="00087F21"/>
    <w:rsid w:val="00093BE8"/>
    <w:rsid w:val="000A407B"/>
    <w:rsid w:val="000A68ED"/>
    <w:rsid w:val="000B5FF1"/>
    <w:rsid w:val="000B609F"/>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73A3F"/>
    <w:rsid w:val="00174580"/>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45FC"/>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1B89"/>
    <w:rsid w:val="002D299D"/>
    <w:rsid w:val="002D3473"/>
    <w:rsid w:val="002F1956"/>
    <w:rsid w:val="002F3440"/>
    <w:rsid w:val="002F75A3"/>
    <w:rsid w:val="00303C2F"/>
    <w:rsid w:val="00305E53"/>
    <w:rsid w:val="00307D85"/>
    <w:rsid w:val="003144EF"/>
    <w:rsid w:val="00320701"/>
    <w:rsid w:val="00322341"/>
    <w:rsid w:val="00323BB1"/>
    <w:rsid w:val="00326292"/>
    <w:rsid w:val="00326415"/>
    <w:rsid w:val="00330937"/>
    <w:rsid w:val="00330F31"/>
    <w:rsid w:val="00334648"/>
    <w:rsid w:val="0033768C"/>
    <w:rsid w:val="00337938"/>
    <w:rsid w:val="00337C31"/>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064F"/>
    <w:rsid w:val="003B170F"/>
    <w:rsid w:val="003B3C5F"/>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7C72"/>
    <w:rsid w:val="00481D6B"/>
    <w:rsid w:val="00484B29"/>
    <w:rsid w:val="00491675"/>
    <w:rsid w:val="00493855"/>
    <w:rsid w:val="00495E79"/>
    <w:rsid w:val="004A2D83"/>
    <w:rsid w:val="004A57DD"/>
    <w:rsid w:val="004A7B51"/>
    <w:rsid w:val="004A7D71"/>
    <w:rsid w:val="004A7EF3"/>
    <w:rsid w:val="004B11FD"/>
    <w:rsid w:val="004B23A2"/>
    <w:rsid w:val="004C283B"/>
    <w:rsid w:val="004D1A5A"/>
    <w:rsid w:val="004D2FFF"/>
    <w:rsid w:val="004D3721"/>
    <w:rsid w:val="004D64F9"/>
    <w:rsid w:val="004E3A6B"/>
    <w:rsid w:val="004E622C"/>
    <w:rsid w:val="004F5FDF"/>
    <w:rsid w:val="00503068"/>
    <w:rsid w:val="005038E9"/>
    <w:rsid w:val="00504765"/>
    <w:rsid w:val="00510995"/>
    <w:rsid w:val="005177FE"/>
    <w:rsid w:val="0052263B"/>
    <w:rsid w:val="00524728"/>
    <w:rsid w:val="005331CA"/>
    <w:rsid w:val="00537970"/>
    <w:rsid w:val="00540E3A"/>
    <w:rsid w:val="00544127"/>
    <w:rsid w:val="005463A9"/>
    <w:rsid w:val="00553EB2"/>
    <w:rsid w:val="00560534"/>
    <w:rsid w:val="0056391B"/>
    <w:rsid w:val="005650E2"/>
    <w:rsid w:val="00565332"/>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7CC9"/>
    <w:rsid w:val="00627E7B"/>
    <w:rsid w:val="00630542"/>
    <w:rsid w:val="00632E44"/>
    <w:rsid w:val="00634622"/>
    <w:rsid w:val="00636808"/>
    <w:rsid w:val="00640623"/>
    <w:rsid w:val="00641515"/>
    <w:rsid w:val="00651151"/>
    <w:rsid w:val="00654C2F"/>
    <w:rsid w:val="00657087"/>
    <w:rsid w:val="006639DB"/>
    <w:rsid w:val="006645D6"/>
    <w:rsid w:val="0066463A"/>
    <w:rsid w:val="006661EF"/>
    <w:rsid w:val="00677AEB"/>
    <w:rsid w:val="00680EF2"/>
    <w:rsid w:val="00687A1D"/>
    <w:rsid w:val="00697EA1"/>
    <w:rsid w:val="006A2646"/>
    <w:rsid w:val="006A6530"/>
    <w:rsid w:val="006B435A"/>
    <w:rsid w:val="006B4C64"/>
    <w:rsid w:val="006B503E"/>
    <w:rsid w:val="006C146A"/>
    <w:rsid w:val="006D6BD5"/>
    <w:rsid w:val="006E481A"/>
    <w:rsid w:val="006E5298"/>
    <w:rsid w:val="006F41CC"/>
    <w:rsid w:val="006F4A78"/>
    <w:rsid w:val="006F58B3"/>
    <w:rsid w:val="006F734A"/>
    <w:rsid w:val="00700D83"/>
    <w:rsid w:val="0070415A"/>
    <w:rsid w:val="00704852"/>
    <w:rsid w:val="007074E9"/>
    <w:rsid w:val="00713DA4"/>
    <w:rsid w:val="00714BF1"/>
    <w:rsid w:val="00717EE7"/>
    <w:rsid w:val="00721383"/>
    <w:rsid w:val="0072681C"/>
    <w:rsid w:val="0073158B"/>
    <w:rsid w:val="007333CC"/>
    <w:rsid w:val="0073399A"/>
    <w:rsid w:val="00737C86"/>
    <w:rsid w:val="00740DAD"/>
    <w:rsid w:val="007566B8"/>
    <w:rsid w:val="007603F5"/>
    <w:rsid w:val="00764DB0"/>
    <w:rsid w:val="0076764D"/>
    <w:rsid w:val="0077431E"/>
    <w:rsid w:val="0077498C"/>
    <w:rsid w:val="007809BC"/>
    <w:rsid w:val="00784128"/>
    <w:rsid w:val="00787BCC"/>
    <w:rsid w:val="00793173"/>
    <w:rsid w:val="00793F74"/>
    <w:rsid w:val="007A2A33"/>
    <w:rsid w:val="007A7EA9"/>
    <w:rsid w:val="007B4F09"/>
    <w:rsid w:val="007B58FF"/>
    <w:rsid w:val="007B5C89"/>
    <w:rsid w:val="007C1FCC"/>
    <w:rsid w:val="007C6201"/>
    <w:rsid w:val="007D7C92"/>
    <w:rsid w:val="007E1154"/>
    <w:rsid w:val="007E6BA4"/>
    <w:rsid w:val="007F41F8"/>
    <w:rsid w:val="007F659B"/>
    <w:rsid w:val="00803040"/>
    <w:rsid w:val="0080454E"/>
    <w:rsid w:val="00804C32"/>
    <w:rsid w:val="00806302"/>
    <w:rsid w:val="00806E0A"/>
    <w:rsid w:val="00807119"/>
    <w:rsid w:val="00815F57"/>
    <w:rsid w:val="00821EDC"/>
    <w:rsid w:val="00822751"/>
    <w:rsid w:val="0082483F"/>
    <w:rsid w:val="008279C0"/>
    <w:rsid w:val="00830004"/>
    <w:rsid w:val="00830097"/>
    <w:rsid w:val="00867701"/>
    <w:rsid w:val="00870E18"/>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8F6FA7"/>
    <w:rsid w:val="0090239E"/>
    <w:rsid w:val="00905A43"/>
    <w:rsid w:val="00912C79"/>
    <w:rsid w:val="009164DD"/>
    <w:rsid w:val="00921B8C"/>
    <w:rsid w:val="00922A3A"/>
    <w:rsid w:val="00934921"/>
    <w:rsid w:val="00941102"/>
    <w:rsid w:val="00942123"/>
    <w:rsid w:val="0095207B"/>
    <w:rsid w:val="00953349"/>
    <w:rsid w:val="00962045"/>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2507"/>
    <w:rsid w:val="009D0811"/>
    <w:rsid w:val="009D0EE1"/>
    <w:rsid w:val="009D3106"/>
    <w:rsid w:val="009D3340"/>
    <w:rsid w:val="009D6501"/>
    <w:rsid w:val="009E2AEB"/>
    <w:rsid w:val="009E2E27"/>
    <w:rsid w:val="009E45DF"/>
    <w:rsid w:val="009E4DE3"/>
    <w:rsid w:val="009E6997"/>
    <w:rsid w:val="009F275E"/>
    <w:rsid w:val="00A0180C"/>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F228E"/>
    <w:rsid w:val="00AF771B"/>
    <w:rsid w:val="00B007F7"/>
    <w:rsid w:val="00B016A8"/>
    <w:rsid w:val="00B14819"/>
    <w:rsid w:val="00B15E2F"/>
    <w:rsid w:val="00B17AA9"/>
    <w:rsid w:val="00B22A28"/>
    <w:rsid w:val="00B22E51"/>
    <w:rsid w:val="00B2589E"/>
    <w:rsid w:val="00B26F06"/>
    <w:rsid w:val="00B44713"/>
    <w:rsid w:val="00B46C4B"/>
    <w:rsid w:val="00B51B95"/>
    <w:rsid w:val="00B52047"/>
    <w:rsid w:val="00B56103"/>
    <w:rsid w:val="00B61F57"/>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17718"/>
    <w:rsid w:val="00C2018C"/>
    <w:rsid w:val="00C20AFE"/>
    <w:rsid w:val="00C22A25"/>
    <w:rsid w:val="00C24907"/>
    <w:rsid w:val="00C253AE"/>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48DC"/>
    <w:rsid w:val="00D17FDC"/>
    <w:rsid w:val="00D21D8C"/>
    <w:rsid w:val="00D41FDB"/>
    <w:rsid w:val="00D53719"/>
    <w:rsid w:val="00D63EFD"/>
    <w:rsid w:val="00D83191"/>
    <w:rsid w:val="00D83F0F"/>
    <w:rsid w:val="00D84752"/>
    <w:rsid w:val="00D86B3B"/>
    <w:rsid w:val="00D8748A"/>
    <w:rsid w:val="00D878AF"/>
    <w:rsid w:val="00D93196"/>
    <w:rsid w:val="00DA0DC0"/>
    <w:rsid w:val="00DA1581"/>
    <w:rsid w:val="00DA4D42"/>
    <w:rsid w:val="00DA7503"/>
    <w:rsid w:val="00DB243C"/>
    <w:rsid w:val="00DB2955"/>
    <w:rsid w:val="00DB482A"/>
    <w:rsid w:val="00DB50FB"/>
    <w:rsid w:val="00DB56F2"/>
    <w:rsid w:val="00DB6EF5"/>
    <w:rsid w:val="00DC00A6"/>
    <w:rsid w:val="00DC3089"/>
    <w:rsid w:val="00DC4420"/>
    <w:rsid w:val="00DD0802"/>
    <w:rsid w:val="00DD2E11"/>
    <w:rsid w:val="00DE03AF"/>
    <w:rsid w:val="00DE121C"/>
    <w:rsid w:val="00DE3A7C"/>
    <w:rsid w:val="00DE6633"/>
    <w:rsid w:val="00DE71A2"/>
    <w:rsid w:val="00DE7516"/>
    <w:rsid w:val="00DE7B11"/>
    <w:rsid w:val="00DF5858"/>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97EB2"/>
    <w:rsid w:val="00EA0913"/>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5620F"/>
    <w:rsid w:val="00F60538"/>
    <w:rsid w:val="00F61DD2"/>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497D-FD6B-4191-8527-7A096CB0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3445</TotalTime>
  <Pages>11</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account</cp:lastModifiedBy>
  <cp:revision>13</cp:revision>
  <cp:lastPrinted>2019-08-27T05:42:00Z</cp:lastPrinted>
  <dcterms:created xsi:type="dcterms:W3CDTF">2021-06-10T09:58:00Z</dcterms:created>
  <dcterms:modified xsi:type="dcterms:W3CDTF">2021-07-29T15:55:00Z</dcterms:modified>
</cp:coreProperties>
</file>