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EE1A5C" w:rsidRDefault="002460B1" w:rsidP="00841D99">
      <w:pPr>
        <w:pStyle w:val="ListParagraph"/>
        <w:numPr>
          <w:ilvl w:val="0"/>
          <w:numId w:val="10"/>
        </w:numPr>
        <w:ind w:left="426"/>
        <w:jc w:val="both"/>
        <w:rPr>
          <w:rFonts w:ascii="Arial" w:hAnsi="Arial" w:cs="Arial"/>
          <w:sz w:val="22"/>
          <w:szCs w:val="22"/>
          <w:highlight w:val="yellow"/>
        </w:rPr>
      </w:pPr>
      <w:r w:rsidRPr="00EE1A5C">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EE1A5C" w:rsidRDefault="00A37300" w:rsidP="00BA7E39">
      <w:pPr>
        <w:pStyle w:val="ListParagraph"/>
        <w:numPr>
          <w:ilvl w:val="0"/>
          <w:numId w:val="11"/>
        </w:numPr>
        <w:ind w:left="426"/>
        <w:jc w:val="both"/>
        <w:rPr>
          <w:rFonts w:ascii="Arial" w:hAnsi="Arial" w:cs="Arial"/>
          <w:sz w:val="22"/>
          <w:szCs w:val="22"/>
          <w:highlight w:val="yellow"/>
        </w:rPr>
      </w:pPr>
      <w:r w:rsidRPr="00EE1A5C">
        <w:rPr>
          <w:rFonts w:ascii="Arial" w:hAnsi="Arial" w:cs="Arial"/>
          <w:sz w:val="22"/>
          <w:szCs w:val="22"/>
          <w:highlight w:val="yellow"/>
        </w:rPr>
        <w:t xml:space="preserve">Creditors’ interests are of paramount </w:t>
      </w:r>
      <w:proofErr w:type="gramStart"/>
      <w:r w:rsidRPr="00EE1A5C">
        <w:rPr>
          <w:rFonts w:ascii="Arial" w:hAnsi="Arial" w:cs="Arial"/>
          <w:sz w:val="22"/>
          <w:szCs w:val="22"/>
          <w:highlight w:val="yellow"/>
        </w:rPr>
        <w:t>importance,</w:t>
      </w:r>
      <w:proofErr w:type="gramEnd"/>
      <w:r w:rsidRPr="00EE1A5C">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EE1A5C" w:rsidRDefault="003A29B7" w:rsidP="00403FEE">
      <w:pPr>
        <w:pStyle w:val="ListParagraph"/>
        <w:numPr>
          <w:ilvl w:val="0"/>
          <w:numId w:val="12"/>
        </w:numPr>
        <w:ind w:left="426"/>
        <w:jc w:val="both"/>
        <w:rPr>
          <w:rFonts w:ascii="Arial" w:hAnsi="Arial" w:cs="Arial"/>
          <w:sz w:val="22"/>
          <w:szCs w:val="22"/>
          <w:highlight w:val="yellow"/>
        </w:rPr>
      </w:pPr>
      <w:r w:rsidRPr="00EE1A5C">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EE1A5C" w:rsidRDefault="00076A9F" w:rsidP="00403FEE">
      <w:pPr>
        <w:pStyle w:val="ListParagraph"/>
        <w:numPr>
          <w:ilvl w:val="0"/>
          <w:numId w:val="13"/>
        </w:numPr>
        <w:ind w:left="426"/>
        <w:jc w:val="both"/>
        <w:rPr>
          <w:rFonts w:ascii="Arial" w:hAnsi="Arial" w:cs="Arial"/>
          <w:sz w:val="22"/>
          <w:szCs w:val="22"/>
          <w:highlight w:val="yellow"/>
        </w:rPr>
      </w:pPr>
      <w:r w:rsidRPr="00EE1A5C">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EE1A5C" w:rsidRDefault="00F01639" w:rsidP="00F01639">
      <w:pPr>
        <w:pStyle w:val="ListParagraph"/>
        <w:numPr>
          <w:ilvl w:val="0"/>
          <w:numId w:val="14"/>
        </w:numPr>
        <w:ind w:left="426"/>
        <w:jc w:val="both"/>
        <w:rPr>
          <w:rFonts w:ascii="Arial" w:hAnsi="Arial" w:cs="Arial"/>
          <w:sz w:val="22"/>
          <w:szCs w:val="22"/>
          <w:highlight w:val="yellow"/>
        </w:rPr>
      </w:pPr>
      <w:r w:rsidRPr="00EE1A5C">
        <w:rPr>
          <w:rFonts w:ascii="Arial" w:hAnsi="Arial" w:cs="Arial"/>
          <w:sz w:val="22"/>
          <w:szCs w:val="22"/>
          <w:highlight w:val="yellow"/>
        </w:rPr>
        <w:t>s</w:t>
      </w:r>
      <w:r w:rsidR="007425B0" w:rsidRPr="00EE1A5C">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EE1A5C"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EE1A5C">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Pr>
          <w:rFonts w:ascii="Arial" w:eastAsiaTheme="minorHAnsi" w:hAnsi="Arial" w:cs="Arial"/>
          <w:i/>
          <w:iCs/>
          <w:sz w:val="22"/>
          <w:szCs w:val="22"/>
          <w:lang w:val="en-GB"/>
        </w:rPr>
        <w:t>curriculum vitae</w:t>
      </w:r>
      <w:proofErr w:type="gramEnd"/>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EE1A5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EE1A5C">
        <w:rPr>
          <w:rFonts w:ascii="Arial" w:eastAsiaTheme="minorHAnsi" w:hAnsi="Arial" w:cs="Arial"/>
          <w:sz w:val="22"/>
          <w:szCs w:val="22"/>
          <w:highlight w:val="yellow"/>
          <w:lang w:val="en-GB"/>
        </w:rPr>
        <w:t xml:space="preserve">Refuse the appointment as she will not be able to give </w:t>
      </w:r>
      <w:proofErr w:type="gramStart"/>
      <w:r w:rsidRPr="00EE1A5C">
        <w:rPr>
          <w:rFonts w:ascii="Arial" w:eastAsiaTheme="minorHAnsi" w:hAnsi="Arial" w:cs="Arial"/>
          <w:sz w:val="22"/>
          <w:szCs w:val="22"/>
          <w:highlight w:val="yellow"/>
          <w:lang w:val="en-GB"/>
        </w:rPr>
        <w:t>all of</w:t>
      </w:r>
      <w:proofErr w:type="gramEnd"/>
      <w:r w:rsidRPr="00EE1A5C">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 xml:space="preserve">he is employed. In his new role he </w:t>
      </w:r>
      <w:proofErr w:type="gramStart"/>
      <w:r>
        <w:rPr>
          <w:rFonts w:ascii="Arial" w:eastAsiaTheme="minorHAnsi" w:hAnsi="Arial" w:cs="Arial"/>
          <w:sz w:val="22"/>
          <w:szCs w:val="22"/>
          <w:lang w:val="en-GB"/>
        </w:rPr>
        <w:t>has to</w:t>
      </w:r>
      <w:proofErr w:type="gramEnd"/>
      <w:r>
        <w:rPr>
          <w:rFonts w:ascii="Arial" w:eastAsiaTheme="minorHAnsi" w:hAnsi="Arial" w:cs="Arial"/>
          <w:sz w:val="22"/>
          <w:szCs w:val="22"/>
          <w:lang w:val="en-GB"/>
        </w:rPr>
        <w:t xml:space="preserve">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EE1A5C"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EE1A5C">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EE1A5C" w:rsidRDefault="00F83703" w:rsidP="00047A13">
      <w:pPr>
        <w:pStyle w:val="ListParagraph"/>
        <w:numPr>
          <w:ilvl w:val="0"/>
          <w:numId w:val="19"/>
        </w:numPr>
        <w:ind w:left="426"/>
        <w:jc w:val="both"/>
        <w:rPr>
          <w:rFonts w:ascii="Arial" w:hAnsi="Arial" w:cs="Arial"/>
          <w:sz w:val="22"/>
          <w:szCs w:val="22"/>
          <w:highlight w:val="yellow"/>
        </w:rPr>
      </w:pPr>
      <w:r w:rsidRPr="00EE1A5C">
        <w:rPr>
          <w:rFonts w:ascii="Arial" w:hAnsi="Arial" w:cs="Arial"/>
          <w:sz w:val="22"/>
          <w:szCs w:val="22"/>
          <w:highlight w:val="yellow"/>
        </w:rPr>
        <w:t xml:space="preserve">This statement is false since the practitioner might have carried out </w:t>
      </w:r>
      <w:r w:rsidR="00BC285B" w:rsidRPr="00EE1A5C">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documents in relation to insolvency appointments. All the practitioners and administrative personnel employed by the firm will have access to these files </w:t>
      </w:r>
      <w:proofErr w:type="gramStart"/>
      <w:r>
        <w:rPr>
          <w:rFonts w:ascii="Arial" w:hAnsi="Arial" w:cs="Arial"/>
          <w:sz w:val="22"/>
          <w:szCs w:val="22"/>
        </w:rPr>
        <w:t>as long as</w:t>
      </w:r>
      <w:proofErr w:type="gramEnd"/>
      <w:r>
        <w:rPr>
          <w:rFonts w:ascii="Arial" w:hAnsi="Arial" w:cs="Arial"/>
          <w:sz w:val="22"/>
          <w:szCs w:val="22"/>
        </w:rPr>
        <w:t xml:space="preserve">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Pr="00EE1A5C" w:rsidRDefault="006A1258" w:rsidP="006A1258">
      <w:pPr>
        <w:pStyle w:val="ListParagraph"/>
        <w:numPr>
          <w:ilvl w:val="0"/>
          <w:numId w:val="20"/>
        </w:numPr>
        <w:ind w:left="426"/>
        <w:jc w:val="both"/>
        <w:rPr>
          <w:rFonts w:ascii="Arial" w:hAnsi="Arial" w:cs="Arial"/>
          <w:sz w:val="22"/>
          <w:szCs w:val="22"/>
          <w:highlight w:val="yellow"/>
        </w:rPr>
      </w:pPr>
      <w:r w:rsidRPr="00EE1A5C">
        <w:rPr>
          <w:rFonts w:ascii="Arial" w:hAnsi="Arial" w:cs="Arial"/>
          <w:sz w:val="22"/>
          <w:szCs w:val="22"/>
          <w:highlight w:val="yellow"/>
        </w:rPr>
        <w:t>q</w:t>
      </w:r>
      <w:r w:rsidR="0042466C" w:rsidRPr="00EE1A5C">
        <w:rPr>
          <w:rFonts w:ascii="Arial" w:hAnsi="Arial" w:cs="Arial"/>
          <w:sz w:val="22"/>
          <w:szCs w:val="22"/>
          <w:highlight w:val="yellow"/>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r</w:t>
      </w:r>
      <w:r w:rsidR="00701CCC">
        <w:rPr>
          <w:rFonts w:ascii="Arial" w:hAnsi="Arial" w:cs="Arial"/>
          <w:sz w:val="22"/>
          <w:szCs w:val="22"/>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6519661C" w:rsidR="009B07AD" w:rsidRPr="00CD45A3" w:rsidRDefault="00EE1A5C" w:rsidP="00CD45A3">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The Duty to act in good faith. </w:t>
      </w:r>
    </w:p>
    <w:p w14:paraId="0B177636" w14:textId="50227A47" w:rsidR="00EE1A5C" w:rsidRPr="00CD45A3" w:rsidRDefault="00EE1A5C" w:rsidP="00CD45A3">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The Duty to in the best interest of the beneficiary of the fiduciary duties.  </w:t>
      </w:r>
    </w:p>
    <w:p w14:paraId="55B9C810" w14:textId="41CE2FB3" w:rsidR="00EE1A5C" w:rsidRPr="00CD45A3" w:rsidRDefault="00EE1A5C" w:rsidP="00CD45A3">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The Duty to exercise the powers of the office in an independent and impartial </w:t>
      </w:r>
      <w:r w:rsidR="00E7453A" w:rsidRPr="00CD45A3">
        <w:rPr>
          <w:rFonts w:ascii="Arial" w:hAnsi="Arial" w:cs="Arial"/>
          <w:color w:val="7B7B7B" w:themeColor="accent3" w:themeShade="BF"/>
          <w:sz w:val="22"/>
          <w:szCs w:val="22"/>
          <w:lang w:val="en-GB"/>
        </w:rPr>
        <w:t>manner.</w:t>
      </w:r>
      <w:r w:rsidRPr="00CD45A3">
        <w:rPr>
          <w:rFonts w:ascii="Arial" w:hAnsi="Arial" w:cs="Arial"/>
          <w:color w:val="7B7B7B" w:themeColor="accent3" w:themeShade="BF"/>
          <w:sz w:val="22"/>
          <w:szCs w:val="22"/>
          <w:lang w:val="en-GB"/>
        </w:rPr>
        <w:t xml:space="preserve"> </w:t>
      </w:r>
    </w:p>
    <w:p w14:paraId="2DF0EDF2" w14:textId="77A03B7B" w:rsidR="00EE1A5C" w:rsidRDefault="00EE1A5C" w:rsidP="00CD45A3">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The </w:t>
      </w:r>
      <w:r w:rsidR="00E7453A" w:rsidRPr="00CD45A3">
        <w:rPr>
          <w:rFonts w:ascii="Arial" w:hAnsi="Arial" w:cs="Arial"/>
          <w:color w:val="7B7B7B" w:themeColor="accent3" w:themeShade="BF"/>
          <w:sz w:val="22"/>
          <w:szCs w:val="22"/>
          <w:lang w:val="en-GB"/>
        </w:rPr>
        <w:t>D</w:t>
      </w:r>
      <w:r w:rsidRPr="00CD45A3">
        <w:rPr>
          <w:rFonts w:ascii="Arial" w:hAnsi="Arial" w:cs="Arial"/>
          <w:color w:val="7B7B7B" w:themeColor="accent3" w:themeShade="BF"/>
          <w:sz w:val="22"/>
          <w:szCs w:val="22"/>
          <w:lang w:val="en-GB"/>
        </w:rPr>
        <w:t xml:space="preserve">uty to avoid a conflict of interest.  </w:t>
      </w:r>
    </w:p>
    <w:p w14:paraId="5916C8D4" w14:textId="7EBE26EF" w:rsidR="00E45CAF" w:rsidRPr="00CD45A3" w:rsidRDefault="00E45CAF" w:rsidP="00CD45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professionals also have a duty of care, although this is not fiduciary in its nature.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2E94B49" w:rsidR="009B07AD" w:rsidRPr="00CD45A3" w:rsidRDefault="004B7522" w:rsidP="004B7522">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The duty to act with independence and impartiality bears the same values as both the “no-profit” and “no-conflict” rules as that of Corporate Law. Very simply, the no-profit rule states that a person, acting as fiduciary may not profit from his position of trust and thereby receive some form of unjust enrichment – commonly demonstrated as commission or </w:t>
      </w:r>
      <w:proofErr w:type="gramStart"/>
      <w:r w:rsidRPr="00CD45A3">
        <w:rPr>
          <w:rFonts w:ascii="Arial" w:hAnsi="Arial" w:cs="Arial"/>
          <w:color w:val="7B7B7B" w:themeColor="accent3" w:themeShade="BF"/>
          <w:sz w:val="22"/>
          <w:szCs w:val="22"/>
          <w:lang w:val="en-GB"/>
        </w:rPr>
        <w:t>kick-backs</w:t>
      </w:r>
      <w:proofErr w:type="gramEnd"/>
      <w:r w:rsidRPr="00CD45A3">
        <w:rPr>
          <w:rFonts w:ascii="Arial" w:hAnsi="Arial" w:cs="Arial"/>
          <w:color w:val="7B7B7B" w:themeColor="accent3" w:themeShade="BF"/>
          <w:sz w:val="22"/>
          <w:szCs w:val="22"/>
          <w:lang w:val="en-GB"/>
        </w:rPr>
        <w:t xml:space="preserve">. Similarly, the no-conflict rule states that the fiduciary should not allow for a conflict to arise in the appointment between their duty and the interests of the beneficiaries of the appointment. </w:t>
      </w:r>
    </w:p>
    <w:p w14:paraId="6948B395" w14:textId="7AFA26F4" w:rsidR="00E90991" w:rsidRPr="00CD45A3" w:rsidRDefault="00E90991" w:rsidP="00CD45A3">
      <w:pPr>
        <w:jc w:val="both"/>
        <w:rPr>
          <w:rFonts w:ascii="Arial" w:hAnsi="Arial" w:cs="Arial"/>
          <w:color w:val="7B7B7B" w:themeColor="accent3" w:themeShade="BF"/>
          <w:sz w:val="22"/>
          <w:szCs w:val="22"/>
          <w:lang w:val="en-GB"/>
        </w:rPr>
      </w:pPr>
    </w:p>
    <w:p w14:paraId="69B54D28" w14:textId="5C1BFCCB" w:rsidR="004B7522" w:rsidRPr="00CD45A3" w:rsidRDefault="004B7522" w:rsidP="004B7522">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In Australia, these have been reflected in the Code of Professional Practice released by ARITA that independence requires the practitioner to be independent in fact, and to be seen or perceived to be independent, as well as impartiality by ensuring that they are not influenced by person interest, feelings or prejudice and are only making decisions based on the known facts.  </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0084E893" w:rsidR="00C72848" w:rsidRPr="00CD45A3" w:rsidRDefault="002E4140" w:rsidP="002E4140">
      <w:pPr>
        <w:jc w:val="both"/>
        <w:rPr>
          <w:rFonts w:ascii="Arial" w:hAnsi="Arial" w:cs="Arial"/>
          <w:color w:val="7B7B7B" w:themeColor="accent3" w:themeShade="BF"/>
          <w:sz w:val="22"/>
          <w:szCs w:val="22"/>
          <w:lang w:val="en-GB"/>
        </w:rPr>
      </w:pPr>
      <w:r w:rsidRPr="00CD45A3">
        <w:rPr>
          <w:rFonts w:ascii="Arial" w:hAnsi="Arial" w:cs="Arial"/>
          <w:color w:val="7B7B7B" w:themeColor="accent3" w:themeShade="BF"/>
          <w:sz w:val="22"/>
          <w:szCs w:val="22"/>
          <w:lang w:val="en-GB"/>
        </w:rPr>
        <w:t xml:space="preserve">There is no single preferred method of calculating insolvency practitioner remuneration. Each insolvency appointment requires the insolvency practitioner to adopt </w:t>
      </w:r>
      <w:r w:rsidR="00E3755E" w:rsidRPr="00CD45A3">
        <w:rPr>
          <w:rFonts w:ascii="Arial" w:hAnsi="Arial" w:cs="Arial"/>
          <w:color w:val="7B7B7B" w:themeColor="accent3" w:themeShade="BF"/>
          <w:sz w:val="22"/>
          <w:szCs w:val="22"/>
          <w:lang w:val="en-GB"/>
        </w:rPr>
        <w:t>an appropriate method of calculating fees based on any number of issues, including the complexity and overall value of the appointment, but at the same time, it is the responsibility of the insolvency practitioner to ensure that the remuneration charged is fair, reasonably and proportionate in the circumstances as demonstrated in Mirror Group Newspapers plc v Maxwell.</w:t>
      </w:r>
      <w:r w:rsidR="00E3755E" w:rsidRPr="00CD45A3">
        <w:rPr>
          <w:rFonts w:ascii="Arial" w:hAnsi="Arial" w:cs="Arial"/>
          <w:color w:val="7B7B7B" w:themeColor="accent3" w:themeShade="BF"/>
          <w:sz w:val="22"/>
          <w:szCs w:val="22"/>
          <w:vertAlign w:val="superscript"/>
          <w:lang w:val="en-GB"/>
        </w:rPr>
        <w:footnoteReference w:id="1"/>
      </w:r>
    </w:p>
    <w:p w14:paraId="5DD4FFCE" w14:textId="5CCC40E5" w:rsidR="004B7522" w:rsidRDefault="004B7522" w:rsidP="002A37BB">
      <w:pPr>
        <w:jc w:val="both"/>
        <w:rPr>
          <w:rFonts w:ascii="Arial" w:hAnsi="Arial" w:cs="Arial"/>
          <w:bCs/>
          <w:sz w:val="22"/>
          <w:szCs w:val="22"/>
          <w:lang w:val="en-GB"/>
        </w:rPr>
      </w:pPr>
    </w:p>
    <w:p w14:paraId="22E28389" w14:textId="66DCD949" w:rsidR="009F568B" w:rsidRDefault="009F568B" w:rsidP="002A37BB">
      <w:pPr>
        <w:jc w:val="both"/>
        <w:rPr>
          <w:rFonts w:ascii="Arial" w:hAnsi="Arial" w:cs="Arial"/>
          <w:bCs/>
          <w:sz w:val="22"/>
          <w:szCs w:val="22"/>
          <w:lang w:val="en-GB"/>
        </w:rPr>
      </w:pPr>
    </w:p>
    <w:p w14:paraId="4188C067" w14:textId="364A0510" w:rsidR="009F568B" w:rsidRDefault="009F568B" w:rsidP="002A37BB">
      <w:pPr>
        <w:jc w:val="both"/>
        <w:rPr>
          <w:rFonts w:ascii="Arial" w:hAnsi="Arial" w:cs="Arial"/>
          <w:bCs/>
          <w:sz w:val="22"/>
          <w:szCs w:val="22"/>
          <w:lang w:val="en-GB"/>
        </w:rPr>
      </w:pPr>
    </w:p>
    <w:p w14:paraId="50B101E4" w14:textId="31A261D1" w:rsidR="009F568B" w:rsidRDefault="009F568B" w:rsidP="002A37BB">
      <w:pPr>
        <w:jc w:val="both"/>
        <w:rPr>
          <w:rFonts w:ascii="Arial" w:hAnsi="Arial" w:cs="Arial"/>
          <w:bCs/>
          <w:sz w:val="22"/>
          <w:szCs w:val="22"/>
          <w:lang w:val="en-GB"/>
        </w:rPr>
      </w:pPr>
    </w:p>
    <w:p w14:paraId="3D8F6E89" w14:textId="42904EEB" w:rsidR="009F568B" w:rsidRDefault="009F568B" w:rsidP="002A37BB">
      <w:pPr>
        <w:jc w:val="both"/>
        <w:rPr>
          <w:rFonts w:ascii="Arial" w:hAnsi="Arial" w:cs="Arial"/>
          <w:bCs/>
          <w:sz w:val="22"/>
          <w:szCs w:val="22"/>
          <w:lang w:val="en-GB"/>
        </w:rPr>
      </w:pPr>
    </w:p>
    <w:p w14:paraId="35305C59" w14:textId="1B53870B" w:rsidR="009F568B" w:rsidRDefault="009F568B" w:rsidP="002A37BB">
      <w:pPr>
        <w:jc w:val="both"/>
        <w:rPr>
          <w:rFonts w:ascii="Arial" w:hAnsi="Arial" w:cs="Arial"/>
          <w:bCs/>
          <w:sz w:val="22"/>
          <w:szCs w:val="22"/>
          <w:lang w:val="en-GB"/>
        </w:rPr>
      </w:pPr>
    </w:p>
    <w:p w14:paraId="6E707A20" w14:textId="77777777" w:rsidR="009F568B" w:rsidRDefault="009F568B" w:rsidP="002A37BB">
      <w:pPr>
        <w:jc w:val="both"/>
        <w:rPr>
          <w:rFonts w:ascii="Arial" w:hAnsi="Arial" w:cs="Arial"/>
          <w:bCs/>
          <w:sz w:val="22"/>
          <w:szCs w:val="22"/>
          <w:lang w:val="en-GB"/>
        </w:rPr>
      </w:pPr>
    </w:p>
    <w:p w14:paraId="26813A62" w14:textId="77777777" w:rsidR="004B7522" w:rsidRPr="002A37BB" w:rsidRDefault="004B7522"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4011DC"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173BFC14" w14:textId="7106B09D" w:rsidR="00E701BE" w:rsidRDefault="004970B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proceedings </w:t>
      </w:r>
      <w:r w:rsidR="00876DB0">
        <w:rPr>
          <w:rFonts w:ascii="Arial" w:hAnsi="Arial" w:cs="Arial"/>
          <w:color w:val="7B7B7B" w:themeColor="accent3" w:themeShade="BF"/>
          <w:sz w:val="22"/>
          <w:szCs w:val="22"/>
          <w:lang w:val="en-GB"/>
        </w:rPr>
        <w:t xml:space="preserve">require insolvency practitioners to be completely independent and impartial in the way that they conduct the proceedings, and as such the practitioners need to be cognisant of how this issue could impact the </w:t>
      </w:r>
      <w:r w:rsidR="00E701BE">
        <w:rPr>
          <w:rFonts w:ascii="Arial" w:hAnsi="Arial" w:cs="Arial"/>
          <w:color w:val="7B7B7B" w:themeColor="accent3" w:themeShade="BF"/>
          <w:sz w:val="22"/>
          <w:szCs w:val="22"/>
          <w:lang w:val="en-GB"/>
        </w:rPr>
        <w:t xml:space="preserve">nature of the proceedings moving forward, and how independence may vary throughout the different stages of insolvency proceedings, and how ultimately, any perceived issues pertaining to impartiality and independence can undermine insolvency proceedings.  </w:t>
      </w:r>
    </w:p>
    <w:p w14:paraId="263068F0" w14:textId="498B43F4" w:rsidR="00E701BE" w:rsidRDefault="00E701BE" w:rsidP="002A37BB">
      <w:pPr>
        <w:jc w:val="both"/>
        <w:rPr>
          <w:rFonts w:ascii="Arial" w:hAnsi="Arial" w:cs="Arial"/>
          <w:color w:val="7B7B7B" w:themeColor="accent3" w:themeShade="BF"/>
          <w:sz w:val="22"/>
          <w:szCs w:val="22"/>
          <w:lang w:val="en-GB"/>
        </w:rPr>
      </w:pPr>
    </w:p>
    <w:p w14:paraId="7EBAB8A2" w14:textId="3613DE83" w:rsidR="002A6B6F" w:rsidRPr="002A6B6F" w:rsidRDefault="002A6B6F" w:rsidP="002A37BB">
      <w:pPr>
        <w:jc w:val="both"/>
        <w:rPr>
          <w:rFonts w:ascii="Arial" w:hAnsi="Arial" w:cs="Arial"/>
          <w:b/>
          <w:bCs/>
          <w:color w:val="7B7B7B" w:themeColor="accent3" w:themeShade="BF"/>
          <w:sz w:val="22"/>
          <w:szCs w:val="22"/>
          <w:lang w:val="en-GB"/>
        </w:rPr>
      </w:pPr>
      <w:r w:rsidRPr="002A6B6F">
        <w:rPr>
          <w:rFonts w:ascii="Arial" w:hAnsi="Arial" w:cs="Arial"/>
          <w:b/>
          <w:bCs/>
          <w:color w:val="7B7B7B" w:themeColor="accent3" w:themeShade="BF"/>
          <w:sz w:val="22"/>
          <w:szCs w:val="22"/>
          <w:lang w:val="en-GB"/>
        </w:rPr>
        <w:t xml:space="preserve">What can cause concerns with respect to independence and impartiality:  </w:t>
      </w:r>
    </w:p>
    <w:p w14:paraId="249E765A" w14:textId="77777777" w:rsidR="002A6B6F" w:rsidRDefault="002A6B6F" w:rsidP="002A37BB">
      <w:pPr>
        <w:jc w:val="both"/>
        <w:rPr>
          <w:rFonts w:ascii="Arial" w:hAnsi="Arial" w:cs="Arial"/>
          <w:color w:val="7B7B7B" w:themeColor="accent3" w:themeShade="BF"/>
          <w:sz w:val="22"/>
          <w:szCs w:val="22"/>
          <w:lang w:val="en-GB"/>
        </w:rPr>
      </w:pPr>
    </w:p>
    <w:p w14:paraId="616732F9" w14:textId="5B0013CC" w:rsidR="00E701BE" w:rsidRDefault="00E701B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and before looking at the different stages of proceedings where any threats to independence or impartiality may cause additional difficulties, it is important to understand what may give rise to a lack of indepe</w:t>
      </w:r>
      <w:r w:rsidR="00135878">
        <w:rPr>
          <w:rFonts w:ascii="Arial" w:hAnsi="Arial" w:cs="Arial"/>
          <w:color w:val="7B7B7B" w:themeColor="accent3" w:themeShade="BF"/>
          <w:sz w:val="22"/>
          <w:szCs w:val="22"/>
          <w:lang w:val="en-GB"/>
        </w:rPr>
        <w:t xml:space="preserve">ndence. Often, any professional or personal association with the company or a director of the company can be seen to raise concerns over independence and impartiality. Further, situations where the insolvency practitioner has some form of relationship with further shareholders, an employee, business partners of the company; other firms or companies within the control of the debtor may cause concerns over independence. Of particular concern for parties involved in the insolvency process, if the insolvency practitioner has existing relationships with creditors or debtors of the company understandably causes grave concerns over the independence and impartiality of the professional, and their suitability to take on such a role.  Whilst this is not an exhaustive list, nor is the existence of any of the above relationships an indication of any immediate issues, it is important that a contextual assessment is undertaken to determine the independence or impartiality of the insolvency professional, and it is important that the insolvency professional is able to make this assessment themselves in the exercise of their duties.  </w:t>
      </w:r>
    </w:p>
    <w:p w14:paraId="2D0464B5" w14:textId="334C1DC2" w:rsidR="00135878" w:rsidRDefault="00135878" w:rsidP="002A37BB">
      <w:pPr>
        <w:jc w:val="both"/>
        <w:rPr>
          <w:rFonts w:ascii="Arial" w:hAnsi="Arial" w:cs="Arial"/>
          <w:color w:val="7B7B7B" w:themeColor="accent3" w:themeShade="BF"/>
          <w:sz w:val="22"/>
          <w:szCs w:val="22"/>
          <w:lang w:val="en-GB"/>
        </w:rPr>
      </w:pPr>
    </w:p>
    <w:p w14:paraId="0A1E70F9" w14:textId="17BBE912" w:rsidR="002A6B6F" w:rsidRDefault="002A6B6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existence of the above relationships, some would argue that the mere disclosure of these relationships to effectively ‘cure’ any concerns that stakeholders may have. The mere disclosure of a relationship, as elucidated in the Australian decision of Irving</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highlighted how this is still, ultimately not sufficient to quell any concerns that stakeholders may have.  </w:t>
      </w:r>
    </w:p>
    <w:p w14:paraId="1EE92026" w14:textId="71F8924E" w:rsidR="002A6B6F" w:rsidRDefault="002A6B6F" w:rsidP="002A37BB">
      <w:pPr>
        <w:jc w:val="both"/>
        <w:rPr>
          <w:rFonts w:ascii="Arial" w:hAnsi="Arial" w:cs="Arial"/>
          <w:color w:val="7B7B7B" w:themeColor="accent3" w:themeShade="BF"/>
          <w:sz w:val="22"/>
          <w:szCs w:val="22"/>
          <w:lang w:val="en-GB"/>
        </w:rPr>
      </w:pPr>
    </w:p>
    <w:p w14:paraId="6811B2AB" w14:textId="0BD00F9F" w:rsidR="002A6B6F" w:rsidRDefault="002A6B6F"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Appointment of the insolvency professional</w:t>
      </w:r>
    </w:p>
    <w:p w14:paraId="47F3F704" w14:textId="75582D64" w:rsidR="002A6B6F" w:rsidRDefault="002A6B6F" w:rsidP="002A37BB">
      <w:pPr>
        <w:jc w:val="both"/>
        <w:rPr>
          <w:rFonts w:ascii="Arial" w:hAnsi="Arial" w:cs="Arial"/>
          <w:b/>
          <w:bCs/>
          <w:color w:val="7B7B7B" w:themeColor="accent3" w:themeShade="BF"/>
          <w:sz w:val="22"/>
          <w:szCs w:val="22"/>
          <w:lang w:val="en-GB"/>
        </w:rPr>
      </w:pPr>
    </w:p>
    <w:p w14:paraId="670295BB" w14:textId="77777777" w:rsidR="002A6B6F" w:rsidRDefault="002A6B6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Evidently, the time that can cause the greatest concerns to stakeholders is at the time of the insolvency appointment.  Often, and particularly with various forms of rescue proceedings, the insolvency professionals are appointed by the board of directors, or even a creditor, and where the proceedings are more akin to liquidation, then often it is the credits (and sometimes the directors) who are responsible for the appointment of the insolvency professional. Naturally, this can then cause other stakeholders to have some concerns depending on the nature of the appointment and their relationship with the appointer.  Further, insolvency professionals must always note their overriding duties to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stakeholders involved, and not just the parties responsible for their appointment. </w:t>
      </w:r>
    </w:p>
    <w:p w14:paraId="01951608" w14:textId="77777777" w:rsidR="002A6B6F" w:rsidRDefault="002A6B6F" w:rsidP="002A37BB">
      <w:pPr>
        <w:jc w:val="both"/>
        <w:rPr>
          <w:rFonts w:ascii="Arial" w:hAnsi="Arial" w:cs="Arial"/>
          <w:color w:val="7B7B7B" w:themeColor="accent3" w:themeShade="BF"/>
          <w:sz w:val="22"/>
          <w:szCs w:val="22"/>
          <w:lang w:val="en-GB"/>
        </w:rPr>
      </w:pPr>
    </w:p>
    <w:p w14:paraId="52D24678" w14:textId="761E78A9" w:rsidR="002A6B6F" w:rsidRDefault="002A6B6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on from the appointment of the insolvency professional, there can be further difficulties pertaining to a perceived lack of independence and impartiality where they are appointed to continue to provide advice where the insolvency regime has changed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from a rescue proceeding to liquidation).  This poses problems for the practitioner in being able to </w:t>
      </w:r>
      <w:r>
        <w:rPr>
          <w:rFonts w:ascii="Arial" w:hAnsi="Arial" w:cs="Arial"/>
          <w:color w:val="7B7B7B" w:themeColor="accent3" w:themeShade="BF"/>
          <w:sz w:val="22"/>
          <w:szCs w:val="22"/>
          <w:lang w:val="en-GB"/>
        </w:rPr>
        <w:lastRenderedPageBreak/>
        <w:t xml:space="preserve">be independent and impartial with respect to previous decisions made in respect of the company, as it is likely that they were partly or fully responsible for these decisions and thus they are in a position of both a self-interest threat as well as a self-review threat. </w:t>
      </w:r>
    </w:p>
    <w:p w14:paraId="0A07D9FE" w14:textId="6A429CA5" w:rsidR="000122CE" w:rsidRDefault="000122CE" w:rsidP="002A37BB">
      <w:pPr>
        <w:jc w:val="both"/>
        <w:rPr>
          <w:rFonts w:ascii="Arial" w:hAnsi="Arial" w:cs="Arial"/>
          <w:color w:val="7B7B7B" w:themeColor="accent3" w:themeShade="BF"/>
          <w:sz w:val="22"/>
          <w:szCs w:val="22"/>
          <w:lang w:val="en-GB"/>
        </w:rPr>
      </w:pPr>
    </w:p>
    <w:p w14:paraId="61032E89" w14:textId="03EDF38E" w:rsidR="00135878" w:rsidRDefault="000122CE" w:rsidP="001358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where the insolvency professional has provided advice in pre-insolvency proceedings, which </w:t>
      </w:r>
      <w:proofErr w:type="gramStart"/>
      <w:r>
        <w:rPr>
          <w:rFonts w:ascii="Arial" w:hAnsi="Arial" w:cs="Arial"/>
          <w:color w:val="7B7B7B" w:themeColor="accent3" w:themeShade="BF"/>
          <w:sz w:val="22"/>
          <w:szCs w:val="22"/>
          <w:lang w:val="en-GB"/>
        </w:rPr>
        <w:t>in reality is</w:t>
      </w:r>
      <w:proofErr w:type="gramEnd"/>
      <w:r>
        <w:rPr>
          <w:rFonts w:ascii="Arial" w:hAnsi="Arial" w:cs="Arial"/>
          <w:color w:val="7B7B7B" w:themeColor="accent3" w:themeShade="BF"/>
          <w:sz w:val="22"/>
          <w:szCs w:val="22"/>
          <w:lang w:val="en-GB"/>
        </w:rPr>
        <w:t xml:space="preserve"> a common occurrence (for example, the company begins to experience financial distress so they approach a professional for assistance with the management of the company without entering into a formal procedure) can create a perceived lack of impartiality because of that continued involvement. As stated above however, the extent of the involvement is crucial to considering if this involvement is a real threat to the impartiality and independence of the practitioner, and thus a contextual assessment should continuously occur to ensure that the insolvency practitioner is discharging their duties with the utmost of care and independence.  </w:t>
      </w:r>
    </w:p>
    <w:p w14:paraId="5AA5334D" w14:textId="0EADEAF7" w:rsidR="000122CE" w:rsidRDefault="000122CE" w:rsidP="00135878">
      <w:pPr>
        <w:jc w:val="both"/>
        <w:rPr>
          <w:rFonts w:ascii="Arial" w:hAnsi="Arial" w:cs="Arial"/>
          <w:color w:val="7B7B7B" w:themeColor="accent3" w:themeShade="BF"/>
          <w:sz w:val="22"/>
          <w:szCs w:val="22"/>
          <w:lang w:val="en-GB"/>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6FC1EECF" w14:textId="62DA4274" w:rsidR="003C354F" w:rsidRDefault="003C354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reliance of insolvency practitioners on legal advisors can give rise to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ethical considerations that should be at the forefront of the insolvency professionals minds, and across the entire length of the insolvency process. These issues will be discussed in the following. </w:t>
      </w:r>
    </w:p>
    <w:p w14:paraId="6A344D21" w14:textId="737FE7E4" w:rsidR="003C354F" w:rsidRDefault="003C354F" w:rsidP="002A37BB">
      <w:pPr>
        <w:jc w:val="both"/>
        <w:rPr>
          <w:rFonts w:ascii="Arial" w:hAnsi="Arial" w:cs="Arial"/>
          <w:color w:val="7B7B7B" w:themeColor="accent3" w:themeShade="BF"/>
          <w:sz w:val="22"/>
          <w:szCs w:val="22"/>
          <w:lang w:val="en-GB"/>
        </w:rPr>
      </w:pPr>
    </w:p>
    <w:p w14:paraId="3AD06A32" w14:textId="11951765" w:rsidR="003C354F" w:rsidRDefault="003C354F" w:rsidP="002A37B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Firstly</w:t>
      </w:r>
      <w:proofErr w:type="gramEnd"/>
      <w:r>
        <w:rPr>
          <w:rFonts w:ascii="Arial" w:hAnsi="Arial" w:cs="Arial"/>
          <w:color w:val="7B7B7B" w:themeColor="accent3" w:themeShade="BF"/>
          <w:sz w:val="22"/>
          <w:szCs w:val="22"/>
          <w:lang w:val="en-GB"/>
        </w:rPr>
        <w:t xml:space="preserve"> and foremostly, the main concern with the appointment of legal practitioners to any insolvency process is the value of their fees, and the impact that this may have on any chance of recovery </w:t>
      </w:r>
      <w:r w:rsidR="00B17DA7">
        <w:rPr>
          <w:rFonts w:ascii="Arial" w:hAnsi="Arial" w:cs="Arial"/>
          <w:color w:val="7B7B7B" w:themeColor="accent3" w:themeShade="BF"/>
          <w:sz w:val="22"/>
          <w:szCs w:val="22"/>
          <w:lang w:val="en-GB"/>
        </w:rPr>
        <w:t xml:space="preserve">for the </w:t>
      </w:r>
      <w:r>
        <w:rPr>
          <w:rFonts w:ascii="Arial" w:hAnsi="Arial" w:cs="Arial"/>
          <w:color w:val="7B7B7B" w:themeColor="accent3" w:themeShade="BF"/>
          <w:sz w:val="22"/>
          <w:szCs w:val="22"/>
          <w:lang w:val="en-GB"/>
        </w:rPr>
        <w:t xml:space="preserve">creditors of the company. </w:t>
      </w:r>
      <w:r w:rsidR="00B17DA7">
        <w:rPr>
          <w:rFonts w:ascii="Arial" w:hAnsi="Arial" w:cs="Arial"/>
          <w:color w:val="7B7B7B" w:themeColor="accent3" w:themeShade="BF"/>
          <w:sz w:val="22"/>
          <w:szCs w:val="22"/>
          <w:lang w:val="en-GB"/>
        </w:rPr>
        <w:t>Generally, as part of an insolvency process, the costs of the liquidator or administrator (</w:t>
      </w:r>
      <w:proofErr w:type="gramStart"/>
      <w:r w:rsidR="00B17DA7">
        <w:rPr>
          <w:rFonts w:ascii="Arial" w:hAnsi="Arial" w:cs="Arial"/>
          <w:color w:val="7B7B7B" w:themeColor="accent3" w:themeShade="BF"/>
          <w:sz w:val="22"/>
          <w:szCs w:val="22"/>
          <w:lang w:val="en-GB"/>
        </w:rPr>
        <w:t>i.e.</w:t>
      </w:r>
      <w:proofErr w:type="gramEnd"/>
      <w:r w:rsidR="00B17DA7">
        <w:rPr>
          <w:rFonts w:ascii="Arial" w:hAnsi="Arial" w:cs="Arial"/>
          <w:color w:val="7B7B7B" w:themeColor="accent3" w:themeShade="BF"/>
          <w:sz w:val="22"/>
          <w:szCs w:val="22"/>
          <w:lang w:val="en-GB"/>
        </w:rPr>
        <w:t xml:space="preserve"> the insolvency professional)</w:t>
      </w:r>
      <w:r w:rsidR="00524BD8">
        <w:rPr>
          <w:rFonts w:ascii="Arial" w:hAnsi="Arial" w:cs="Arial"/>
          <w:color w:val="7B7B7B" w:themeColor="accent3" w:themeShade="BF"/>
          <w:sz w:val="22"/>
          <w:szCs w:val="22"/>
          <w:lang w:val="en-GB"/>
        </w:rPr>
        <w:t xml:space="preserve">, are given priority in terms of payments from the company. This can then mean ultimately, that where the insolvency professional and the legal professional are charging fees, that there can be double up in fees incurred, as well as high costs if they are not managed properly, by both the insolvency professional and even the legal advisors. </w:t>
      </w:r>
    </w:p>
    <w:p w14:paraId="1FAF2C13" w14:textId="789F8282" w:rsidR="009F568B" w:rsidRDefault="009F568B" w:rsidP="002A37BB">
      <w:pPr>
        <w:jc w:val="both"/>
        <w:rPr>
          <w:rFonts w:ascii="Arial" w:hAnsi="Arial" w:cs="Arial"/>
          <w:color w:val="7B7B7B" w:themeColor="accent3" w:themeShade="BF"/>
          <w:sz w:val="22"/>
          <w:szCs w:val="22"/>
          <w:lang w:val="en-GB"/>
        </w:rPr>
      </w:pPr>
    </w:p>
    <w:p w14:paraId="1A5EAA7E" w14:textId="060F3797" w:rsidR="009F568B" w:rsidRDefault="009F56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fees of legal advisors often come under scrutiny and can cause significant issues.  If the solicitor is engaged directly by the insolvency practitioner, the costs of the legal advisor then become costs directly attributable to the insolvency professional and of course are given priority.  The insolvency practitioner will then find themselves in a position where they need to ensure that they use their commercial judgment when it comes to dealing with the legal fees of any insolvency process to protect the interests of stakeholder.  As stated in the Australian decision involving </w:t>
      </w:r>
      <w:proofErr w:type="spellStart"/>
      <w:r>
        <w:rPr>
          <w:rFonts w:ascii="Arial" w:hAnsi="Arial" w:cs="Arial"/>
          <w:color w:val="7B7B7B" w:themeColor="accent3" w:themeShade="BF"/>
          <w:sz w:val="22"/>
          <w:szCs w:val="22"/>
          <w:lang w:val="en-GB"/>
        </w:rPr>
        <w:t>Korda</w:t>
      </w:r>
      <w:proofErr w:type="spellEnd"/>
      <w:r>
        <w:rPr>
          <w:rFonts w:ascii="Arial" w:hAnsi="Arial" w:cs="Arial"/>
          <w:color w:val="7B7B7B" w:themeColor="accent3" w:themeShade="BF"/>
          <w:sz w:val="22"/>
          <w:szCs w:val="22"/>
          <w:lang w:val="en-GB"/>
        </w:rPr>
        <w:t xml:space="preserve"> Mentha, the insolvency professional would not only use their commercial </w:t>
      </w:r>
      <w:proofErr w:type="gramStart"/>
      <w:r>
        <w:rPr>
          <w:rFonts w:ascii="Arial" w:hAnsi="Arial" w:cs="Arial"/>
          <w:color w:val="7B7B7B" w:themeColor="accent3" w:themeShade="BF"/>
          <w:sz w:val="22"/>
          <w:szCs w:val="22"/>
          <w:lang w:val="en-GB"/>
        </w:rPr>
        <w:t>judgment, but</w:t>
      </w:r>
      <w:proofErr w:type="gramEnd"/>
      <w:r>
        <w:rPr>
          <w:rFonts w:ascii="Arial" w:hAnsi="Arial" w:cs="Arial"/>
          <w:color w:val="7B7B7B" w:themeColor="accent3" w:themeShade="BF"/>
          <w:sz w:val="22"/>
          <w:szCs w:val="22"/>
          <w:lang w:val="en-GB"/>
        </w:rPr>
        <w:t xml:space="preserve"> would also continually monitor these fees to ensure that they remain commercial and ultimately reasonable.</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w:t>
      </w:r>
    </w:p>
    <w:p w14:paraId="5D1043F8" w14:textId="0FE00D2E" w:rsidR="009F568B" w:rsidRDefault="009F568B" w:rsidP="002A37BB">
      <w:pPr>
        <w:jc w:val="both"/>
        <w:rPr>
          <w:rFonts w:ascii="Arial" w:hAnsi="Arial" w:cs="Arial"/>
          <w:color w:val="7B7B7B" w:themeColor="accent3" w:themeShade="BF"/>
          <w:sz w:val="22"/>
          <w:szCs w:val="22"/>
          <w:lang w:val="en-GB"/>
        </w:rPr>
      </w:pPr>
    </w:p>
    <w:p w14:paraId="21665443" w14:textId="60EADD93" w:rsidR="009F568B" w:rsidRDefault="009F56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where the costs are to be borne directly by the company (of course, this is dependent on the insolvency process), the fees of both the legal advisor and insolvency professional must be clearly examined.  Concerns can easily be raised by any stakeholder in the process that both the legal advisor and insolvency professional are duplicated resulting in higher costs to be borne by the company.  This again comes down to appropriate management of the legal advisor (and even the insolvency professional) in ensuring that the work that they are undertaking is not only correct and necessary, but also commercial.  </w:t>
      </w:r>
    </w:p>
    <w:p w14:paraId="3611FE0F" w14:textId="1558D19F" w:rsidR="00547777" w:rsidRDefault="00547777" w:rsidP="002A37BB">
      <w:pPr>
        <w:jc w:val="both"/>
        <w:rPr>
          <w:rFonts w:ascii="Arial" w:hAnsi="Arial" w:cs="Arial"/>
          <w:color w:val="7B7B7B" w:themeColor="accent3" w:themeShade="BF"/>
          <w:sz w:val="22"/>
          <w:szCs w:val="22"/>
          <w:lang w:val="en-GB"/>
        </w:rPr>
      </w:pPr>
    </w:p>
    <w:p w14:paraId="0B6E8759" w14:textId="3A7450C4" w:rsidR="00547777" w:rsidRDefault="0054777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a further issue with respect to legal advisors and their independence in their advice. Often legal practitioners and insolvency practitioners have ongoing relationships – whether it be on a professional level or a personal, and thus it is possible that the appointment of a certain legal advisor over and above an alternative advisor may be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this ongoing personal or professional relationship. It is important to note that this issue may also work in –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 company may use one specific lawyer for their legal issues, and then when the company enters financial difficulties, the lawyer may recommend the insolvency practitioner, who is then ultimately appointed by the Company.  </w:t>
      </w:r>
    </w:p>
    <w:p w14:paraId="1B4B3A82" w14:textId="301055C2" w:rsidR="00547777" w:rsidRDefault="00547777" w:rsidP="002A37BB">
      <w:pPr>
        <w:jc w:val="both"/>
        <w:rPr>
          <w:rFonts w:ascii="Arial" w:hAnsi="Arial" w:cs="Arial"/>
          <w:color w:val="7B7B7B" w:themeColor="accent3" w:themeShade="BF"/>
          <w:sz w:val="22"/>
          <w:szCs w:val="22"/>
          <w:lang w:val="en-GB"/>
        </w:rPr>
      </w:pPr>
    </w:p>
    <w:p w14:paraId="7DB6C6B8" w14:textId="4F0DF211" w:rsidR="00547777" w:rsidRPr="003C354F" w:rsidRDefault="0054777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type of relationship </w:t>
      </w:r>
      <w:r w:rsidR="003D3450">
        <w:rPr>
          <w:rFonts w:ascii="Arial" w:hAnsi="Arial" w:cs="Arial"/>
          <w:color w:val="7B7B7B" w:themeColor="accent3" w:themeShade="BF"/>
          <w:sz w:val="22"/>
          <w:szCs w:val="22"/>
          <w:lang w:val="en-GB"/>
        </w:rPr>
        <w:t>notwithstanding</w:t>
      </w:r>
      <w:r>
        <w:rPr>
          <w:rFonts w:ascii="Arial" w:hAnsi="Arial" w:cs="Arial"/>
          <w:color w:val="7B7B7B" w:themeColor="accent3" w:themeShade="BF"/>
          <w:sz w:val="22"/>
          <w:szCs w:val="22"/>
          <w:lang w:val="en-GB"/>
        </w:rPr>
        <w:t xml:space="preserve"> any concerns over fees</w:t>
      </w:r>
      <w:r w:rsidR="003D3450">
        <w:rPr>
          <w:rFonts w:ascii="Arial" w:hAnsi="Arial" w:cs="Arial"/>
          <w:color w:val="7B7B7B" w:themeColor="accent3" w:themeShade="BF"/>
          <w:sz w:val="22"/>
          <w:szCs w:val="22"/>
          <w:lang w:val="en-GB"/>
        </w:rPr>
        <w:t>, gives rise to a real concern over the independence and impartiality</w:t>
      </w:r>
      <w:r w:rsidR="009F4919">
        <w:rPr>
          <w:rFonts w:ascii="Arial" w:hAnsi="Arial" w:cs="Arial"/>
          <w:color w:val="7B7B7B" w:themeColor="accent3" w:themeShade="BF"/>
          <w:sz w:val="22"/>
          <w:szCs w:val="22"/>
          <w:lang w:val="en-GB"/>
        </w:rPr>
        <w:t xml:space="preserve"> of either </w:t>
      </w:r>
      <w:proofErr w:type="gramStart"/>
      <w:r w:rsidR="000122CE">
        <w:rPr>
          <w:rFonts w:ascii="Arial" w:hAnsi="Arial" w:cs="Arial"/>
          <w:color w:val="7B7B7B" w:themeColor="accent3" w:themeShade="BF"/>
          <w:sz w:val="22"/>
          <w:szCs w:val="22"/>
          <w:lang w:val="en-GB"/>
        </w:rPr>
        <w:t>professional;</w:t>
      </w:r>
      <w:proofErr w:type="gramEnd"/>
      <w:r w:rsidR="003D3450">
        <w:rPr>
          <w:rFonts w:ascii="Arial" w:hAnsi="Arial" w:cs="Arial"/>
          <w:color w:val="7B7B7B" w:themeColor="accent3" w:themeShade="BF"/>
          <w:sz w:val="22"/>
          <w:szCs w:val="22"/>
          <w:lang w:val="en-GB"/>
        </w:rPr>
        <w:t xml:space="preserve"> as well as the suitability of the appointment of either advisor. In the event of appointment of a lawyer to undertake specific work with respect to the </w:t>
      </w:r>
      <w:r w:rsidR="009F4919">
        <w:rPr>
          <w:rFonts w:ascii="Arial" w:hAnsi="Arial" w:cs="Arial"/>
          <w:color w:val="7B7B7B" w:themeColor="accent3" w:themeShade="BF"/>
          <w:sz w:val="22"/>
          <w:szCs w:val="22"/>
          <w:lang w:val="en-GB"/>
        </w:rPr>
        <w:t>company, and then to be appointed to insolvency process could give rise to a conflict with respect to the carrying out of their duties, and of course a view that they may not be impartial in the carrying out of the dutie</w:t>
      </w:r>
      <w:r w:rsidR="009F568B">
        <w:rPr>
          <w:rFonts w:ascii="Arial" w:hAnsi="Arial" w:cs="Arial"/>
          <w:color w:val="7B7B7B" w:themeColor="accent3" w:themeShade="BF"/>
          <w:sz w:val="22"/>
          <w:szCs w:val="22"/>
          <w:lang w:val="en-GB"/>
        </w:rPr>
        <w:t xml:space="preserve">s.  </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lastRenderedPageBreak/>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0B529FE3" w14:textId="77777777" w:rsidR="00711DC8" w:rsidRDefault="00711DC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has conducted himself in a way that gives rise to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ethical issues, which will be addressed in the following.  </w:t>
      </w:r>
    </w:p>
    <w:p w14:paraId="6E16C6E9" w14:textId="77777777" w:rsidR="00711DC8" w:rsidRDefault="00711DC8" w:rsidP="00087F21">
      <w:pPr>
        <w:autoSpaceDE w:val="0"/>
        <w:autoSpaceDN w:val="0"/>
        <w:adjustRightInd w:val="0"/>
        <w:jc w:val="both"/>
        <w:rPr>
          <w:rFonts w:ascii="Arial" w:hAnsi="Arial" w:cs="Arial"/>
          <w:color w:val="7B7B7B" w:themeColor="accent3" w:themeShade="BF"/>
          <w:sz w:val="22"/>
          <w:szCs w:val="22"/>
          <w:lang w:val="en-GB"/>
        </w:rPr>
      </w:pPr>
    </w:p>
    <w:p w14:paraId="1288BC91" w14:textId="58C923AE" w:rsidR="00711DC8" w:rsidRDefault="00711DC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Evidently, Mr Relation is conducting himself in a way that gives rise to a </w:t>
      </w:r>
      <w:r w:rsidR="00145C73">
        <w:rPr>
          <w:rFonts w:ascii="Arial" w:hAnsi="Arial" w:cs="Arial"/>
          <w:color w:val="7B7B7B" w:themeColor="accent3" w:themeShade="BF"/>
          <w:sz w:val="22"/>
          <w:szCs w:val="22"/>
          <w:lang w:val="en-GB"/>
        </w:rPr>
        <w:t xml:space="preserve">perception of a </w:t>
      </w:r>
      <w:r>
        <w:rPr>
          <w:rFonts w:ascii="Arial" w:hAnsi="Arial" w:cs="Arial"/>
          <w:color w:val="7B7B7B" w:themeColor="accent3" w:themeShade="BF"/>
          <w:sz w:val="22"/>
          <w:szCs w:val="22"/>
          <w:lang w:val="en-GB"/>
        </w:rPr>
        <w:t xml:space="preserve">lack of independence and impartiality.  This arises in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ways. Firstly, Mr Relation has a number of personal relationships with the individuals involved in the company, including his </w:t>
      </w:r>
      <w:proofErr w:type="gramStart"/>
      <w:r w:rsidR="00145C73">
        <w:rPr>
          <w:rFonts w:ascii="Arial" w:hAnsi="Arial" w:cs="Arial"/>
          <w:color w:val="7B7B7B" w:themeColor="accent3" w:themeShade="BF"/>
          <w:sz w:val="22"/>
          <w:szCs w:val="22"/>
          <w:lang w:val="en-GB"/>
        </w:rPr>
        <w:t>brother in law</w:t>
      </w:r>
      <w:proofErr w:type="gramEnd"/>
      <w:r w:rsidR="00145C73">
        <w:rPr>
          <w:rFonts w:ascii="Arial" w:hAnsi="Arial" w:cs="Arial"/>
          <w:color w:val="7B7B7B" w:themeColor="accent3" w:themeShade="BF"/>
          <w:sz w:val="22"/>
          <w:szCs w:val="22"/>
          <w:lang w:val="en-GB"/>
        </w:rPr>
        <w:t>, Mr B In Law and his goddaughter</w:t>
      </w:r>
      <w:r w:rsidR="00BD2928">
        <w:rPr>
          <w:rFonts w:ascii="Arial" w:hAnsi="Arial" w:cs="Arial"/>
          <w:color w:val="7B7B7B" w:themeColor="accent3" w:themeShade="BF"/>
          <w:sz w:val="22"/>
          <w:szCs w:val="22"/>
          <w:lang w:val="en-GB"/>
        </w:rPr>
        <w:t xml:space="preserve">. Evidently, it could be seen that Mr </w:t>
      </w:r>
      <w:proofErr w:type="spellStart"/>
      <w:r w:rsidR="00BD2928">
        <w:rPr>
          <w:rFonts w:ascii="Arial" w:hAnsi="Arial" w:cs="Arial"/>
          <w:color w:val="7B7B7B" w:themeColor="accent3" w:themeShade="BF"/>
          <w:sz w:val="22"/>
          <w:szCs w:val="22"/>
          <w:lang w:val="en-GB"/>
        </w:rPr>
        <w:t>Relaiton</w:t>
      </w:r>
      <w:proofErr w:type="spellEnd"/>
      <w:r w:rsidR="00BD2928">
        <w:rPr>
          <w:rFonts w:ascii="Arial" w:hAnsi="Arial" w:cs="Arial"/>
          <w:color w:val="7B7B7B" w:themeColor="accent3" w:themeShade="BF"/>
          <w:sz w:val="22"/>
          <w:szCs w:val="22"/>
          <w:lang w:val="en-GB"/>
        </w:rPr>
        <w:t xml:space="preserve"> will always prioritise the interests of those people that he has a relationship with during this </w:t>
      </w:r>
      <w:proofErr w:type="gramStart"/>
      <w:r w:rsidR="00BD2928">
        <w:rPr>
          <w:rFonts w:ascii="Arial" w:hAnsi="Arial" w:cs="Arial"/>
          <w:color w:val="7B7B7B" w:themeColor="accent3" w:themeShade="BF"/>
          <w:sz w:val="22"/>
          <w:szCs w:val="22"/>
          <w:lang w:val="en-GB"/>
        </w:rPr>
        <w:t>process, and</w:t>
      </w:r>
      <w:proofErr w:type="gramEnd"/>
      <w:r w:rsidR="00BD2928">
        <w:rPr>
          <w:rFonts w:ascii="Arial" w:hAnsi="Arial" w:cs="Arial"/>
          <w:color w:val="7B7B7B" w:themeColor="accent3" w:themeShade="BF"/>
          <w:sz w:val="22"/>
          <w:szCs w:val="22"/>
          <w:lang w:val="en-GB"/>
        </w:rPr>
        <w:t xml:space="preserve"> may not act in the best interests of all stakeholders.  Further, Mr Relation also finds himself, being appointed for pre-insolvency work, and for the actual appointment. In terms of the pre-insolvency work, Mr </w:t>
      </w:r>
      <w:r w:rsidR="00E6720A">
        <w:rPr>
          <w:rFonts w:ascii="Arial" w:hAnsi="Arial" w:cs="Arial"/>
          <w:color w:val="7B7B7B" w:themeColor="accent3" w:themeShade="BF"/>
          <w:sz w:val="22"/>
          <w:szCs w:val="22"/>
          <w:lang w:val="en-GB"/>
        </w:rPr>
        <w:t>relation should have made it clear in any advice to the board (or the company generally) that his role may change, and as such the board is aware of this potential change, which could arguably lead to a change in his appointment.</w:t>
      </w:r>
      <w:r w:rsidR="00E6720A">
        <w:rPr>
          <w:rStyle w:val="FootnoteReference"/>
          <w:rFonts w:ascii="Arial" w:hAnsi="Arial" w:cs="Arial"/>
          <w:color w:val="7B7B7B" w:themeColor="accent3" w:themeShade="BF"/>
          <w:sz w:val="22"/>
          <w:szCs w:val="22"/>
          <w:lang w:val="en-GB"/>
        </w:rPr>
        <w:footnoteReference w:id="4"/>
      </w:r>
      <w:r w:rsidR="00E6720A">
        <w:rPr>
          <w:rFonts w:ascii="Arial" w:hAnsi="Arial" w:cs="Arial"/>
          <w:color w:val="7B7B7B" w:themeColor="accent3" w:themeShade="BF"/>
          <w:sz w:val="22"/>
          <w:szCs w:val="22"/>
          <w:lang w:val="en-GB"/>
        </w:rPr>
        <w:t xml:space="preserve">  Further the continuing appointment of Mr Relation may then proceed to create </w:t>
      </w:r>
      <w:r w:rsidR="00BD2928">
        <w:rPr>
          <w:rFonts w:ascii="Arial" w:hAnsi="Arial" w:cs="Arial"/>
          <w:color w:val="7B7B7B" w:themeColor="accent3" w:themeShade="BF"/>
          <w:sz w:val="22"/>
          <w:szCs w:val="22"/>
          <w:lang w:val="en-GB"/>
        </w:rPr>
        <w:t xml:space="preserve">self-interest and self-review </w:t>
      </w:r>
      <w:r w:rsidR="00E6720A">
        <w:rPr>
          <w:rFonts w:ascii="Arial" w:hAnsi="Arial" w:cs="Arial"/>
          <w:color w:val="7B7B7B" w:themeColor="accent3" w:themeShade="BF"/>
          <w:sz w:val="22"/>
          <w:szCs w:val="22"/>
          <w:lang w:val="en-GB"/>
        </w:rPr>
        <w:t xml:space="preserve">threats. The self-review threat can arise </w:t>
      </w:r>
      <w:proofErr w:type="gramStart"/>
      <w:r w:rsidR="00E6720A">
        <w:rPr>
          <w:rFonts w:ascii="Arial" w:hAnsi="Arial" w:cs="Arial"/>
          <w:color w:val="7B7B7B" w:themeColor="accent3" w:themeShade="BF"/>
          <w:sz w:val="22"/>
          <w:szCs w:val="22"/>
          <w:lang w:val="en-GB"/>
        </w:rPr>
        <w:t>as a result of</w:t>
      </w:r>
      <w:proofErr w:type="gramEnd"/>
      <w:r w:rsidR="00E6720A">
        <w:rPr>
          <w:rFonts w:ascii="Arial" w:hAnsi="Arial" w:cs="Arial"/>
          <w:color w:val="7B7B7B" w:themeColor="accent3" w:themeShade="BF"/>
          <w:sz w:val="22"/>
          <w:szCs w:val="22"/>
          <w:lang w:val="en-GB"/>
        </w:rPr>
        <w:t xml:space="preserve"> Mr Relation having had a longstanding relationship with the company, having to review the previous decisions made in respect of the company. The self-interest threat arises where there is a continued need to deal with Mr Relation’s remuneration. Whilst we are not aware of the remuneration structure as part of the scenario, it is important to be cognisant of such a risk as it may be likely to be raised by a stakeholder.  </w:t>
      </w:r>
    </w:p>
    <w:p w14:paraId="358B7CC3" w14:textId="77777777" w:rsidR="009D0F92" w:rsidRDefault="009D0F92" w:rsidP="00087F21">
      <w:pPr>
        <w:autoSpaceDE w:val="0"/>
        <w:autoSpaceDN w:val="0"/>
        <w:adjustRightInd w:val="0"/>
        <w:jc w:val="both"/>
        <w:rPr>
          <w:rFonts w:ascii="Arial" w:hAnsi="Arial" w:cs="Arial"/>
          <w:color w:val="7B7B7B" w:themeColor="accent3" w:themeShade="BF"/>
          <w:sz w:val="22"/>
          <w:szCs w:val="22"/>
          <w:lang w:val="en-GB"/>
        </w:rPr>
      </w:pPr>
    </w:p>
    <w:p w14:paraId="10C2E134" w14:textId="5A3621CA" w:rsidR="00711DC8" w:rsidRDefault="00145C7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has also failed to act with integrity.  He has made fabricated comments regarding the accounts of the company and finding no wrongdoing or maladministration of the company, despite not adequately discharging his duties in respect to his investigations. Further, this </w:t>
      </w:r>
      <w:r>
        <w:rPr>
          <w:rFonts w:ascii="Arial" w:hAnsi="Arial" w:cs="Arial"/>
          <w:color w:val="7B7B7B" w:themeColor="accent3" w:themeShade="BF"/>
          <w:sz w:val="22"/>
          <w:szCs w:val="22"/>
          <w:lang w:val="en-GB"/>
        </w:rPr>
        <w:lastRenderedPageBreak/>
        <w:t>shows a failure in moral or ethical principles, and would also constitute a failure with respect to his professional behaviour.</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It is imperative that an insolvency profession undertake their duties with the diligence and communicate their findings and strategic plans for the insolvency process to all stakeholders, providing a transparent and fair process to all.  </w:t>
      </w:r>
    </w:p>
    <w:p w14:paraId="3F7CA2C7" w14:textId="7453A8B6" w:rsidR="009D0F92" w:rsidRDefault="009D0F92" w:rsidP="00087F21">
      <w:pPr>
        <w:autoSpaceDE w:val="0"/>
        <w:autoSpaceDN w:val="0"/>
        <w:adjustRightInd w:val="0"/>
        <w:jc w:val="both"/>
        <w:rPr>
          <w:rFonts w:ascii="Arial" w:hAnsi="Arial" w:cs="Arial"/>
          <w:color w:val="7B7B7B" w:themeColor="accent3" w:themeShade="BF"/>
          <w:sz w:val="22"/>
          <w:szCs w:val="22"/>
          <w:lang w:val="en-GB"/>
        </w:rPr>
      </w:pPr>
    </w:p>
    <w:p w14:paraId="487C542A" w14:textId="47C6154A" w:rsidR="009D0F92" w:rsidRDefault="009D0F9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has also failed to act professionally in respect of his comments regarding banks, which again raises concerns about his independence and impartiality given his outspoken views on the role of banks in other insolvency proceedings, and now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contend with the bank being a significant creditor. </w:t>
      </w:r>
      <w:r w:rsidR="00BD2928">
        <w:rPr>
          <w:rFonts w:ascii="Arial" w:hAnsi="Arial" w:cs="Arial"/>
          <w:color w:val="7B7B7B" w:themeColor="accent3" w:themeShade="BF"/>
          <w:sz w:val="22"/>
          <w:szCs w:val="22"/>
          <w:lang w:val="en-GB"/>
        </w:rPr>
        <w:t xml:space="preserve">This clearly could even bring the profession into disrepute and cause a rift between two common stakeholders that </w:t>
      </w:r>
      <w:proofErr w:type="gramStart"/>
      <w:r w:rsidR="00BD2928">
        <w:rPr>
          <w:rFonts w:ascii="Arial" w:hAnsi="Arial" w:cs="Arial"/>
          <w:color w:val="7B7B7B" w:themeColor="accent3" w:themeShade="BF"/>
          <w:sz w:val="22"/>
          <w:szCs w:val="22"/>
          <w:lang w:val="en-GB"/>
        </w:rPr>
        <w:t>have to</w:t>
      </w:r>
      <w:proofErr w:type="gramEnd"/>
      <w:r w:rsidR="00BD2928">
        <w:rPr>
          <w:rFonts w:ascii="Arial" w:hAnsi="Arial" w:cs="Arial"/>
          <w:color w:val="7B7B7B" w:themeColor="accent3" w:themeShade="BF"/>
          <w:sz w:val="22"/>
          <w:szCs w:val="22"/>
          <w:lang w:val="en-GB"/>
        </w:rPr>
        <w:t xml:space="preserve"> work together as part of insolvency proceedings. </w:t>
      </w:r>
      <w:r>
        <w:rPr>
          <w:rFonts w:ascii="Arial" w:hAnsi="Arial" w:cs="Arial"/>
          <w:color w:val="7B7B7B" w:themeColor="accent3" w:themeShade="BF"/>
          <w:sz w:val="22"/>
          <w:szCs w:val="22"/>
          <w:lang w:val="en-GB"/>
        </w:rPr>
        <w:t>Relevantly, it is noted that this has caused concerns over his appointment as the administrator</w:t>
      </w:r>
      <w:r w:rsidR="00BD2928">
        <w:rPr>
          <w:rFonts w:ascii="Arial" w:hAnsi="Arial" w:cs="Arial"/>
          <w:color w:val="7B7B7B" w:themeColor="accent3" w:themeShade="BF"/>
          <w:sz w:val="22"/>
          <w:szCs w:val="22"/>
          <w:lang w:val="en-GB"/>
        </w:rPr>
        <w:t xml:space="preserve">, and such conduct would give rise to a view that Mr Relation would treat banks differently in the administration of the proceedings, and not ensure that their position is adequately protected like it should be (where a competent and ethical insolvency professional has been appointed).  To avoid this, an insolvency practitioner should never make such comments publicly, particularly when they are aimed at one specific demographic or type of entity.  </w:t>
      </w:r>
    </w:p>
    <w:p w14:paraId="08BAE199" w14:textId="77777777" w:rsidR="009D0F92" w:rsidRDefault="009D0F92" w:rsidP="00087F21">
      <w:pPr>
        <w:autoSpaceDE w:val="0"/>
        <w:autoSpaceDN w:val="0"/>
        <w:adjustRightInd w:val="0"/>
        <w:jc w:val="both"/>
        <w:rPr>
          <w:rFonts w:ascii="Arial" w:hAnsi="Arial" w:cs="Arial"/>
          <w:color w:val="7B7B7B" w:themeColor="accent3" w:themeShade="BF"/>
          <w:sz w:val="22"/>
          <w:szCs w:val="22"/>
          <w:lang w:val="en-GB"/>
        </w:rPr>
      </w:pPr>
    </w:p>
    <w:p w14:paraId="3E4A6CA9" w14:textId="71C8F22A" w:rsidR="009D0F92" w:rsidRDefault="009D0F9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Relation has also failed to act with objectivity</w:t>
      </w:r>
      <w:r w:rsidR="00A25F27">
        <w:rPr>
          <w:rFonts w:ascii="Arial" w:hAnsi="Arial" w:cs="Arial"/>
          <w:color w:val="7B7B7B" w:themeColor="accent3" w:themeShade="BF"/>
          <w:sz w:val="22"/>
          <w:szCs w:val="22"/>
          <w:lang w:val="en-GB"/>
        </w:rPr>
        <w:t xml:space="preserve">, particularly with respect to his comments regarding his investigation of the </w:t>
      </w:r>
      <w:r w:rsidR="00A65074">
        <w:rPr>
          <w:rFonts w:ascii="Arial" w:hAnsi="Arial" w:cs="Arial"/>
          <w:color w:val="7B7B7B" w:themeColor="accent3" w:themeShade="BF"/>
          <w:sz w:val="22"/>
          <w:szCs w:val="22"/>
          <w:lang w:val="en-GB"/>
        </w:rPr>
        <w:t xml:space="preserve">company, saying that his focus was only on </w:t>
      </w:r>
      <w:r w:rsidR="00BD2928">
        <w:rPr>
          <w:rFonts w:ascii="Arial" w:hAnsi="Arial" w:cs="Arial"/>
          <w:color w:val="7B7B7B" w:themeColor="accent3" w:themeShade="BF"/>
          <w:sz w:val="22"/>
          <w:szCs w:val="22"/>
          <w:lang w:val="en-GB"/>
        </w:rPr>
        <w:t xml:space="preserve">rescuing the company, and not on anything that the directors have done. Naturally, this would also lead one to view that </w:t>
      </w:r>
      <w:r>
        <w:rPr>
          <w:rFonts w:ascii="Arial" w:hAnsi="Arial" w:cs="Arial"/>
          <w:color w:val="7B7B7B" w:themeColor="accent3" w:themeShade="BF"/>
          <w:sz w:val="22"/>
          <w:szCs w:val="22"/>
          <w:lang w:val="en-GB"/>
        </w:rPr>
        <w:t xml:space="preserve">Mr Relation has also arguably failed to discharge his duty of care, </w:t>
      </w:r>
      <w:proofErr w:type="gramStart"/>
      <w:r>
        <w:rPr>
          <w:rFonts w:ascii="Arial" w:hAnsi="Arial" w:cs="Arial"/>
          <w:color w:val="7B7B7B" w:themeColor="accent3" w:themeShade="BF"/>
          <w:sz w:val="22"/>
          <w:szCs w:val="22"/>
          <w:lang w:val="en-GB"/>
        </w:rPr>
        <w:t>diligence</w:t>
      </w:r>
      <w:proofErr w:type="gramEnd"/>
      <w:r>
        <w:rPr>
          <w:rFonts w:ascii="Arial" w:hAnsi="Arial" w:cs="Arial"/>
          <w:color w:val="7B7B7B" w:themeColor="accent3" w:themeShade="BF"/>
          <w:sz w:val="22"/>
          <w:szCs w:val="22"/>
          <w:lang w:val="en-GB"/>
        </w:rPr>
        <w:t xml:space="preserve"> and skill with respect to all of the internal investigations that he has conducted in respect of the company.  </w:t>
      </w:r>
    </w:p>
    <w:p w14:paraId="3FE79FCD" w14:textId="77777777" w:rsidR="00BE765F" w:rsidRPr="002A37BB" w:rsidRDefault="00BE765F"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904C" w14:textId="77777777" w:rsidR="0077231A" w:rsidRDefault="0077231A" w:rsidP="00241B44">
      <w:r>
        <w:separator/>
      </w:r>
    </w:p>
  </w:endnote>
  <w:endnote w:type="continuationSeparator" w:id="0">
    <w:p w14:paraId="0D3C7F5B" w14:textId="77777777" w:rsidR="0077231A" w:rsidRDefault="007723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0FDFEFD5" w:rsidR="00241FA3" w:rsidRPr="009F568B" w:rsidRDefault="009F568B" w:rsidP="009B4976">
    <w:pPr>
      <w:pStyle w:val="Footer"/>
      <w:ind w:right="360"/>
      <w:rPr>
        <w:rFonts w:ascii="Arial" w:hAnsi="Arial" w:cs="Arial"/>
        <w:sz w:val="18"/>
        <w:szCs w:val="18"/>
        <w:lang w:val="en-AU"/>
      </w:rPr>
    </w:pPr>
    <w:r w:rsidRPr="009F568B">
      <w:rPr>
        <w:rFonts w:ascii="Arial" w:hAnsi="Arial" w:cs="Arial"/>
        <w:sz w:val="18"/>
        <w:szCs w:val="18"/>
        <w:lang w:val="en-AU"/>
      </w:rPr>
      <w:t>202021IFU-369</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D058" w14:textId="77777777" w:rsidR="0077231A" w:rsidRDefault="0077231A" w:rsidP="00241B44">
      <w:r>
        <w:separator/>
      </w:r>
    </w:p>
  </w:footnote>
  <w:footnote w:type="continuationSeparator" w:id="0">
    <w:p w14:paraId="0AEAB16B" w14:textId="77777777" w:rsidR="0077231A" w:rsidRDefault="0077231A" w:rsidP="00241B44">
      <w:r>
        <w:continuationSeparator/>
      </w:r>
    </w:p>
  </w:footnote>
  <w:footnote w:id="1">
    <w:p w14:paraId="684A5B1D" w14:textId="5986B708" w:rsidR="00E3755E" w:rsidRPr="00E3755E" w:rsidRDefault="00E3755E">
      <w:pPr>
        <w:pStyle w:val="FootnoteText"/>
        <w:rPr>
          <w:lang w:val="en-AU"/>
        </w:rPr>
      </w:pPr>
      <w:r>
        <w:rPr>
          <w:rStyle w:val="FootnoteReference"/>
        </w:rPr>
        <w:footnoteRef/>
      </w:r>
      <w:r>
        <w:t xml:space="preserve"> </w:t>
      </w:r>
      <w:r>
        <w:rPr>
          <w:i/>
          <w:iCs/>
          <w:lang w:val="en-AU"/>
        </w:rPr>
        <w:t>Mirror Group Newspapers plc v Maxwell (No 2)</w:t>
      </w:r>
      <w:r>
        <w:rPr>
          <w:lang w:val="en-AU"/>
        </w:rPr>
        <w:t xml:space="preserve"> [1998] I BCLC 638, 648.  </w:t>
      </w:r>
    </w:p>
  </w:footnote>
  <w:footnote w:id="2">
    <w:p w14:paraId="7C8DB30D" w14:textId="3D0BEFDA" w:rsidR="002A6B6F" w:rsidRPr="002A6B6F" w:rsidRDefault="002A6B6F">
      <w:pPr>
        <w:pStyle w:val="FootnoteText"/>
        <w:rPr>
          <w:lang w:val="en-AU"/>
        </w:rPr>
      </w:pPr>
      <w:r>
        <w:rPr>
          <w:rStyle w:val="FootnoteReference"/>
        </w:rPr>
        <w:footnoteRef/>
      </w:r>
      <w:r>
        <w:t xml:space="preserve"> </w:t>
      </w:r>
      <w:r>
        <w:rPr>
          <w:i/>
          <w:iCs/>
          <w:lang w:val="en-AU"/>
        </w:rPr>
        <w:t xml:space="preserve">Commonwealth Bank of Australia v Irving </w:t>
      </w:r>
      <w:r>
        <w:rPr>
          <w:lang w:val="en-AU"/>
        </w:rPr>
        <w:t>[1996] 65 FCR 291</w:t>
      </w:r>
    </w:p>
  </w:footnote>
  <w:footnote w:id="3">
    <w:p w14:paraId="00A35B83" w14:textId="633A5882" w:rsidR="009F568B" w:rsidRPr="009F568B" w:rsidRDefault="009F568B">
      <w:pPr>
        <w:pStyle w:val="FootnoteText"/>
        <w:rPr>
          <w:lang w:val="en-AU"/>
        </w:rPr>
      </w:pPr>
      <w:r>
        <w:rPr>
          <w:rStyle w:val="FootnoteReference"/>
        </w:rPr>
        <w:footnoteRef/>
      </w:r>
      <w:r>
        <w:t xml:space="preserve"> </w:t>
      </w:r>
      <w:r>
        <w:rPr>
          <w:i/>
          <w:iCs/>
        </w:rPr>
        <w:t xml:space="preserve">Re </w:t>
      </w:r>
      <w:proofErr w:type="spellStart"/>
      <w:r>
        <w:rPr>
          <w:i/>
          <w:iCs/>
        </w:rPr>
        <w:t>Korda</w:t>
      </w:r>
      <w:proofErr w:type="spellEnd"/>
      <w:r>
        <w:rPr>
          <w:i/>
          <w:iCs/>
        </w:rPr>
        <w:t xml:space="preserve">; In the matter of Stockford Ltd </w:t>
      </w:r>
      <w:r>
        <w:t xml:space="preserve">(2004) 140 FCR 424, 443.  </w:t>
      </w:r>
    </w:p>
  </w:footnote>
  <w:footnote w:id="4">
    <w:p w14:paraId="1182DEA1" w14:textId="5C28C8BC" w:rsidR="00E6720A" w:rsidRPr="00E6720A" w:rsidRDefault="00E6720A">
      <w:pPr>
        <w:pStyle w:val="FootnoteText"/>
        <w:rPr>
          <w:lang w:val="en-AU"/>
        </w:rPr>
      </w:pPr>
      <w:r>
        <w:rPr>
          <w:rStyle w:val="FootnoteReference"/>
        </w:rPr>
        <w:footnoteRef/>
      </w:r>
      <w:r>
        <w:t xml:space="preserve"> </w:t>
      </w:r>
      <w:r>
        <w:rPr>
          <w:i/>
          <w:iCs/>
          <w:lang w:val="en-AU"/>
        </w:rPr>
        <w:t xml:space="preserve">Re </w:t>
      </w:r>
      <w:proofErr w:type="spellStart"/>
      <w:r>
        <w:rPr>
          <w:i/>
          <w:iCs/>
          <w:lang w:val="en-AU"/>
        </w:rPr>
        <w:t>Korda</w:t>
      </w:r>
      <w:proofErr w:type="spellEnd"/>
      <w:r>
        <w:rPr>
          <w:i/>
          <w:iCs/>
          <w:lang w:val="en-AU"/>
        </w:rPr>
        <w:t>, Ten Network Holdings Ltd (</w:t>
      </w:r>
      <w:proofErr w:type="spellStart"/>
      <w:r>
        <w:rPr>
          <w:i/>
          <w:iCs/>
          <w:lang w:val="en-AU"/>
        </w:rPr>
        <w:t>Admn</w:t>
      </w:r>
      <w:proofErr w:type="spellEnd"/>
      <w:r>
        <w:rPr>
          <w:i/>
          <w:iCs/>
          <w:lang w:val="en-AU"/>
        </w:rPr>
        <w:t xml:space="preserve"> </w:t>
      </w:r>
      <w:proofErr w:type="spellStart"/>
      <w:r>
        <w:rPr>
          <w:i/>
          <w:iCs/>
          <w:lang w:val="en-AU"/>
        </w:rPr>
        <w:t>Apptd</w:t>
      </w:r>
      <w:proofErr w:type="spellEnd"/>
      <w:r>
        <w:rPr>
          <w:i/>
          <w:iCs/>
          <w:lang w:val="en-AU"/>
        </w:rPr>
        <w:t xml:space="preserve">) (Recs and mgrs. </w:t>
      </w:r>
      <w:proofErr w:type="spellStart"/>
      <w:r>
        <w:rPr>
          <w:i/>
          <w:iCs/>
          <w:lang w:val="en-AU"/>
        </w:rPr>
        <w:t>Apptd</w:t>
      </w:r>
      <w:proofErr w:type="spellEnd"/>
      <w:r>
        <w:rPr>
          <w:i/>
          <w:iCs/>
          <w:lang w:val="en-AU"/>
        </w:rPr>
        <w:t xml:space="preserve">) </w:t>
      </w:r>
      <w:r>
        <w:rPr>
          <w:lang w:val="en-AU"/>
        </w:rPr>
        <w:t xml:space="preserve">[2017] FCA 914.  </w:t>
      </w:r>
    </w:p>
  </w:footnote>
  <w:footnote w:id="5">
    <w:p w14:paraId="0DCE8B08" w14:textId="71F835D5" w:rsidR="00145C73" w:rsidRPr="009D0F92" w:rsidRDefault="00145C73">
      <w:pPr>
        <w:pStyle w:val="FootnoteText"/>
        <w:rPr>
          <w:lang w:val="en-AU"/>
        </w:rPr>
      </w:pPr>
      <w:r>
        <w:rPr>
          <w:rStyle w:val="FootnoteReference"/>
        </w:rPr>
        <w:footnoteRef/>
      </w:r>
      <w:r>
        <w:t xml:space="preserve"> </w:t>
      </w:r>
      <w:r>
        <w:rPr>
          <w:lang w:val="en-AU"/>
        </w:rPr>
        <w:t xml:space="preserve">J </w:t>
      </w:r>
      <w:proofErr w:type="spellStart"/>
      <w:r>
        <w:rPr>
          <w:lang w:val="en-AU"/>
        </w:rPr>
        <w:t>Dickfos</w:t>
      </w:r>
      <w:proofErr w:type="spellEnd"/>
      <w:r>
        <w:rPr>
          <w:lang w:val="en-AU"/>
        </w:rPr>
        <w:t xml:space="preserve">, </w:t>
      </w:r>
      <w:r w:rsidRPr="009D0F92">
        <w:rPr>
          <w:i/>
          <w:iCs/>
          <w:lang w:val="en-AU"/>
        </w:rPr>
        <w:t>“The Costs and Benefits of Regulating the Market for Corporate Insolvency Practitioner</w:t>
      </w:r>
      <w:r w:rsidR="009D0F92" w:rsidRPr="009D0F92">
        <w:rPr>
          <w:i/>
          <w:iCs/>
          <w:lang w:val="en-AU"/>
        </w:rPr>
        <w:t xml:space="preserve"> Remuneration” </w:t>
      </w:r>
      <w:r w:rsidR="009D0F92">
        <w:rPr>
          <w:lang w:val="en-AU"/>
        </w:rPr>
        <w:t xml:space="preserve">(2016) 25 Int </w:t>
      </w:r>
      <w:proofErr w:type="spellStart"/>
      <w:r w:rsidR="009D0F92">
        <w:rPr>
          <w:lang w:val="en-AU"/>
        </w:rPr>
        <w:t>Insolv</w:t>
      </w:r>
      <w:proofErr w:type="spellEnd"/>
      <w:r w:rsidR="009D0F92">
        <w:rPr>
          <w:lang w:val="en-AU"/>
        </w:rPr>
        <w:t xml:space="preserve"> Rev.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122CE"/>
    <w:rsid w:val="00020557"/>
    <w:rsid w:val="00021DF3"/>
    <w:rsid w:val="00021FC2"/>
    <w:rsid w:val="000250C7"/>
    <w:rsid w:val="00026F16"/>
    <w:rsid w:val="00037621"/>
    <w:rsid w:val="00044D46"/>
    <w:rsid w:val="00045088"/>
    <w:rsid w:val="00045904"/>
    <w:rsid w:val="00046A7B"/>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35878"/>
    <w:rsid w:val="0014171F"/>
    <w:rsid w:val="00145C73"/>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254E7"/>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A6B6F"/>
    <w:rsid w:val="002B1C45"/>
    <w:rsid w:val="002C13C8"/>
    <w:rsid w:val="002C3547"/>
    <w:rsid w:val="002C5F61"/>
    <w:rsid w:val="002D0021"/>
    <w:rsid w:val="002D299D"/>
    <w:rsid w:val="002D3473"/>
    <w:rsid w:val="002E2B14"/>
    <w:rsid w:val="002E4140"/>
    <w:rsid w:val="002F1956"/>
    <w:rsid w:val="002F3440"/>
    <w:rsid w:val="002F75A3"/>
    <w:rsid w:val="00303C2F"/>
    <w:rsid w:val="003144EF"/>
    <w:rsid w:val="00315278"/>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354F"/>
    <w:rsid w:val="003C4471"/>
    <w:rsid w:val="003D0A6D"/>
    <w:rsid w:val="003D3450"/>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970BD"/>
    <w:rsid w:val="004A2D83"/>
    <w:rsid w:val="004A57DD"/>
    <w:rsid w:val="004A7B51"/>
    <w:rsid w:val="004A7D71"/>
    <w:rsid w:val="004A7EF3"/>
    <w:rsid w:val="004B11FD"/>
    <w:rsid w:val="004B23A2"/>
    <w:rsid w:val="004B7522"/>
    <w:rsid w:val="004D1A5A"/>
    <w:rsid w:val="004D2C62"/>
    <w:rsid w:val="004D2FFF"/>
    <w:rsid w:val="004D3721"/>
    <w:rsid w:val="004D64F9"/>
    <w:rsid w:val="004E3A6B"/>
    <w:rsid w:val="004E622C"/>
    <w:rsid w:val="004F50CD"/>
    <w:rsid w:val="004F5FDF"/>
    <w:rsid w:val="00501270"/>
    <w:rsid w:val="005177FE"/>
    <w:rsid w:val="0052263B"/>
    <w:rsid w:val="00524728"/>
    <w:rsid w:val="00524BD8"/>
    <w:rsid w:val="005331CA"/>
    <w:rsid w:val="00537970"/>
    <w:rsid w:val="00540E3A"/>
    <w:rsid w:val="00544127"/>
    <w:rsid w:val="005463A9"/>
    <w:rsid w:val="00547777"/>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7775"/>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1DC8"/>
    <w:rsid w:val="00713DA4"/>
    <w:rsid w:val="00714BF1"/>
    <w:rsid w:val="00721383"/>
    <w:rsid w:val="0073158B"/>
    <w:rsid w:val="007333CC"/>
    <w:rsid w:val="0073399A"/>
    <w:rsid w:val="00740DAD"/>
    <w:rsid w:val="007425B0"/>
    <w:rsid w:val="007603F5"/>
    <w:rsid w:val="00764DB0"/>
    <w:rsid w:val="0076764D"/>
    <w:rsid w:val="0077231A"/>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7701"/>
    <w:rsid w:val="008723F3"/>
    <w:rsid w:val="00876DB0"/>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B7B4D"/>
    <w:rsid w:val="009C0B8E"/>
    <w:rsid w:val="009C1BC8"/>
    <w:rsid w:val="009C2442"/>
    <w:rsid w:val="009D0811"/>
    <w:rsid w:val="009D0EE1"/>
    <w:rsid w:val="009D0F92"/>
    <w:rsid w:val="009D2410"/>
    <w:rsid w:val="009E2AEB"/>
    <w:rsid w:val="009E2E27"/>
    <w:rsid w:val="009E45DF"/>
    <w:rsid w:val="009E4DE3"/>
    <w:rsid w:val="009F275E"/>
    <w:rsid w:val="009F4919"/>
    <w:rsid w:val="009F568B"/>
    <w:rsid w:val="00A047EE"/>
    <w:rsid w:val="00A2274A"/>
    <w:rsid w:val="00A235B7"/>
    <w:rsid w:val="00A25F27"/>
    <w:rsid w:val="00A27A7A"/>
    <w:rsid w:val="00A34ABE"/>
    <w:rsid w:val="00A37300"/>
    <w:rsid w:val="00A407EF"/>
    <w:rsid w:val="00A40CCE"/>
    <w:rsid w:val="00A46B4C"/>
    <w:rsid w:val="00A5117B"/>
    <w:rsid w:val="00A56D34"/>
    <w:rsid w:val="00A60074"/>
    <w:rsid w:val="00A65074"/>
    <w:rsid w:val="00A6627C"/>
    <w:rsid w:val="00A71019"/>
    <w:rsid w:val="00A81029"/>
    <w:rsid w:val="00A845F5"/>
    <w:rsid w:val="00A96489"/>
    <w:rsid w:val="00A96A15"/>
    <w:rsid w:val="00AB2425"/>
    <w:rsid w:val="00AB685C"/>
    <w:rsid w:val="00AB6C2D"/>
    <w:rsid w:val="00AC08F7"/>
    <w:rsid w:val="00AC2807"/>
    <w:rsid w:val="00AC3839"/>
    <w:rsid w:val="00AC7082"/>
    <w:rsid w:val="00AD4BE8"/>
    <w:rsid w:val="00AF228E"/>
    <w:rsid w:val="00B016A8"/>
    <w:rsid w:val="00B14819"/>
    <w:rsid w:val="00B15E2F"/>
    <w:rsid w:val="00B17AA9"/>
    <w:rsid w:val="00B17DA7"/>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D2928"/>
    <w:rsid w:val="00BE4FF3"/>
    <w:rsid w:val="00BE765F"/>
    <w:rsid w:val="00BF50F7"/>
    <w:rsid w:val="00C02F29"/>
    <w:rsid w:val="00C10B1A"/>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5A3"/>
    <w:rsid w:val="00CD4998"/>
    <w:rsid w:val="00CE1035"/>
    <w:rsid w:val="00CE6E50"/>
    <w:rsid w:val="00CF03DA"/>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3755E"/>
    <w:rsid w:val="00E450A4"/>
    <w:rsid w:val="00E45CAF"/>
    <w:rsid w:val="00E506BE"/>
    <w:rsid w:val="00E55547"/>
    <w:rsid w:val="00E6302B"/>
    <w:rsid w:val="00E6452F"/>
    <w:rsid w:val="00E64F45"/>
    <w:rsid w:val="00E6720A"/>
    <w:rsid w:val="00E6742D"/>
    <w:rsid w:val="00E701BE"/>
    <w:rsid w:val="00E71CB0"/>
    <w:rsid w:val="00E7453A"/>
    <w:rsid w:val="00E77C3D"/>
    <w:rsid w:val="00E846C8"/>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1A5C"/>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47E7"/>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473900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34411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28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Alexander Ware</cp:lastModifiedBy>
  <cp:revision>9</cp:revision>
  <cp:lastPrinted>2021-07-25T08:02:00Z</cp:lastPrinted>
  <dcterms:created xsi:type="dcterms:W3CDTF">2021-07-26T06:56:00Z</dcterms:created>
  <dcterms:modified xsi:type="dcterms:W3CDTF">2021-07-29T12:51:00Z</dcterms:modified>
</cp:coreProperties>
</file>