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087CD6" w:rsidRDefault="00C7729F" w:rsidP="003C4BCB">
      <w:pPr>
        <w:pStyle w:val="a3"/>
        <w:numPr>
          <w:ilvl w:val="0"/>
          <w:numId w:val="2"/>
        </w:numPr>
        <w:ind w:left="426"/>
        <w:jc w:val="both"/>
        <w:rPr>
          <w:rFonts w:ascii="Arial" w:hAnsi="Arial" w:cs="Arial"/>
          <w:sz w:val="22"/>
          <w:szCs w:val="22"/>
          <w:lang w:val="en-GB"/>
        </w:rPr>
      </w:pPr>
      <w:r w:rsidRPr="00E35AED">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E35AED">
        <w:rPr>
          <w:rFonts w:ascii="Arial" w:hAnsi="Arial" w:cs="Arial"/>
          <w:sz w:val="22"/>
          <w:szCs w:val="22"/>
          <w:highlight w:val="yellow"/>
          <w:lang w:val="en-GB"/>
        </w:rPr>
        <w:t>1960s,</w:t>
      </w:r>
      <w:r w:rsidRPr="00E35AED">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E35AED" w:rsidRDefault="00BB38D1" w:rsidP="003C4BCB">
      <w:pPr>
        <w:pStyle w:val="a3"/>
        <w:numPr>
          <w:ilvl w:val="0"/>
          <w:numId w:val="3"/>
        </w:numPr>
        <w:ind w:left="426"/>
        <w:jc w:val="both"/>
        <w:rPr>
          <w:rFonts w:ascii="Arial" w:hAnsi="Arial" w:cs="Arial"/>
          <w:iCs/>
          <w:sz w:val="22"/>
          <w:szCs w:val="22"/>
          <w:highlight w:val="yellow"/>
          <w:lang w:val="en-GB"/>
        </w:rPr>
      </w:pPr>
      <w:r w:rsidRPr="00E35AED">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a3"/>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a3"/>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a3"/>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E35AED" w:rsidRDefault="00874240" w:rsidP="003C4BCB">
      <w:pPr>
        <w:pStyle w:val="a3"/>
        <w:numPr>
          <w:ilvl w:val="0"/>
          <w:numId w:val="4"/>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a3"/>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a3"/>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E35AED" w:rsidRDefault="00874240" w:rsidP="003C4BCB">
      <w:pPr>
        <w:pStyle w:val="a3"/>
        <w:numPr>
          <w:ilvl w:val="0"/>
          <w:numId w:val="5"/>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a3"/>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a3"/>
        <w:numPr>
          <w:ilvl w:val="0"/>
          <w:numId w:val="6"/>
        </w:numPr>
        <w:ind w:left="426"/>
        <w:jc w:val="both"/>
        <w:rPr>
          <w:rFonts w:ascii="Arial" w:hAnsi="Arial" w:cs="Arial"/>
          <w:sz w:val="22"/>
          <w:szCs w:val="22"/>
          <w:lang w:val="en-GB"/>
        </w:rPr>
      </w:pPr>
      <w:r w:rsidRPr="00E35AED">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D56B4E">
        <w:rPr>
          <w:rFonts w:ascii="Arial" w:hAnsi="Arial" w:cs="Arial"/>
          <w:sz w:val="22"/>
          <w:szCs w:val="22"/>
          <w:lang w:val="en-GB"/>
        </w:rPr>
        <w:t xml:space="preserve">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a3"/>
        <w:numPr>
          <w:ilvl w:val="0"/>
          <w:numId w:val="7"/>
        </w:numPr>
        <w:ind w:left="426"/>
        <w:jc w:val="both"/>
        <w:rPr>
          <w:rFonts w:ascii="Arial" w:hAnsi="Arial" w:cs="Arial"/>
          <w:sz w:val="22"/>
          <w:szCs w:val="22"/>
          <w:lang w:val="en-GB"/>
        </w:rPr>
      </w:pPr>
      <w:r w:rsidRPr="00E35AED">
        <w:rPr>
          <w:rFonts w:ascii="Arial" w:hAnsi="Arial" w:cs="Arial"/>
          <w:sz w:val="22"/>
          <w:szCs w:val="22"/>
          <w:highlight w:val="yellow"/>
          <w:lang w:val="en-GB"/>
        </w:rPr>
        <w:t>Although the COMI of a debtor is still presumed to be “at the place of the registered office”, it should now be possible to rebut this presumption based on Article 3 EIR Recast and Recital 31.</w:t>
      </w:r>
      <w:r w:rsidRPr="003C4342">
        <w:rPr>
          <w:rFonts w:ascii="Arial" w:hAnsi="Arial" w:cs="Arial"/>
          <w:sz w:val="22"/>
          <w:szCs w:val="22"/>
          <w:lang w:val="en-GB"/>
        </w:rPr>
        <w:t xml:space="preserve"> </w:t>
      </w:r>
    </w:p>
    <w:p w14:paraId="2B70B50A" w14:textId="77777777" w:rsidR="00113E29" w:rsidRPr="008500BD" w:rsidRDefault="00113E29" w:rsidP="00113E29">
      <w:pPr>
        <w:pStyle w:val="a3"/>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a3"/>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E35AED" w:rsidRDefault="00967219" w:rsidP="003C4BCB">
      <w:pPr>
        <w:pStyle w:val="a3"/>
        <w:numPr>
          <w:ilvl w:val="0"/>
          <w:numId w:val="8"/>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a3"/>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a3"/>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a9"/>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E35AED" w:rsidRDefault="00967219" w:rsidP="003C4BCB">
      <w:pPr>
        <w:pStyle w:val="a3"/>
        <w:numPr>
          <w:ilvl w:val="0"/>
          <w:numId w:val="9"/>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 xml:space="preserve">The contested transactions cannot be avoided if </w:t>
      </w:r>
      <w:proofErr w:type="spellStart"/>
      <w:r w:rsidRPr="00E35AED">
        <w:rPr>
          <w:rFonts w:ascii="Arial" w:hAnsi="Arial" w:cs="Arial"/>
          <w:sz w:val="22"/>
          <w:szCs w:val="22"/>
          <w:highlight w:val="yellow"/>
          <w:lang w:val="en-GB"/>
        </w:rPr>
        <w:t>Fema</w:t>
      </w:r>
      <w:proofErr w:type="spellEnd"/>
      <w:r w:rsidRPr="00E35AED">
        <w:rPr>
          <w:rFonts w:ascii="Arial" w:hAnsi="Arial" w:cs="Arial"/>
          <w:sz w:val="22"/>
          <w:szCs w:val="22"/>
          <w:highlight w:val="yellow"/>
          <w:lang w:val="en-GB"/>
        </w:rPr>
        <w:t xml:space="preserve"> GmbH can prove that the </w:t>
      </w:r>
      <w:proofErr w:type="spellStart"/>
      <w:r w:rsidRPr="00E35AED">
        <w:rPr>
          <w:rFonts w:ascii="Arial" w:hAnsi="Arial" w:cs="Arial"/>
          <w:i/>
          <w:sz w:val="22"/>
          <w:szCs w:val="22"/>
          <w:highlight w:val="yellow"/>
          <w:lang w:val="en-GB"/>
        </w:rPr>
        <w:t>lex</w:t>
      </w:r>
      <w:proofErr w:type="spellEnd"/>
      <w:r w:rsidRPr="00E35AED">
        <w:rPr>
          <w:rFonts w:ascii="Arial" w:hAnsi="Arial" w:cs="Arial"/>
          <w:i/>
          <w:sz w:val="22"/>
          <w:szCs w:val="22"/>
          <w:highlight w:val="yellow"/>
          <w:lang w:val="en-GB"/>
        </w:rPr>
        <w:t xml:space="preserve"> </w:t>
      </w:r>
      <w:proofErr w:type="spellStart"/>
      <w:r w:rsidRPr="00E35AED">
        <w:rPr>
          <w:rFonts w:ascii="Arial" w:hAnsi="Arial" w:cs="Arial"/>
          <w:i/>
          <w:sz w:val="22"/>
          <w:szCs w:val="22"/>
          <w:highlight w:val="yellow"/>
          <w:lang w:val="en-GB"/>
        </w:rPr>
        <w:t>causae</w:t>
      </w:r>
      <w:proofErr w:type="spellEnd"/>
      <w:r w:rsidRPr="00E35AED">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E35AED" w:rsidRDefault="00FC48D8" w:rsidP="003C4BCB">
      <w:pPr>
        <w:pStyle w:val="a3"/>
        <w:numPr>
          <w:ilvl w:val="0"/>
          <w:numId w:val="10"/>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 xml:space="preserve">Where the decision to open the </w:t>
      </w:r>
      <w:proofErr w:type="gramStart"/>
      <w:r w:rsidRPr="00E35AED">
        <w:rPr>
          <w:rFonts w:ascii="Arial" w:hAnsi="Arial" w:cs="Arial"/>
          <w:sz w:val="22"/>
          <w:szCs w:val="22"/>
          <w:highlight w:val="yellow"/>
          <w:lang w:val="en-GB"/>
        </w:rPr>
        <w:t>insolvency</w:t>
      </w:r>
      <w:proofErr w:type="gramEnd"/>
      <w:r w:rsidRPr="00E35AED">
        <w:rPr>
          <w:rFonts w:ascii="Arial" w:hAnsi="Arial" w:cs="Arial"/>
          <w:sz w:val="22"/>
          <w:szCs w:val="22"/>
          <w:highlight w:val="yellow"/>
          <w:lang w:val="en-GB"/>
        </w:rPr>
        <w:t xml:space="preserve">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a3"/>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a3"/>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E35AED" w:rsidRDefault="00FC48D8" w:rsidP="003C4BCB">
      <w:pPr>
        <w:pStyle w:val="a3"/>
        <w:numPr>
          <w:ilvl w:val="0"/>
          <w:numId w:val="11"/>
        </w:numPr>
        <w:ind w:left="426"/>
        <w:jc w:val="both"/>
        <w:rPr>
          <w:rFonts w:ascii="Arial" w:hAnsi="Arial" w:cs="Arial"/>
          <w:sz w:val="22"/>
          <w:szCs w:val="22"/>
          <w:highlight w:val="yellow"/>
          <w:lang w:val="en-GB"/>
        </w:rPr>
      </w:pPr>
      <w:r w:rsidRPr="00E35AED">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1C23E529" w14:textId="5156CA85" w:rsidR="00B719A6" w:rsidRDefault="00B719A6" w:rsidP="00B719A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COMI presumption and safeguard against forum shopping under Article 3(1) of EIR Recast – The COMI of a company shall be the place where the debtor conducts the administration of its interest on a regular basis and which is ascertainable by third parties</w:t>
      </w:r>
      <w:r w:rsidR="00150EC1">
        <w:rPr>
          <w:rFonts w:ascii="Arial" w:hAnsi="Arial" w:cs="Arial"/>
          <w:color w:val="7B7B7B" w:themeColor="accent3" w:themeShade="BF"/>
          <w:sz w:val="22"/>
          <w:szCs w:val="22"/>
        </w:rPr>
        <w:t>.  F</w:t>
      </w:r>
      <w:r>
        <w:rPr>
          <w:rFonts w:ascii="Arial" w:hAnsi="Arial" w:cs="Arial"/>
          <w:color w:val="7B7B7B" w:themeColor="accent3" w:themeShade="BF"/>
          <w:sz w:val="22"/>
          <w:szCs w:val="22"/>
        </w:rPr>
        <w:t>or a corporation, the place of registered office shall be the presumed COMI and the presumption only applies if the registered office has not been moved to another Member State within the 3-month period prior to the opening of the insolvency proceeding.</w:t>
      </w:r>
      <w:r w:rsidR="004407F3">
        <w:rPr>
          <w:rFonts w:ascii="Arial" w:hAnsi="Arial" w:cs="Arial"/>
          <w:color w:val="7B7B7B" w:themeColor="accent3" w:themeShade="BF"/>
          <w:sz w:val="22"/>
          <w:szCs w:val="22"/>
        </w:rPr>
        <w:t xml:space="preserve">  Recital 28 envisages the movement of COMI.</w:t>
      </w:r>
    </w:p>
    <w:p w14:paraId="42E888FA" w14:textId="6DDBBC54" w:rsidR="00B719A6" w:rsidRDefault="00B719A6" w:rsidP="00B719A6">
      <w:pPr>
        <w:jc w:val="both"/>
        <w:rPr>
          <w:rFonts w:ascii="Arial" w:hAnsi="Arial" w:cs="Arial"/>
          <w:color w:val="7B7B7B" w:themeColor="accent3" w:themeShade="BF"/>
          <w:sz w:val="22"/>
          <w:szCs w:val="22"/>
        </w:rPr>
      </w:pPr>
    </w:p>
    <w:p w14:paraId="21D4D6BB" w14:textId="640FC62F" w:rsidR="00B719A6" w:rsidRPr="00B719A6" w:rsidRDefault="00B719A6" w:rsidP="00B719A6">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S</w:t>
      </w:r>
      <w:r>
        <w:rPr>
          <w:rFonts w:ascii="Arial" w:hAnsi="Arial" w:cs="Arial"/>
          <w:color w:val="7B7B7B" w:themeColor="accent3" w:themeShade="BF"/>
          <w:sz w:val="22"/>
          <w:szCs w:val="22"/>
        </w:rPr>
        <w:t xml:space="preserve">tatement 2: </w:t>
      </w:r>
      <w:r w:rsidR="00E222EF">
        <w:rPr>
          <w:rFonts w:ascii="Arial" w:hAnsi="Arial" w:cs="Arial"/>
          <w:color w:val="7B7B7B" w:themeColor="accent3" w:themeShade="BF"/>
          <w:sz w:val="22"/>
          <w:szCs w:val="22"/>
        </w:rPr>
        <w:t xml:space="preserve">The possibility to open a secondary </w:t>
      </w:r>
      <w:r w:rsidR="004407F3">
        <w:rPr>
          <w:rFonts w:ascii="Arial" w:hAnsi="Arial" w:cs="Arial"/>
          <w:color w:val="7B7B7B" w:themeColor="accent3" w:themeShade="BF"/>
          <w:sz w:val="22"/>
          <w:szCs w:val="22"/>
        </w:rPr>
        <w:t xml:space="preserve">insolvency </w:t>
      </w:r>
      <w:r w:rsidR="00E222EF">
        <w:rPr>
          <w:rFonts w:ascii="Arial" w:hAnsi="Arial" w:cs="Arial"/>
          <w:color w:val="7B7B7B" w:themeColor="accent3" w:themeShade="BF"/>
          <w:sz w:val="22"/>
          <w:szCs w:val="22"/>
        </w:rPr>
        <w:t>proceeding in the Member State where the debtor has an establishment when its COMI is in another Member State under Article 3(2) of EIR Recast – The opening of the main</w:t>
      </w:r>
      <w:r w:rsidR="004407F3">
        <w:rPr>
          <w:rFonts w:ascii="Arial" w:hAnsi="Arial" w:cs="Arial"/>
          <w:color w:val="7B7B7B" w:themeColor="accent3" w:themeShade="BF"/>
          <w:sz w:val="22"/>
          <w:szCs w:val="22"/>
        </w:rPr>
        <w:t xml:space="preserve"> insolvency</w:t>
      </w:r>
      <w:r w:rsidR="00E222EF">
        <w:rPr>
          <w:rFonts w:ascii="Arial" w:hAnsi="Arial" w:cs="Arial"/>
          <w:color w:val="7B7B7B" w:themeColor="accent3" w:themeShade="BF"/>
          <w:sz w:val="22"/>
          <w:szCs w:val="22"/>
        </w:rPr>
        <w:t xml:space="preserve"> proceeding would result in the universal application of the law of the Member State of the mai</w:t>
      </w:r>
      <w:r w:rsidR="004407F3">
        <w:rPr>
          <w:rFonts w:ascii="Arial" w:hAnsi="Arial" w:cs="Arial"/>
          <w:color w:val="7B7B7B" w:themeColor="accent3" w:themeShade="BF"/>
          <w:sz w:val="22"/>
          <w:szCs w:val="22"/>
        </w:rPr>
        <w:t>n insolvency proceeding to be applicable to all other Member States (including the distribution of assets) and hence a unity approach.  However, the opening of secondary insolvency proceeding</w:t>
      </w:r>
      <w:r w:rsidR="00D4739A">
        <w:rPr>
          <w:rFonts w:ascii="Arial" w:hAnsi="Arial" w:cs="Arial"/>
          <w:color w:val="7B7B7B" w:themeColor="accent3" w:themeShade="BF"/>
          <w:sz w:val="22"/>
          <w:szCs w:val="22"/>
        </w:rPr>
        <w:t xml:space="preserve"> is allowed but it</w:t>
      </w:r>
      <w:r w:rsidR="004407F3">
        <w:rPr>
          <w:rFonts w:ascii="Arial" w:hAnsi="Arial" w:cs="Arial"/>
          <w:color w:val="7B7B7B" w:themeColor="accent3" w:themeShade="BF"/>
          <w:sz w:val="22"/>
          <w:szCs w:val="22"/>
        </w:rPr>
        <w:t xml:space="preserve"> is limited to the assets of the debtor </w:t>
      </w:r>
      <w:r w:rsidR="00E621C7">
        <w:rPr>
          <w:rFonts w:ascii="Arial" w:hAnsi="Arial" w:cs="Arial"/>
          <w:color w:val="7B7B7B" w:themeColor="accent3" w:themeShade="BF"/>
          <w:sz w:val="22"/>
          <w:szCs w:val="22"/>
        </w:rPr>
        <w:t>situated</w:t>
      </w:r>
      <w:r w:rsidR="004407F3">
        <w:rPr>
          <w:rFonts w:ascii="Arial" w:hAnsi="Arial" w:cs="Arial"/>
          <w:color w:val="7B7B7B" w:themeColor="accent3" w:themeShade="BF"/>
          <w:sz w:val="22"/>
          <w:szCs w:val="22"/>
        </w:rPr>
        <w:t xml:space="preserve"> in the Member State where the secondary insolvency proceeding is opened.  According to Recital 40, the secondary insolvency proceeding would serve to protect the local interest by safeguarding the expectation of local creditors (such as priority and ranking).</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7498C361" w14:textId="19C236C6" w:rsidR="00AD6E4D" w:rsidRDefault="00AD6E4D" w:rsidP="00AD6E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41 of EIR Recast which mandates the insolvency practitioners of the main insolvency proceeding and the insolvency practitioners of the secondary insolvency proceedings concerning the same debtor to cooperate and communicate.</w:t>
      </w:r>
    </w:p>
    <w:p w14:paraId="4ABBFFBA" w14:textId="294E6C72" w:rsidR="00AD6E4D" w:rsidRDefault="00AD6E4D" w:rsidP="00AD6E4D">
      <w:pPr>
        <w:jc w:val="both"/>
        <w:rPr>
          <w:rFonts w:ascii="Arial" w:hAnsi="Arial" w:cs="Arial"/>
          <w:color w:val="7B7B7B" w:themeColor="accent3" w:themeShade="BF"/>
          <w:sz w:val="22"/>
          <w:szCs w:val="22"/>
          <w:lang w:val="en-GB"/>
        </w:rPr>
      </w:pPr>
    </w:p>
    <w:p w14:paraId="4FD35541" w14:textId="77777777" w:rsidR="00315AC5" w:rsidRDefault="00AD6E4D" w:rsidP="00AD6E4D">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rticle 42 of EIR Recast which mandates the courts in insolvency proceedings (extending to the time before the insolvency proceedings are opened) to cooperate and coordinate.</w:t>
      </w:r>
    </w:p>
    <w:p w14:paraId="6DC46545" w14:textId="77777777" w:rsidR="00315AC5" w:rsidRDefault="00315AC5" w:rsidP="00AD6E4D">
      <w:pPr>
        <w:jc w:val="both"/>
        <w:rPr>
          <w:rFonts w:ascii="Arial" w:hAnsi="Arial" w:cs="Arial"/>
          <w:color w:val="7B7B7B" w:themeColor="accent3" w:themeShade="BF"/>
          <w:sz w:val="22"/>
          <w:szCs w:val="22"/>
          <w:lang w:val="en-GB"/>
        </w:rPr>
      </w:pPr>
    </w:p>
    <w:p w14:paraId="40A31E24" w14:textId="3AD90AD3" w:rsidR="00AD6E4D" w:rsidRPr="00AD6E4D" w:rsidRDefault="00315AC5" w:rsidP="00AD6E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43 of EIR Recast which mandates the insolvency practitioners of the main insolvency proceeding to cooperate and communicate with any court before which a secondary insolvency proceeding is pending or has opened, as well as the insolvency practitioners of the secondary insolvency proceedings to cooperate and communicate with (a) the court before </w:t>
      </w:r>
      <w:r>
        <w:rPr>
          <w:rFonts w:ascii="Arial" w:hAnsi="Arial" w:cs="Arial"/>
          <w:color w:val="7B7B7B" w:themeColor="accent3" w:themeShade="BF"/>
          <w:sz w:val="22"/>
          <w:szCs w:val="22"/>
          <w:lang w:val="en-GB"/>
        </w:rPr>
        <w:lastRenderedPageBreak/>
        <w:t>which a request to open a main insolvency proceeding is pending or which has opened; and (b) any court before which a secondary insolvency proceeding is pending or has opened.</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31B619ED" w14:textId="6472CC9C" w:rsidR="008912DC" w:rsidRDefault="008912DC" w:rsidP="008912DC">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Article 1</w:t>
      </w:r>
      <w:r w:rsidR="000D2971">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EIR Recast states that EIR Recast applies </w:t>
      </w:r>
      <w:r w:rsidR="00D4739A">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public collective proceedings, which include proceedings made for the purpose of rescue and reorganisation (when the predecessor Article 1 of EIR 2000 states that EIR 2000 only applies to </w:t>
      </w:r>
      <w:r w:rsidRPr="008912DC">
        <w:rPr>
          <w:rFonts w:ascii="Arial" w:hAnsi="Arial" w:cs="Arial"/>
          <w:color w:val="7B7B7B" w:themeColor="accent3" w:themeShade="BF"/>
          <w:sz w:val="22"/>
          <w:szCs w:val="22"/>
        </w:rPr>
        <w:t>collective insolvency proceedings which entail the partial or total divestment of a debtor and the appointment of a liquidator</w:t>
      </w:r>
      <w:r>
        <w:rPr>
          <w:rFonts w:ascii="Arial" w:hAnsi="Arial" w:cs="Arial"/>
          <w:color w:val="7B7B7B" w:themeColor="accent3" w:themeShade="BF"/>
          <w:sz w:val="22"/>
          <w:szCs w:val="22"/>
        </w:rPr>
        <w:t>).</w:t>
      </w:r>
    </w:p>
    <w:p w14:paraId="781E3F62" w14:textId="09D431C4" w:rsidR="008912DC" w:rsidRDefault="008912DC" w:rsidP="008912DC">
      <w:pPr>
        <w:jc w:val="both"/>
        <w:rPr>
          <w:rFonts w:ascii="Arial" w:hAnsi="Arial" w:cs="Arial"/>
          <w:color w:val="7B7B7B" w:themeColor="accent3" w:themeShade="BF"/>
          <w:sz w:val="22"/>
          <w:szCs w:val="22"/>
        </w:rPr>
      </w:pPr>
    </w:p>
    <w:p w14:paraId="2C85E47A" w14:textId="2BB51CAB" w:rsidR="000D2971" w:rsidRDefault="000D2971" w:rsidP="008912DC">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 xml:space="preserve">rticle 38(3) of EIR Recast </w:t>
      </w:r>
      <w:r w:rsidR="0054262C">
        <w:rPr>
          <w:rFonts w:ascii="Arial" w:hAnsi="Arial" w:cs="Arial"/>
          <w:color w:val="7B7B7B" w:themeColor="accent3" w:themeShade="BF"/>
          <w:sz w:val="22"/>
          <w:szCs w:val="22"/>
        </w:rPr>
        <w:t>empowers</w:t>
      </w:r>
      <w:r>
        <w:rPr>
          <w:rFonts w:ascii="Arial" w:hAnsi="Arial" w:cs="Arial"/>
          <w:color w:val="7B7B7B" w:themeColor="accent3" w:themeShade="BF"/>
          <w:sz w:val="22"/>
          <w:szCs w:val="22"/>
        </w:rPr>
        <w:t xml:space="preserve"> the court to stay the opening of secondary insolvency proceedings for a period of not exceeding 3 months, provided that suitable measures are in place to protect the interests of local creditors, when a temporary stay of individual enforcement proceedings has been granted in order to allow for negotiations between the debtor and its creditors. </w:t>
      </w:r>
      <w:r w:rsidR="0054262C">
        <w:rPr>
          <w:rFonts w:ascii="Arial" w:hAnsi="Arial" w:cs="Arial"/>
          <w:color w:val="7B7B7B" w:themeColor="accent3" w:themeShade="BF"/>
          <w:sz w:val="22"/>
          <w:szCs w:val="22"/>
        </w:rPr>
        <w:t xml:space="preserve"> The stay can be made at the request of the insolvency practitioner or the debtor in possession and the stay must be lifted if a negotiation between the debtor and its creditors has been concluded. </w:t>
      </w:r>
      <w:r>
        <w:rPr>
          <w:rFonts w:ascii="Arial" w:hAnsi="Arial" w:cs="Arial"/>
          <w:color w:val="7B7B7B" w:themeColor="accent3" w:themeShade="BF"/>
          <w:sz w:val="22"/>
          <w:szCs w:val="22"/>
        </w:rPr>
        <w:t xml:space="preserve"> This would avoid the opening of secondary insolvency proceeding which may frustrate the negotiation process and undermine the business rescue (no such mandatory stay in EIR 2000).</w:t>
      </w:r>
    </w:p>
    <w:p w14:paraId="7B811B7D" w14:textId="77777777" w:rsidR="000D2971" w:rsidRDefault="000D2971" w:rsidP="008912DC">
      <w:pPr>
        <w:jc w:val="both"/>
        <w:rPr>
          <w:rFonts w:ascii="Arial" w:hAnsi="Arial" w:cs="Arial"/>
          <w:color w:val="7B7B7B" w:themeColor="accent3" w:themeShade="BF"/>
          <w:sz w:val="22"/>
          <w:szCs w:val="22"/>
        </w:rPr>
      </w:pPr>
    </w:p>
    <w:p w14:paraId="34124A9F" w14:textId="5940D657" w:rsidR="008912DC" w:rsidRDefault="008912DC" w:rsidP="008912DC">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A</w:t>
      </w:r>
      <w:r>
        <w:rPr>
          <w:rFonts w:ascii="Arial" w:hAnsi="Arial" w:cs="Arial"/>
          <w:color w:val="7B7B7B" w:themeColor="accent3" w:themeShade="BF"/>
          <w:sz w:val="22"/>
          <w:szCs w:val="22"/>
        </w:rPr>
        <w:t>rticle</w:t>
      </w:r>
      <w:r w:rsidR="00944DC9">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41</w:t>
      </w:r>
      <w:r w:rsidR="000D2971">
        <w:rPr>
          <w:rFonts w:ascii="Arial" w:hAnsi="Arial" w:cs="Arial"/>
          <w:color w:val="7B7B7B" w:themeColor="accent3" w:themeShade="BF"/>
          <w:sz w:val="22"/>
          <w:szCs w:val="22"/>
        </w:rPr>
        <w:t>(1) and (2)(b)</w:t>
      </w:r>
      <w:r>
        <w:rPr>
          <w:rFonts w:ascii="Arial" w:hAnsi="Arial" w:cs="Arial"/>
          <w:color w:val="7B7B7B" w:themeColor="accent3" w:themeShade="BF"/>
          <w:sz w:val="22"/>
          <w:szCs w:val="22"/>
        </w:rPr>
        <w:t xml:space="preserve"> of EIR Recast require the communications between insolvency practitioners of the main insolvency proceeding and the secondary insolvency proceedings in relation to the exploration of the possibility of restructuring the debtor and where such a possibility exists, to co-ordinate the elaboration and implementation of a restructuring plan (when the predecessor Article 31 of EIR 2000 made no mention to the communication related to the debtor’s restructuring and rescue).</w:t>
      </w:r>
    </w:p>
    <w:p w14:paraId="2DBEE46E" w14:textId="0F4E2D8D" w:rsidR="008912DC" w:rsidRDefault="008912DC" w:rsidP="008912DC">
      <w:pPr>
        <w:jc w:val="both"/>
        <w:rPr>
          <w:rFonts w:ascii="Arial" w:hAnsi="Arial" w:cs="Arial"/>
          <w:color w:val="7B7B7B" w:themeColor="accent3" w:themeShade="BF"/>
          <w:sz w:val="22"/>
          <w:szCs w:val="22"/>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3649AFCC" w14:textId="66AF6E0C" w:rsidR="0054262C" w:rsidRDefault="000D2971" w:rsidP="000D29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example is the right to give undertaking under Article 36 of EIR Recast.  Under Article 36, when the insolvency practitioner in the main insolvency proceeding gives a unilateral </w:t>
      </w:r>
      <w:r w:rsidR="0054262C">
        <w:rPr>
          <w:rFonts w:ascii="Arial" w:hAnsi="Arial" w:cs="Arial"/>
          <w:color w:val="7B7B7B" w:themeColor="accent3" w:themeShade="BF"/>
          <w:sz w:val="22"/>
          <w:szCs w:val="22"/>
          <w:lang w:val="en-GB"/>
        </w:rPr>
        <w:t xml:space="preserve">written </w:t>
      </w:r>
      <w:r>
        <w:rPr>
          <w:rFonts w:ascii="Arial" w:hAnsi="Arial" w:cs="Arial"/>
          <w:color w:val="7B7B7B" w:themeColor="accent3" w:themeShade="BF"/>
          <w:sz w:val="22"/>
          <w:szCs w:val="22"/>
          <w:lang w:val="en-GB"/>
        </w:rPr>
        <w:t xml:space="preserve">undertaking in accordance with the prescribed requirements in respect of the assets located in the Member State which the secondary insolvency proceedings can be opened </w:t>
      </w:r>
      <w:r w:rsidRPr="000D2971">
        <w:rPr>
          <w:rFonts w:ascii="Arial" w:hAnsi="Arial" w:cs="Arial"/>
          <w:color w:val="7B7B7B" w:themeColor="accent3" w:themeShade="BF"/>
          <w:sz w:val="22"/>
          <w:szCs w:val="22"/>
          <w:lang w:val="en-GB"/>
        </w:rPr>
        <w:t>(distribution of assets or proceeds received in accordance with the distribution and priority rights in</w:t>
      </w:r>
      <w:r>
        <w:rPr>
          <w:rFonts w:ascii="Arial" w:hAnsi="Arial" w:cs="Arial"/>
          <w:color w:val="7B7B7B" w:themeColor="accent3" w:themeShade="BF"/>
          <w:sz w:val="22"/>
          <w:szCs w:val="22"/>
          <w:lang w:val="en-GB"/>
        </w:rPr>
        <w:t xml:space="preserve"> accordance with national law), no secondary insolvency proceeding is allowed if the court in the relevant Member State is satisfied that the undertaking adequately protects the general interest of local creditors.</w:t>
      </w:r>
      <w:r w:rsidR="0054262C">
        <w:rPr>
          <w:rFonts w:ascii="Arial" w:hAnsi="Arial" w:cs="Arial"/>
          <w:color w:val="7B7B7B" w:themeColor="accent3" w:themeShade="BF"/>
          <w:sz w:val="22"/>
          <w:szCs w:val="22"/>
          <w:lang w:val="en-GB"/>
        </w:rPr>
        <w:t xml:space="preserve">  The undertaking shall be approved by the local creditors in accordance for the adaptation of the restructuring plans in the place where the secondary insolvency proceeding is intended to be opened.</w:t>
      </w:r>
    </w:p>
    <w:p w14:paraId="731DB692" w14:textId="55F20024" w:rsidR="0054262C" w:rsidRDefault="0054262C" w:rsidP="000D2971">
      <w:pPr>
        <w:jc w:val="both"/>
        <w:rPr>
          <w:rFonts w:ascii="Arial" w:hAnsi="Arial" w:cs="Arial"/>
          <w:color w:val="7B7B7B" w:themeColor="accent3" w:themeShade="BF"/>
          <w:sz w:val="22"/>
          <w:szCs w:val="22"/>
          <w:lang w:val="en-GB"/>
        </w:rPr>
      </w:pPr>
    </w:p>
    <w:p w14:paraId="3FFC3DB8" w14:textId="276C740A" w:rsidR="0054262C" w:rsidRPr="0054262C" w:rsidRDefault="0054262C" w:rsidP="000D2971">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second example is the right of the court to stay the opening of the secondary insolvency proceeding at the request of the insolvency practitioner or debtor in possession not exceeding 3 months where a temporary stay of individual enforcement proceedings has been granted in order to allow for negotiations between the debtor and its creditors under Article 38(3) of EIR </w:t>
      </w:r>
      <w:r>
        <w:rPr>
          <w:rFonts w:ascii="Arial" w:hAnsi="Arial" w:cs="Arial"/>
          <w:color w:val="7B7B7B" w:themeColor="accent3" w:themeShade="BF"/>
          <w:sz w:val="22"/>
          <w:szCs w:val="22"/>
          <w:lang w:val="en-GB"/>
        </w:rPr>
        <w:lastRenderedPageBreak/>
        <w:t xml:space="preserve">Recast.  The court where the secondary insolvency proceeding would require the suitable places to be put in place to protect the interest of local creditors for such stay to be granted, which may include not to remove or dispose of any assets located in the Member State unless in the ordinary course of business.  The court is required to lift the stay when a negotiation has been concluded and may lift the stay if the continuation of the stay is detrimental to the creditors’ right.  </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4E98B343" w14:textId="600C5B6E" w:rsidR="00261064" w:rsidRDefault="0026106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EIR 2000 was adopted by the European Council in May 2000, Article 46 of EIR 2000 imposes an obligation of the European Commission to prepare a report on the operation of the EIR 2000 not later than 1 June 2012 and every 5 years thereafter.  The report must contain a proposal for adaptation (if needed).  A detailed study of the operation of the EIR 2000 in 26 Member States was conducted with an impact assessment and a public consultation.  </w:t>
      </w:r>
    </w:p>
    <w:p w14:paraId="551C737C" w14:textId="3F8744CC" w:rsidR="00261064" w:rsidRDefault="00261064" w:rsidP="002A37BB">
      <w:pPr>
        <w:jc w:val="both"/>
        <w:rPr>
          <w:rFonts w:ascii="Arial" w:hAnsi="Arial" w:cs="Arial"/>
          <w:color w:val="7B7B7B" w:themeColor="accent3" w:themeShade="BF"/>
          <w:sz w:val="22"/>
          <w:szCs w:val="22"/>
          <w:lang w:val="en-GB"/>
        </w:rPr>
      </w:pPr>
    </w:p>
    <w:p w14:paraId="43671D67" w14:textId="6114EA18" w:rsidR="00261064" w:rsidRDefault="0026106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w:t>
      </w:r>
      <w:r>
        <w:rPr>
          <w:rFonts w:ascii="Arial" w:hAnsi="Arial" w:cs="Arial"/>
          <w:i/>
          <w:color w:val="7B7B7B" w:themeColor="accent3" w:themeShade="BF"/>
          <w:sz w:val="22"/>
          <w:szCs w:val="22"/>
          <w:lang w:val="en-GB"/>
        </w:rPr>
        <w:t>European Insolvency Law: The Heidelberg-Luxembourg-Vienna Report</w:t>
      </w:r>
      <w:r>
        <w:rPr>
          <w:rFonts w:ascii="Arial" w:hAnsi="Arial" w:cs="Arial"/>
          <w:color w:val="7B7B7B" w:themeColor="accent3" w:themeShade="BF"/>
          <w:sz w:val="22"/>
          <w:szCs w:val="22"/>
          <w:lang w:val="en-GB"/>
        </w:rPr>
        <w:t>, the Commission concluded that EIR 2000 was a successful instrument for co-ordination of cross-border insolvency proceedings within the EU.  Recommendations however were m</w:t>
      </w:r>
      <w:r w:rsidR="004D146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de to include amendments on the scope of the regulation</w:t>
      </w:r>
      <w:r w:rsidR="004D1468">
        <w:rPr>
          <w:rFonts w:ascii="Arial" w:hAnsi="Arial" w:cs="Arial"/>
          <w:color w:val="7B7B7B" w:themeColor="accent3" w:themeShade="BF"/>
          <w:sz w:val="22"/>
          <w:szCs w:val="22"/>
          <w:lang w:val="en-GB"/>
        </w:rPr>
        <w:t>, the jurisdiction to open proceedings falling within the regulation’s scope as well as the lodgement of claims.  The Commission also proposed to introduce provisions on insolvency involving corporate groups.</w:t>
      </w:r>
    </w:p>
    <w:p w14:paraId="7A657A53" w14:textId="2212B9AA" w:rsidR="004D1468" w:rsidRDefault="004D1468" w:rsidP="002A37BB">
      <w:pPr>
        <w:jc w:val="both"/>
        <w:rPr>
          <w:rFonts w:ascii="Arial" w:hAnsi="Arial" w:cs="Arial"/>
          <w:color w:val="7B7B7B" w:themeColor="accent3" w:themeShade="BF"/>
          <w:sz w:val="22"/>
          <w:szCs w:val="22"/>
          <w:lang w:val="en-GB"/>
        </w:rPr>
      </w:pPr>
    </w:p>
    <w:p w14:paraId="750819AC" w14:textId="4AC9FB97" w:rsidR="004D1468" w:rsidRDefault="0008373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4D1468">
        <w:rPr>
          <w:rFonts w:ascii="Arial" w:hAnsi="Arial" w:cs="Arial"/>
          <w:color w:val="7B7B7B" w:themeColor="accent3" w:themeShade="BF"/>
          <w:sz w:val="22"/>
          <w:szCs w:val="22"/>
          <w:lang w:val="en-GB"/>
        </w:rPr>
        <w:t xml:space="preserve">ince the introduction of EIR 2000, the EU has introduced other regulations which deal with cross-border matters, such as the Brussels I Recast, in relation to jurisdiction, recognition and enforcement of judgments in civil and commercial matters.  </w:t>
      </w:r>
      <w:proofErr w:type="gramStart"/>
      <w:r w:rsidR="004D1468">
        <w:rPr>
          <w:rFonts w:ascii="Arial" w:hAnsi="Arial" w:cs="Arial"/>
          <w:color w:val="7B7B7B" w:themeColor="accent3" w:themeShade="BF"/>
          <w:sz w:val="22"/>
          <w:szCs w:val="22"/>
          <w:lang w:val="en-GB"/>
        </w:rPr>
        <w:t>Brussels</w:t>
      </w:r>
      <w:proofErr w:type="gramEnd"/>
      <w:r w:rsidR="004D1468">
        <w:rPr>
          <w:rFonts w:ascii="Arial" w:hAnsi="Arial" w:cs="Arial"/>
          <w:color w:val="7B7B7B" w:themeColor="accent3" w:themeShade="BF"/>
          <w:sz w:val="22"/>
          <w:szCs w:val="22"/>
          <w:lang w:val="en-GB"/>
        </w:rPr>
        <w:t xml:space="preserve"> I Recast is not applicable to bankruptcy, proceedings relation to the winding up of insolvent companies, judicial arrangements, compositions and analogous proceedings when they are within the ambit of the Insolvency Regulation.</w:t>
      </w:r>
      <w:r w:rsidR="00B53F90">
        <w:rPr>
          <w:rFonts w:ascii="Arial" w:hAnsi="Arial" w:cs="Arial"/>
          <w:color w:val="7B7B7B" w:themeColor="accent3" w:themeShade="BF"/>
          <w:sz w:val="22"/>
          <w:szCs w:val="22"/>
          <w:lang w:val="en-GB"/>
        </w:rPr>
        <w:t xml:space="preserve">  EIR Recast is needed to set out clearly the relationship and interaction among various instruments.</w:t>
      </w:r>
    </w:p>
    <w:p w14:paraId="3B38C5BA" w14:textId="77777777" w:rsidR="004D1468" w:rsidRDefault="004D1468" w:rsidP="002A37BB">
      <w:pPr>
        <w:jc w:val="both"/>
        <w:rPr>
          <w:rFonts w:ascii="Arial" w:hAnsi="Arial" w:cs="Arial"/>
          <w:color w:val="7B7B7B" w:themeColor="accent3" w:themeShade="BF"/>
          <w:sz w:val="22"/>
          <w:szCs w:val="22"/>
          <w:lang w:val="en-GB"/>
        </w:rPr>
      </w:pPr>
    </w:p>
    <w:p w14:paraId="7914C50D" w14:textId="3EBF835C" w:rsidR="004D1468" w:rsidRDefault="007E19F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w:t>
      </w:r>
      <w:r w:rsidR="004D1468">
        <w:rPr>
          <w:rFonts w:ascii="Arial" w:hAnsi="Arial" w:cs="Arial"/>
          <w:color w:val="7B7B7B" w:themeColor="accent3" w:themeShade="BF"/>
          <w:sz w:val="22"/>
          <w:szCs w:val="22"/>
          <w:lang w:val="en-GB"/>
        </w:rPr>
        <w:t xml:space="preserve">, the insolvency world has shifted its focus to reorganization and rescue (including pre-insolvency rescue).  The concept of rescue is not expressly included in EIR 2000.  However, it is now widely accepted that winding up is a costly exercise and could lead to other social issues, such as unemployment.  It would be to the benefit of the society as a whole if a successful rescue can be made.  EIR Recast hence </w:t>
      </w:r>
      <w:r w:rsidR="00083734">
        <w:rPr>
          <w:rFonts w:ascii="Arial" w:hAnsi="Arial" w:cs="Arial"/>
          <w:color w:val="7B7B7B" w:themeColor="accent3" w:themeShade="BF"/>
          <w:sz w:val="22"/>
          <w:szCs w:val="22"/>
          <w:lang w:val="en-GB"/>
        </w:rPr>
        <w:t>has expanded its scope to include rescue procedures and become more</w:t>
      </w:r>
      <w:r w:rsidR="004D1468">
        <w:rPr>
          <w:rFonts w:ascii="Arial" w:hAnsi="Arial" w:cs="Arial"/>
          <w:color w:val="7B7B7B" w:themeColor="accent3" w:themeShade="BF"/>
          <w:sz w:val="22"/>
          <w:szCs w:val="22"/>
          <w:lang w:val="en-GB"/>
        </w:rPr>
        <w:t xml:space="preserve"> rescue oriented.</w:t>
      </w:r>
    </w:p>
    <w:p w14:paraId="08F0D0C8" w14:textId="77777777" w:rsidR="004D1468" w:rsidRDefault="004D1468" w:rsidP="002A37BB">
      <w:pPr>
        <w:jc w:val="both"/>
        <w:rPr>
          <w:rFonts w:ascii="Arial" w:hAnsi="Arial" w:cs="Arial"/>
          <w:color w:val="7B7B7B" w:themeColor="accent3" w:themeShade="BF"/>
          <w:sz w:val="22"/>
          <w:szCs w:val="22"/>
          <w:lang w:val="en-GB"/>
        </w:rPr>
      </w:pPr>
    </w:p>
    <w:p w14:paraId="43697DCF" w14:textId="13809A45" w:rsidR="004D1468" w:rsidRPr="007E19FE" w:rsidRDefault="004D14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with the closer economic tie and business relationships among the EU member states, </w:t>
      </w:r>
      <w:r w:rsidR="007E19FE">
        <w:rPr>
          <w:rFonts w:ascii="Arial" w:hAnsi="Arial" w:cs="Arial"/>
          <w:color w:val="7B7B7B" w:themeColor="accent3" w:themeShade="BF"/>
          <w:sz w:val="22"/>
          <w:szCs w:val="22"/>
          <w:lang w:val="en-GB"/>
        </w:rPr>
        <w:t xml:space="preserve">the strong emphasis of the entity shielding and legal separability (as reflected in the case </w:t>
      </w:r>
      <w:r w:rsidR="007E19FE">
        <w:rPr>
          <w:rFonts w:ascii="Arial" w:hAnsi="Arial" w:cs="Arial"/>
          <w:i/>
          <w:color w:val="7B7B7B" w:themeColor="accent3" w:themeShade="BF"/>
          <w:sz w:val="22"/>
          <w:szCs w:val="22"/>
          <w:lang w:val="en-GB"/>
        </w:rPr>
        <w:t xml:space="preserve">Rastelli Davide e C. </w:t>
      </w:r>
      <w:proofErr w:type="spellStart"/>
      <w:r w:rsidR="007E19FE">
        <w:rPr>
          <w:rFonts w:ascii="Arial" w:hAnsi="Arial" w:cs="Arial"/>
          <w:i/>
          <w:color w:val="7B7B7B" w:themeColor="accent3" w:themeShade="BF"/>
          <w:sz w:val="22"/>
          <w:szCs w:val="22"/>
          <w:lang w:val="en-GB"/>
        </w:rPr>
        <w:t>Snc</w:t>
      </w:r>
      <w:proofErr w:type="spellEnd"/>
      <w:r w:rsidR="007E19FE">
        <w:rPr>
          <w:rFonts w:ascii="Arial" w:hAnsi="Arial" w:cs="Arial"/>
          <w:i/>
          <w:color w:val="7B7B7B" w:themeColor="accent3" w:themeShade="BF"/>
          <w:sz w:val="22"/>
          <w:szCs w:val="22"/>
          <w:lang w:val="en-GB"/>
        </w:rPr>
        <w:t xml:space="preserve"> v Jean-Charles </w:t>
      </w:r>
      <w:proofErr w:type="spellStart"/>
      <w:r w:rsidR="007E19FE">
        <w:rPr>
          <w:rFonts w:ascii="Arial" w:hAnsi="Arial" w:cs="Arial"/>
          <w:i/>
          <w:color w:val="7B7B7B" w:themeColor="accent3" w:themeShade="BF"/>
          <w:sz w:val="22"/>
          <w:szCs w:val="22"/>
          <w:lang w:val="en-GB"/>
        </w:rPr>
        <w:t>Hidoux</w:t>
      </w:r>
      <w:proofErr w:type="spellEnd"/>
      <w:r w:rsidR="007E19FE">
        <w:rPr>
          <w:rFonts w:ascii="Arial" w:hAnsi="Arial" w:cs="Arial"/>
          <w:i/>
          <w:color w:val="7B7B7B" w:themeColor="accent3" w:themeShade="BF"/>
          <w:sz w:val="22"/>
          <w:szCs w:val="22"/>
          <w:lang w:val="en-GB"/>
        </w:rPr>
        <w:t xml:space="preserve"> </w:t>
      </w:r>
      <w:r w:rsidR="007E19FE">
        <w:rPr>
          <w:rFonts w:ascii="Arial" w:hAnsi="Arial" w:cs="Arial"/>
          <w:color w:val="7B7B7B" w:themeColor="accent3" w:themeShade="BF"/>
          <w:sz w:val="22"/>
          <w:szCs w:val="22"/>
          <w:lang w:val="en-GB"/>
        </w:rPr>
        <w:t>Case C-191/10) and the lack of group insolvency provisio</w:t>
      </w:r>
      <w:r w:rsidR="00443587">
        <w:rPr>
          <w:rFonts w:ascii="Arial" w:hAnsi="Arial" w:cs="Arial"/>
          <w:color w:val="7B7B7B" w:themeColor="accent3" w:themeShade="BF"/>
          <w:sz w:val="22"/>
          <w:szCs w:val="22"/>
          <w:lang w:val="en-GB"/>
        </w:rPr>
        <w:t>n, EIR 2000 fails to address the group insolvency provision.  EIR 2000 adopts the traditional model which</w:t>
      </w:r>
      <w:r w:rsidR="007E19FE">
        <w:rPr>
          <w:rFonts w:ascii="Arial" w:hAnsi="Arial" w:cs="Arial"/>
          <w:color w:val="7B7B7B" w:themeColor="accent3" w:themeShade="BF"/>
          <w:sz w:val="22"/>
          <w:szCs w:val="22"/>
          <w:lang w:val="en-GB"/>
        </w:rPr>
        <w:t xml:space="preserve"> require</w:t>
      </w:r>
      <w:r w:rsidR="00443587">
        <w:rPr>
          <w:rFonts w:ascii="Arial" w:hAnsi="Arial" w:cs="Arial"/>
          <w:color w:val="7B7B7B" w:themeColor="accent3" w:themeShade="BF"/>
          <w:sz w:val="22"/>
          <w:szCs w:val="22"/>
          <w:lang w:val="en-GB"/>
        </w:rPr>
        <w:t>s</w:t>
      </w:r>
      <w:r w:rsidR="007E19FE">
        <w:rPr>
          <w:rFonts w:ascii="Arial" w:hAnsi="Arial" w:cs="Arial"/>
          <w:color w:val="7B7B7B" w:themeColor="accent3" w:themeShade="BF"/>
          <w:sz w:val="22"/>
          <w:szCs w:val="22"/>
          <w:lang w:val="en-GB"/>
        </w:rPr>
        <w:t xml:space="preserve"> each legal entity of a group to be subject to a separate insolvency proceeding with a separate insolvency estate.  This could lead to suboptimal results and are detrimental to both the creditors and the debtor as piecemeal </w:t>
      </w:r>
      <w:r w:rsidR="007E19FE">
        <w:rPr>
          <w:rFonts w:ascii="Arial" w:hAnsi="Arial" w:cs="Arial"/>
          <w:color w:val="7B7B7B" w:themeColor="accent3" w:themeShade="BF"/>
          <w:sz w:val="22"/>
          <w:szCs w:val="22"/>
          <w:lang w:val="en-GB"/>
        </w:rPr>
        <w:lastRenderedPageBreak/>
        <w:t xml:space="preserve">realization is carried out when the entities are working as a group in reality.  This would also reduce the possibility of a successful rescue.  </w:t>
      </w:r>
      <w:r w:rsidR="003A5402">
        <w:rPr>
          <w:rFonts w:ascii="Arial" w:hAnsi="Arial" w:cs="Arial"/>
          <w:color w:val="7B7B7B" w:themeColor="accent3" w:themeShade="BF"/>
          <w:sz w:val="22"/>
          <w:szCs w:val="22"/>
          <w:lang w:val="en-GB"/>
        </w:rPr>
        <w:t>The group insolvency provisions in EIR Recast help address the problems</w:t>
      </w:r>
    </w:p>
    <w:p w14:paraId="4A637290" w14:textId="4A0282A0" w:rsidR="00544127" w:rsidRPr="008500BD" w:rsidRDefault="00544127" w:rsidP="002A37BB">
      <w:pPr>
        <w:ind w:left="720" w:hanging="720"/>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1C64BF77" w14:textId="5DA0DDA5" w:rsidR="00247DA2" w:rsidRDefault="00247D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improvement is the introduction of a suspect period for the definition of centre of main interest (“COMI”) in Article 3(1) of EIR Recast.  In both EIR 2000 and EIR Recast, the COMI for a corporate is presumed to be the registered office in the absence of proof to the contrary.  In the CJEU case of </w:t>
      </w:r>
      <w:r>
        <w:rPr>
          <w:rFonts w:ascii="Arial" w:hAnsi="Arial" w:cs="Arial"/>
          <w:i/>
          <w:color w:val="7B7B7B" w:themeColor="accent3" w:themeShade="BF"/>
          <w:sz w:val="22"/>
          <w:szCs w:val="22"/>
          <w:lang w:val="en-GB"/>
        </w:rPr>
        <w:t xml:space="preserve">Susanne </w:t>
      </w:r>
      <w:proofErr w:type="spellStart"/>
      <w:r>
        <w:rPr>
          <w:rFonts w:ascii="Arial" w:hAnsi="Arial" w:cs="Arial"/>
          <w:i/>
          <w:color w:val="7B7B7B" w:themeColor="accent3" w:themeShade="BF"/>
          <w:sz w:val="22"/>
          <w:szCs w:val="22"/>
          <w:lang w:val="en-GB"/>
        </w:rPr>
        <w:t>Staubitz</w:t>
      </w:r>
      <w:proofErr w:type="spellEnd"/>
      <w:r>
        <w:rPr>
          <w:rFonts w:ascii="Arial" w:hAnsi="Arial" w:cs="Arial"/>
          <w:i/>
          <w:color w:val="7B7B7B" w:themeColor="accent3" w:themeShade="BF"/>
          <w:sz w:val="22"/>
          <w:szCs w:val="22"/>
          <w:lang w:val="en-GB"/>
        </w:rPr>
        <w:t xml:space="preserve">-Schreiber </w:t>
      </w:r>
      <w:r>
        <w:rPr>
          <w:rFonts w:ascii="Arial" w:hAnsi="Arial" w:cs="Arial"/>
          <w:color w:val="7B7B7B" w:themeColor="accent3" w:themeShade="BF"/>
          <w:sz w:val="22"/>
          <w:szCs w:val="22"/>
          <w:lang w:val="en-GB"/>
        </w:rPr>
        <w:t>Case C-1/04, CJEU confirmed that the COMI of a debtor was to be determined at the time when the debtor lodges the request to open insolvency proceedings.  As a result, this provides opportunity for the debtor to manipulate the insolvency forum by shifting its registered office (and hence COMI) shortly before the actual insolvency filing.   Under EIR Recast, Article 3(1) now indicates that the presumption of the registered office to be the COMI of a corporate debtor would only applicable if the debtor’s registered office has not been moved to another Member State within the 3-month period prior to the request for the opening of insolvency proceeding.</w:t>
      </w:r>
    </w:p>
    <w:p w14:paraId="7F63FAAC" w14:textId="3994A2BA" w:rsidR="00247DA2" w:rsidRDefault="00247DA2" w:rsidP="002A37BB">
      <w:pPr>
        <w:jc w:val="both"/>
        <w:rPr>
          <w:rFonts w:ascii="Arial" w:hAnsi="Arial" w:cs="Arial"/>
          <w:color w:val="7B7B7B" w:themeColor="accent3" w:themeShade="BF"/>
          <w:sz w:val="22"/>
          <w:szCs w:val="22"/>
          <w:lang w:val="en-GB"/>
        </w:rPr>
      </w:pPr>
    </w:p>
    <w:p w14:paraId="1633985C" w14:textId="00A0C7EE" w:rsidR="00247DA2" w:rsidRDefault="00AA78D0"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second improvement is the introduction of a comprehensive communication and cooperation framework under EIR Recast.  In EIR 2000, there was only 1 article (Article 31) which requires the insolvency practitioners of the main insolvency proceeding and the second insolvency proceedings to communicate information to each other.  Under EIR Recast, a comprehensive framework is made for cooperation and communication between (a) insolvency practitioners in the main insolvency proceeding and second insolvency proceedings (Article 41 of EIR Recast); (b) courts (including the time before the insolvency proceedings are opened) (Article 42 of EIR Recast); and (c) courts and insolvency practitioners (Article 43 of EIR Recast).   The comprehensive communication model significantly facilitates coordination and reduces unnecessary cost of repetitive work when there are multiple proceedings in different Member States (which is allowed under EIR Recast) against the same debtor.  A timely communication would also improve the insolvency results, including a higher chance of rescue and a better coordination of asset management and sales.</w:t>
      </w:r>
    </w:p>
    <w:p w14:paraId="3322B30E" w14:textId="553BDF67" w:rsidR="00AA78D0" w:rsidRDefault="00AA78D0" w:rsidP="002A37BB">
      <w:pPr>
        <w:jc w:val="both"/>
        <w:rPr>
          <w:rFonts w:ascii="Arial" w:hAnsi="Arial" w:cs="Arial"/>
          <w:color w:val="7B7B7B" w:themeColor="accent3" w:themeShade="BF"/>
          <w:sz w:val="22"/>
          <w:szCs w:val="22"/>
          <w:lang w:val="en-GB"/>
        </w:rPr>
      </w:pPr>
    </w:p>
    <w:p w14:paraId="74F6440D" w14:textId="218F2C71" w:rsidR="00AA78D0" w:rsidRPr="00247DA2" w:rsidRDefault="00AA78D0"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third improvement and innovation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a new chapter (Chapter V) in EIR Recast on group insolvencies.  The EIR 2000</w:t>
      </w:r>
      <w:r w:rsidR="00284C1D">
        <w:rPr>
          <w:rFonts w:ascii="Arial" w:hAnsi="Arial" w:cs="Arial"/>
          <w:color w:val="7B7B7B" w:themeColor="accent3" w:themeShade="BF"/>
          <w:sz w:val="22"/>
          <w:szCs w:val="22"/>
          <w:lang w:val="en-GB"/>
        </w:rPr>
        <w:t xml:space="preserve"> applied a single entity approach and</w:t>
      </w:r>
      <w:r>
        <w:rPr>
          <w:rFonts w:ascii="Arial" w:hAnsi="Arial" w:cs="Arial"/>
          <w:color w:val="7B7B7B" w:themeColor="accent3" w:themeShade="BF"/>
          <w:sz w:val="22"/>
          <w:szCs w:val="22"/>
          <w:lang w:val="en-GB"/>
        </w:rPr>
        <w:t xml:space="preserve"> contained no provision to tackle the situation of insolvency of multinational enterprise groups.</w:t>
      </w:r>
      <w:r w:rsidR="00284C1D">
        <w:rPr>
          <w:rFonts w:ascii="Arial" w:hAnsi="Arial" w:cs="Arial"/>
          <w:color w:val="7B7B7B" w:themeColor="accent3" w:themeShade="BF"/>
          <w:sz w:val="22"/>
          <w:szCs w:val="22"/>
          <w:lang w:val="en-GB"/>
        </w:rPr>
        <w:t xml:space="preserve">  However, a number of EU cross border insolvency cases are related to enterprise group members in different Member States.  EIR Recast now provides (a) duties of cooperation and communication for courts and insolvency practitioners involved in insolvency proceedings against different members of a group; and (b) a group co-ordination proceeding.   This approach is considered to be very innovative as EIR Recast pre-dates the UNCITRAL group insolvency model law.  Indeed, there is a pressing need for EU to introduce a group insolvency mechanism given that it is common for a corporate group to establish different entities across Member States for operation and in reality, the close economic ties and business relationships are very often merged and operated together among entities.  Yet, during insolvency, it is viewed separately.  This would lead to undesirable results, such as parallel insolvency proceedings and piecemeal realization of assets.  This would also make rescue difficult when the business is operated in an integrated manner but insolvency takes a single entity view.</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lastRenderedPageBreak/>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27921F8C" w14:textId="11579098" w:rsidR="003203EE" w:rsidRDefault="009834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major omission is </w:t>
      </w:r>
      <w:r w:rsidR="00ED088E">
        <w:rPr>
          <w:rFonts w:ascii="Arial" w:hAnsi="Arial" w:cs="Arial"/>
          <w:color w:val="7B7B7B" w:themeColor="accent3" w:themeShade="BF"/>
          <w:sz w:val="22"/>
          <w:szCs w:val="22"/>
          <w:lang w:val="en-GB"/>
        </w:rPr>
        <w:t xml:space="preserve">concerned with the </w:t>
      </w:r>
      <w:r w:rsidR="003203EE">
        <w:rPr>
          <w:rFonts w:ascii="Arial" w:hAnsi="Arial" w:cs="Arial"/>
          <w:color w:val="7B7B7B" w:themeColor="accent3" w:themeShade="BF"/>
          <w:sz w:val="22"/>
          <w:szCs w:val="22"/>
          <w:lang w:val="en-GB"/>
        </w:rPr>
        <w:t>failure to stipulate the consequences to inform the creditors for the opening of the insolvency proceedings</w:t>
      </w:r>
      <w:r>
        <w:rPr>
          <w:rFonts w:ascii="Arial" w:hAnsi="Arial" w:cs="Arial"/>
          <w:color w:val="7B7B7B" w:themeColor="accent3" w:themeShade="BF"/>
          <w:sz w:val="22"/>
          <w:szCs w:val="22"/>
          <w:lang w:val="en-GB"/>
        </w:rPr>
        <w:t>.</w:t>
      </w:r>
      <w:r w:rsidR="003203EE">
        <w:rPr>
          <w:rFonts w:ascii="Arial" w:hAnsi="Arial" w:cs="Arial"/>
          <w:color w:val="7B7B7B" w:themeColor="accent3" w:themeShade="BF"/>
          <w:sz w:val="22"/>
          <w:szCs w:val="22"/>
          <w:lang w:val="en-GB"/>
        </w:rPr>
        <w:t xml:space="preserve">  Under Article 28 of EIR Recast, an insolvency practitioner or a debtor in possession has the duty to publish a notice of the opening of insolvency proceedings against the debtor in all Member States where the debtor has an establishment.  A similar obligation is imposed under Article 54 of EIR Recast to mandate the court which opens the insolvency proceedings or the insolvency practitioner appointed by that court to inform all foreign creditors in relation to the opening of insolvency proceeding.   However, the EIR Recast does not stipulate the consequences for violation and the consequences would be determined by </w:t>
      </w:r>
      <w:proofErr w:type="spellStart"/>
      <w:r w:rsidR="003203EE">
        <w:rPr>
          <w:rFonts w:ascii="Arial" w:hAnsi="Arial" w:cs="Arial"/>
          <w:i/>
          <w:color w:val="7B7B7B" w:themeColor="accent3" w:themeShade="BF"/>
          <w:sz w:val="22"/>
          <w:szCs w:val="22"/>
          <w:lang w:val="en-GB"/>
        </w:rPr>
        <w:t>lex</w:t>
      </w:r>
      <w:proofErr w:type="spellEnd"/>
      <w:r w:rsidR="003203EE">
        <w:rPr>
          <w:rFonts w:ascii="Arial" w:hAnsi="Arial" w:cs="Arial"/>
          <w:i/>
          <w:color w:val="7B7B7B" w:themeColor="accent3" w:themeShade="BF"/>
          <w:sz w:val="22"/>
          <w:szCs w:val="22"/>
          <w:lang w:val="en-GB"/>
        </w:rPr>
        <w:t xml:space="preserve"> concursus</w:t>
      </w:r>
      <w:r w:rsidR="003203EE">
        <w:rPr>
          <w:rFonts w:ascii="Arial" w:hAnsi="Arial" w:cs="Arial"/>
          <w:color w:val="7B7B7B" w:themeColor="accent3" w:themeShade="BF"/>
          <w:sz w:val="22"/>
          <w:szCs w:val="22"/>
          <w:lang w:val="en-GB"/>
        </w:rPr>
        <w:t xml:space="preserve">.  Unfortunately, there is no unified practice across Member States.  Some Member States take the view that the unnotified creditors should not be affected by the claim bar date while some do not adopt such view.  These appear unsatisfactory since EIR Recast aims to provide a unified approach to tackle insolvency of a debtor but the current practice would give creditors different treatments in relation to the failure of the creditors to obtain the notice.  It should be noted that given the geographical size </w:t>
      </w:r>
      <w:r w:rsidR="00083734">
        <w:rPr>
          <w:rFonts w:ascii="Arial" w:hAnsi="Arial" w:cs="Arial"/>
          <w:color w:val="7B7B7B" w:themeColor="accent3" w:themeShade="BF"/>
          <w:sz w:val="22"/>
          <w:szCs w:val="22"/>
          <w:lang w:val="en-GB"/>
        </w:rPr>
        <w:t xml:space="preserve">(and the number of languages used) </w:t>
      </w:r>
      <w:r w:rsidR="003203EE">
        <w:rPr>
          <w:rFonts w:ascii="Arial" w:hAnsi="Arial" w:cs="Arial"/>
          <w:color w:val="7B7B7B" w:themeColor="accent3" w:themeShade="BF"/>
          <w:sz w:val="22"/>
          <w:szCs w:val="22"/>
          <w:lang w:val="en-GB"/>
        </w:rPr>
        <w:t>of the EU and the number of creditors, it would not be practical for creditors, in particular small suppliers to keep monitoring the status of their debtors.  The different consequences towards failure to give notice (which may bar the creditors’ claims at all) hence would be unsatisfactory and discriminate the creditors based on its location.</w:t>
      </w:r>
      <w:r w:rsidR="00AD4C27">
        <w:rPr>
          <w:rFonts w:ascii="Arial" w:hAnsi="Arial" w:cs="Arial"/>
          <w:color w:val="7B7B7B" w:themeColor="accent3" w:themeShade="BF"/>
          <w:sz w:val="22"/>
          <w:szCs w:val="22"/>
          <w:lang w:val="en-GB"/>
        </w:rPr>
        <w:t xml:space="preserve">  The solution to the omission would be to provide an express unified consequence in the EIR (overriding the national law regime) in order to provide a fair treatment to all creditors located in different Member States.</w:t>
      </w:r>
    </w:p>
    <w:p w14:paraId="132C3732" w14:textId="224E235A" w:rsidR="003203EE" w:rsidRDefault="003203EE" w:rsidP="002A37BB">
      <w:pPr>
        <w:jc w:val="both"/>
        <w:rPr>
          <w:rFonts w:ascii="Arial" w:hAnsi="Arial" w:cs="Arial"/>
          <w:color w:val="7B7B7B" w:themeColor="accent3" w:themeShade="BF"/>
          <w:sz w:val="22"/>
          <w:szCs w:val="22"/>
          <w:lang w:val="en-GB"/>
        </w:rPr>
      </w:pPr>
    </w:p>
    <w:p w14:paraId="2AAEF14A" w14:textId="782664A4" w:rsidR="003203EE" w:rsidRPr="003203EE" w:rsidRDefault="003203EE"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second major omission is </w:t>
      </w:r>
      <w:r w:rsidR="00ED088E">
        <w:rPr>
          <w:rFonts w:ascii="Arial" w:hAnsi="Arial" w:cs="Arial"/>
          <w:color w:val="7B7B7B" w:themeColor="accent3" w:themeShade="BF"/>
          <w:sz w:val="22"/>
          <w:szCs w:val="22"/>
          <w:lang w:val="en-GB"/>
        </w:rPr>
        <w:t xml:space="preserve">related to the </w:t>
      </w:r>
      <w:r w:rsidR="00AD4C27">
        <w:rPr>
          <w:rFonts w:ascii="Arial" w:hAnsi="Arial" w:cs="Arial"/>
          <w:color w:val="7B7B7B" w:themeColor="accent3" w:themeShade="BF"/>
          <w:sz w:val="22"/>
          <w:szCs w:val="22"/>
          <w:lang w:val="en-GB"/>
        </w:rPr>
        <w:t>voluntary nature of the group co-ordination proceeding newly introduction under Chapter V of EIR Recast.  While the concept is clearly innovative (well before UNCITRAL publishes a model law on group insolvency), the group co-ordination proceeding is voluntary and only at the request of the insolvency practitioner of a group member (see Recital 56 and Article 61 of EIR Recast).  Moreover, the insolvency practitioner appointed in respect of any group member can choose to opt out easily under Article 64 of EIR Recast.  Indeed, the EIR Recast even does not expressly require the insolvency practitioner to give any reasons for opting out and there is no mandatory duty for the insolvency practitioner to seek views from the creditors before opting out.  While the regime appears to preserve the national regime of each law and avoids complex issues, it is noted that in an enterprise group, different entities work and cooperate with each other.  However, in the context of insolvency, the issues are resolved on an entity basis and synergy among group members are ignored.  This could lead to suboptimal results in restructuring and lack of coordination in management and sale of assets (leading to loss of creditors).   A group insolvency indeed aims to resolve the single entity approach by allowing the group insolvency to be co-ordinated.  Although group insolvency in general provides a better outcome, we also need to respect the choices of individual creditors.  The solution to this issue is to increase the threshold of insolvency practitioners opting out from group insolvency.  For example, the insolvency practitioner must</w:t>
      </w:r>
      <w:r w:rsidR="00BE438F">
        <w:rPr>
          <w:rFonts w:ascii="Arial" w:hAnsi="Arial" w:cs="Arial"/>
          <w:color w:val="7B7B7B" w:themeColor="accent3" w:themeShade="BF"/>
          <w:sz w:val="22"/>
          <w:szCs w:val="22"/>
          <w:lang w:val="en-GB"/>
        </w:rPr>
        <w:t xml:space="preserve"> make recommendations to the creditors on the choice and</w:t>
      </w:r>
      <w:r w:rsidR="00AD4C27">
        <w:rPr>
          <w:rFonts w:ascii="Arial" w:hAnsi="Arial" w:cs="Arial"/>
          <w:color w:val="7B7B7B" w:themeColor="accent3" w:themeShade="BF"/>
          <w:sz w:val="22"/>
          <w:szCs w:val="22"/>
          <w:lang w:val="en-GB"/>
        </w:rPr>
        <w:t xml:space="preserve"> seek </w:t>
      </w:r>
      <w:r w:rsidR="00BE438F">
        <w:rPr>
          <w:rFonts w:ascii="Arial" w:hAnsi="Arial" w:cs="Arial"/>
          <w:color w:val="7B7B7B" w:themeColor="accent3" w:themeShade="BF"/>
          <w:sz w:val="22"/>
          <w:szCs w:val="22"/>
          <w:lang w:val="en-GB"/>
        </w:rPr>
        <w:t>approvals</w:t>
      </w:r>
      <w:r w:rsidR="00AD4C27">
        <w:rPr>
          <w:rFonts w:ascii="Arial" w:hAnsi="Arial" w:cs="Arial"/>
          <w:color w:val="7B7B7B" w:themeColor="accent3" w:themeShade="BF"/>
          <w:sz w:val="22"/>
          <w:szCs w:val="22"/>
          <w:lang w:val="en-GB"/>
        </w:rPr>
        <w:t xml:space="preserve"> from the creditors </w:t>
      </w:r>
      <w:r w:rsidR="00BE438F">
        <w:rPr>
          <w:rFonts w:ascii="Arial" w:hAnsi="Arial" w:cs="Arial"/>
          <w:color w:val="7B7B7B" w:themeColor="accent3" w:themeShade="BF"/>
          <w:sz w:val="22"/>
          <w:szCs w:val="22"/>
          <w:lang w:val="en-GB"/>
        </w:rPr>
        <w:t>before making an election of opting out.  Further, the EIR may provide routes for unsatisfied creditors or other members of the group of the company to challenge any opting out decision on the basis of bad faith or so.</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w:t>
      </w:r>
      <w:r w:rsidRPr="008500BD">
        <w:rPr>
          <w:rFonts w:ascii="Arial" w:hAnsi="Arial" w:cs="Arial"/>
          <w:sz w:val="22"/>
          <w:szCs w:val="22"/>
          <w:lang w:val="en-GB"/>
        </w:rPr>
        <w:lastRenderedPageBreak/>
        <w:t xml:space="preserve">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16860B3" w14:textId="77777777" w:rsidR="002D45F8" w:rsidRDefault="00180D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1(1) of EIR 2000, EIR 2000 applies </w:t>
      </w:r>
      <w:r w:rsidR="0032132B">
        <w:rPr>
          <w:rFonts w:ascii="Arial" w:hAnsi="Arial" w:cs="Arial"/>
          <w:color w:val="7B7B7B" w:themeColor="accent3" w:themeShade="BF"/>
          <w:sz w:val="22"/>
          <w:szCs w:val="22"/>
          <w:lang w:val="en-GB"/>
        </w:rPr>
        <w:t xml:space="preserve">to collective insolvency proceedings which entail the partial or total divestment of a debtor and the appointment of a liquidator. Under Article 3(1) of EIR 2000, the courts of the Member State within the territory of which the centre of the debtor’s main interest (“COMI”) is situation should have jurisdiction to open insolvency proceedings.  Article 2(a) of EIR 2000 defines “insolvency proceedings” as collective insolvency proceedings referred to in Article 1(1) with these proceedings listed in Annex A.  In </w:t>
      </w:r>
      <w:r w:rsidR="0032132B">
        <w:rPr>
          <w:rFonts w:ascii="Arial" w:hAnsi="Arial" w:cs="Arial"/>
          <w:i/>
          <w:color w:val="7B7B7B" w:themeColor="accent3" w:themeShade="BF"/>
          <w:sz w:val="22"/>
          <w:szCs w:val="22"/>
          <w:lang w:val="en-GB"/>
        </w:rPr>
        <w:t xml:space="preserve">Bank </w:t>
      </w:r>
      <w:proofErr w:type="spellStart"/>
      <w:r w:rsidR="0032132B">
        <w:rPr>
          <w:rFonts w:ascii="Arial" w:hAnsi="Arial" w:cs="Arial"/>
          <w:i/>
          <w:color w:val="7B7B7B" w:themeColor="accent3" w:themeShade="BF"/>
          <w:sz w:val="22"/>
          <w:szCs w:val="22"/>
          <w:lang w:val="en-GB"/>
        </w:rPr>
        <w:t>Handlowy</w:t>
      </w:r>
      <w:proofErr w:type="spellEnd"/>
      <w:r w:rsidR="0032132B">
        <w:rPr>
          <w:rFonts w:ascii="Arial" w:hAnsi="Arial" w:cs="Arial"/>
          <w:i/>
          <w:color w:val="7B7B7B" w:themeColor="accent3" w:themeShade="BF"/>
          <w:sz w:val="22"/>
          <w:szCs w:val="22"/>
          <w:lang w:val="en-GB"/>
        </w:rPr>
        <w:t xml:space="preserve"> w </w:t>
      </w:r>
      <w:proofErr w:type="spellStart"/>
      <w:r w:rsidR="0032132B">
        <w:rPr>
          <w:rFonts w:ascii="Arial" w:hAnsi="Arial" w:cs="Arial"/>
          <w:i/>
          <w:color w:val="7B7B7B" w:themeColor="accent3" w:themeShade="BF"/>
          <w:sz w:val="22"/>
          <w:szCs w:val="22"/>
          <w:lang w:val="en-GB"/>
        </w:rPr>
        <w:t>Warszawie</w:t>
      </w:r>
      <w:proofErr w:type="spellEnd"/>
      <w:r w:rsidR="0032132B">
        <w:rPr>
          <w:rFonts w:ascii="Arial" w:hAnsi="Arial" w:cs="Arial"/>
          <w:i/>
          <w:color w:val="7B7B7B" w:themeColor="accent3" w:themeShade="BF"/>
          <w:sz w:val="22"/>
          <w:szCs w:val="22"/>
          <w:lang w:val="en-GB"/>
        </w:rPr>
        <w:t xml:space="preserve"> SA v </w:t>
      </w:r>
      <w:proofErr w:type="spellStart"/>
      <w:r w:rsidR="0032132B">
        <w:rPr>
          <w:rFonts w:ascii="Arial" w:hAnsi="Arial" w:cs="Arial"/>
          <w:i/>
          <w:color w:val="7B7B7B" w:themeColor="accent3" w:themeShade="BF"/>
          <w:sz w:val="22"/>
          <w:szCs w:val="22"/>
          <w:lang w:val="en-GB"/>
        </w:rPr>
        <w:t>Christianpol</w:t>
      </w:r>
      <w:proofErr w:type="spellEnd"/>
      <w:r w:rsidR="0032132B">
        <w:rPr>
          <w:rFonts w:ascii="Arial" w:hAnsi="Arial" w:cs="Arial"/>
          <w:i/>
          <w:color w:val="7B7B7B" w:themeColor="accent3" w:themeShade="BF"/>
          <w:sz w:val="22"/>
          <w:szCs w:val="22"/>
          <w:lang w:val="en-GB"/>
        </w:rPr>
        <w:t xml:space="preserve"> sp. z </w:t>
      </w:r>
      <w:proofErr w:type="spellStart"/>
      <w:r w:rsidR="0032132B">
        <w:rPr>
          <w:rFonts w:ascii="Arial" w:hAnsi="Arial" w:cs="Arial"/>
          <w:i/>
          <w:color w:val="7B7B7B" w:themeColor="accent3" w:themeShade="BF"/>
          <w:sz w:val="22"/>
          <w:szCs w:val="22"/>
          <w:lang w:val="en-GB"/>
        </w:rPr>
        <w:t>o.o</w:t>
      </w:r>
      <w:proofErr w:type="spellEnd"/>
      <w:r w:rsidR="0032132B">
        <w:rPr>
          <w:rFonts w:ascii="Arial" w:hAnsi="Arial" w:cs="Arial"/>
          <w:i/>
          <w:color w:val="7B7B7B" w:themeColor="accent3" w:themeShade="BF"/>
          <w:sz w:val="22"/>
          <w:szCs w:val="22"/>
          <w:lang w:val="en-GB"/>
        </w:rPr>
        <w:t xml:space="preserve">. </w:t>
      </w:r>
      <w:r w:rsidR="0032132B">
        <w:rPr>
          <w:rFonts w:ascii="Arial" w:hAnsi="Arial" w:cs="Arial"/>
          <w:color w:val="7B7B7B" w:themeColor="accent3" w:themeShade="BF"/>
          <w:sz w:val="22"/>
          <w:szCs w:val="22"/>
          <w:lang w:val="en-GB"/>
        </w:rPr>
        <w:t xml:space="preserve">C-116/11, CJEU confirmed that the list of proceedings in Annex A has a decisive role.  Accordingly, if a proceeding is not listed in Annex A, the proceeding is not covered under EIR 2000.   </w:t>
      </w:r>
    </w:p>
    <w:p w14:paraId="1E5BC9C0" w14:textId="77777777" w:rsidR="002D45F8" w:rsidRDefault="002D45F8" w:rsidP="002A37BB">
      <w:pPr>
        <w:jc w:val="both"/>
        <w:rPr>
          <w:rFonts w:ascii="Arial" w:hAnsi="Arial" w:cs="Arial"/>
          <w:color w:val="7B7B7B" w:themeColor="accent3" w:themeShade="BF"/>
          <w:sz w:val="22"/>
          <w:szCs w:val="22"/>
          <w:lang w:val="en-GB"/>
        </w:rPr>
      </w:pPr>
    </w:p>
    <w:p w14:paraId="0D37BBBB" w14:textId="3D749CF5" w:rsidR="002F75A3" w:rsidRPr="0032132B" w:rsidRDefault="0032132B"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For France, </w:t>
      </w:r>
      <w:r w:rsidRPr="0032132B">
        <w:rPr>
          <w:rFonts w:ascii="Arial" w:hAnsi="Arial" w:cs="Arial"/>
          <w:color w:val="7B7B7B" w:themeColor="accent3" w:themeShade="BF"/>
          <w:sz w:val="22"/>
          <w:szCs w:val="22"/>
          <w:lang w:val="en-GB"/>
        </w:rPr>
        <w:t>safeguard proceedings (</w:t>
      </w:r>
      <w:proofErr w:type="spellStart"/>
      <w:r w:rsidRPr="00B453BD">
        <w:rPr>
          <w:rFonts w:ascii="Arial" w:hAnsi="Arial" w:cs="Arial"/>
          <w:i/>
          <w:color w:val="7B7B7B" w:themeColor="accent3" w:themeShade="BF"/>
          <w:sz w:val="22"/>
          <w:szCs w:val="22"/>
          <w:lang w:val="en-GB"/>
        </w:rPr>
        <w:t>procédure</w:t>
      </w:r>
      <w:proofErr w:type="spellEnd"/>
      <w:r w:rsidRPr="00B453BD">
        <w:rPr>
          <w:rFonts w:ascii="Arial" w:hAnsi="Arial" w:cs="Arial"/>
          <w:i/>
          <w:color w:val="7B7B7B" w:themeColor="accent3" w:themeShade="BF"/>
          <w:sz w:val="22"/>
          <w:szCs w:val="22"/>
          <w:lang w:val="en-GB"/>
        </w:rPr>
        <w:t xml:space="preserve"> de </w:t>
      </w:r>
      <w:proofErr w:type="spellStart"/>
      <w:r w:rsidRPr="00B453BD">
        <w:rPr>
          <w:rFonts w:ascii="Arial" w:hAnsi="Arial" w:cs="Arial"/>
          <w:i/>
          <w:color w:val="7B7B7B" w:themeColor="accent3" w:themeShade="BF"/>
          <w:sz w:val="22"/>
          <w:szCs w:val="22"/>
          <w:lang w:val="en-GB"/>
        </w:rPr>
        <w:t>sauvegarde</w:t>
      </w:r>
      <w:proofErr w:type="spellEnd"/>
      <w:r w:rsidRPr="00B453BD">
        <w:rPr>
          <w:rFonts w:ascii="Arial" w:hAnsi="Arial" w:cs="Arial"/>
          <w:i/>
          <w:color w:val="7B7B7B" w:themeColor="accent3" w:themeShade="BF"/>
          <w:sz w:val="22"/>
          <w:szCs w:val="22"/>
          <w:lang w:val="en-GB"/>
        </w:rPr>
        <w:t>)</w:t>
      </w:r>
      <w:r>
        <w:rPr>
          <w:rFonts w:ascii="Arial" w:hAnsi="Arial" w:cs="Arial"/>
          <w:color w:val="7B7B7B" w:themeColor="accent3" w:themeShade="BF"/>
          <w:sz w:val="22"/>
          <w:szCs w:val="22"/>
          <w:lang w:val="en-GB"/>
        </w:rPr>
        <w:t xml:space="preserve"> are NOT included in Annex A to EIR 2000.  Accordingly, the Strasbourg Court in France would </w:t>
      </w:r>
      <w:r w:rsidR="002D45F8">
        <w:rPr>
          <w:rFonts w:ascii="Arial" w:hAnsi="Arial" w:cs="Arial"/>
          <w:color w:val="7B7B7B" w:themeColor="accent3" w:themeShade="BF"/>
          <w:sz w:val="22"/>
          <w:szCs w:val="22"/>
          <w:lang w:val="en-GB"/>
        </w:rPr>
        <w:t>NOT</w:t>
      </w:r>
      <w:r>
        <w:rPr>
          <w:rFonts w:ascii="Arial" w:hAnsi="Arial" w:cs="Arial"/>
          <w:color w:val="7B7B7B" w:themeColor="accent3" w:themeShade="BF"/>
          <w:sz w:val="22"/>
          <w:szCs w:val="22"/>
          <w:lang w:val="en-GB"/>
        </w:rPr>
        <w:t xml:space="preserve"> have international jurisdiction to open the requested insolvency proceedings under EIR 2000</w:t>
      </w:r>
      <w:r w:rsidR="00C01B68">
        <w:rPr>
          <w:rFonts w:ascii="Arial" w:hAnsi="Arial" w:cs="Arial"/>
          <w:color w:val="7B7B7B" w:themeColor="accent3" w:themeShade="BF"/>
          <w:sz w:val="22"/>
          <w:szCs w:val="22"/>
          <w:lang w:val="en-GB"/>
        </w:rPr>
        <w:t xml:space="preserve"> even if PAJ has its registered office, which is presumed to be the COMI, in France</w:t>
      </w:r>
      <w:r>
        <w:rPr>
          <w:rFonts w:ascii="Arial" w:hAnsi="Arial" w:cs="Arial"/>
          <w:color w:val="7B7B7B" w:themeColor="accent3" w:themeShade="BF"/>
          <w:sz w:val="22"/>
          <w:szCs w:val="22"/>
          <w:lang w:val="en-GB"/>
        </w:rPr>
        <w:t xml:space="preserve">.  </w:t>
      </w:r>
    </w:p>
    <w:p w14:paraId="317DD6E7" w14:textId="302B6447" w:rsidR="00126A4D" w:rsidRDefault="00126A4D"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56D0206" w14:textId="77777777" w:rsidR="0065549F" w:rsidRDefault="0065549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determine whether EIR Recast applies, there are four steps.  </w:t>
      </w:r>
    </w:p>
    <w:p w14:paraId="4F86BE12" w14:textId="77777777" w:rsidR="0065549F" w:rsidRDefault="0065549F" w:rsidP="002A37BB">
      <w:pPr>
        <w:autoSpaceDE w:val="0"/>
        <w:autoSpaceDN w:val="0"/>
        <w:adjustRightInd w:val="0"/>
        <w:jc w:val="both"/>
        <w:rPr>
          <w:rFonts w:ascii="Arial" w:hAnsi="Arial" w:cs="Arial"/>
          <w:color w:val="7B7B7B" w:themeColor="accent3" w:themeShade="BF"/>
          <w:sz w:val="22"/>
          <w:szCs w:val="22"/>
          <w:lang w:val="en-GB"/>
        </w:rPr>
      </w:pPr>
    </w:p>
    <w:p w14:paraId="0D58AF04" w14:textId="693E5ACA" w:rsidR="0065549F" w:rsidRDefault="0065549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step is that the relevant proceeding should be opened after 26 June 2017 as Article 92 </w:t>
      </w:r>
      <w:r w:rsidR="00FD1EC2">
        <w:rPr>
          <w:rFonts w:ascii="Arial" w:hAnsi="Arial" w:cs="Arial"/>
          <w:color w:val="7B7B7B" w:themeColor="accent3" w:themeShade="BF"/>
          <w:sz w:val="22"/>
          <w:szCs w:val="22"/>
          <w:lang w:val="en-GB"/>
        </w:rPr>
        <w:t xml:space="preserve">of EIR Recast </w:t>
      </w:r>
      <w:r>
        <w:rPr>
          <w:rFonts w:ascii="Arial" w:hAnsi="Arial" w:cs="Arial"/>
          <w:color w:val="7B7B7B" w:themeColor="accent3" w:themeShade="BF"/>
          <w:sz w:val="22"/>
          <w:szCs w:val="22"/>
          <w:lang w:val="en-GB"/>
        </w:rPr>
        <w:t>states that EIR recast only applies from 26 June 2017 (except for Articles 23(1), 25 and 86, however these 3 articles are unrelated to international jurisdiction and hence can be ignore</w:t>
      </w:r>
      <w:r w:rsidR="00DC6717">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for the present purpose (known as the temporal scope requirement)</w:t>
      </w:r>
      <w:r w:rsidR="00DC671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F5799D8" w14:textId="0EB5D5B4" w:rsidR="0065549F" w:rsidRDefault="0065549F" w:rsidP="002A37BB">
      <w:pPr>
        <w:autoSpaceDE w:val="0"/>
        <w:autoSpaceDN w:val="0"/>
        <w:adjustRightInd w:val="0"/>
        <w:jc w:val="both"/>
        <w:rPr>
          <w:rFonts w:ascii="Arial" w:hAnsi="Arial" w:cs="Arial"/>
          <w:color w:val="7B7B7B" w:themeColor="accent3" w:themeShade="BF"/>
          <w:sz w:val="22"/>
          <w:szCs w:val="22"/>
          <w:lang w:val="en-GB"/>
        </w:rPr>
      </w:pPr>
    </w:p>
    <w:p w14:paraId="70D412F5" w14:textId="38597E95" w:rsidR="0065549F" w:rsidRDefault="0065549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this case, as the proceeding is opened on 29 June 2017, after EIR Recast takes.  The temporal scope requirement is satisfied.</w:t>
      </w:r>
    </w:p>
    <w:p w14:paraId="6BF3ACB6" w14:textId="3ADF2F3D" w:rsidR="0065549F" w:rsidRDefault="0065549F" w:rsidP="002A37BB">
      <w:pPr>
        <w:autoSpaceDE w:val="0"/>
        <w:autoSpaceDN w:val="0"/>
        <w:adjustRightInd w:val="0"/>
        <w:jc w:val="both"/>
        <w:rPr>
          <w:rFonts w:ascii="Arial" w:hAnsi="Arial" w:cs="Arial"/>
          <w:color w:val="7B7B7B" w:themeColor="accent3" w:themeShade="BF"/>
          <w:sz w:val="22"/>
          <w:szCs w:val="22"/>
          <w:lang w:val="en-GB"/>
        </w:rPr>
      </w:pPr>
    </w:p>
    <w:p w14:paraId="7BF796E7" w14:textId="4FCDC07D" w:rsidR="0065549F" w:rsidRDefault="0065549F"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D1EC2">
        <w:rPr>
          <w:rFonts w:ascii="Arial" w:hAnsi="Arial" w:cs="Arial"/>
          <w:color w:val="7B7B7B" w:themeColor="accent3" w:themeShade="BF"/>
          <w:sz w:val="22"/>
          <w:szCs w:val="22"/>
          <w:lang w:val="en-GB"/>
        </w:rPr>
        <w:t xml:space="preserve">second </w:t>
      </w:r>
      <w:r>
        <w:rPr>
          <w:rFonts w:ascii="Arial" w:hAnsi="Arial" w:cs="Arial"/>
          <w:color w:val="7B7B7B" w:themeColor="accent3" w:themeShade="BF"/>
          <w:sz w:val="22"/>
          <w:szCs w:val="22"/>
          <w:lang w:val="en-GB"/>
        </w:rPr>
        <w:t>step</w:t>
      </w:r>
      <w:r w:rsidR="00FD1EC2">
        <w:rPr>
          <w:rFonts w:ascii="Arial" w:hAnsi="Arial" w:cs="Arial"/>
          <w:color w:val="7B7B7B" w:themeColor="accent3" w:themeShade="BF"/>
          <w:sz w:val="22"/>
          <w:szCs w:val="22"/>
          <w:lang w:val="en-GB"/>
        </w:rPr>
        <w:t xml:space="preserve"> is the territorial scope.</w:t>
      </w:r>
      <w:r>
        <w:rPr>
          <w:rFonts w:ascii="Arial" w:hAnsi="Arial" w:cs="Arial"/>
          <w:color w:val="7B7B7B" w:themeColor="accent3" w:themeShade="BF"/>
          <w:sz w:val="22"/>
          <w:szCs w:val="22"/>
          <w:lang w:val="en-GB"/>
        </w:rPr>
        <w:t xml:space="preserve"> </w:t>
      </w:r>
      <w:r w:rsidR="00FD1EC2">
        <w:rPr>
          <w:rFonts w:ascii="Arial" w:hAnsi="Arial" w:cs="Arial"/>
          <w:color w:val="7B7B7B" w:themeColor="accent3" w:themeShade="BF"/>
          <w:sz w:val="22"/>
          <w:szCs w:val="22"/>
          <w:lang w:val="en-GB"/>
        </w:rPr>
        <w:t xml:space="preserve"> Article 3(1) of EIR Recast requires </w:t>
      </w:r>
      <w:r>
        <w:rPr>
          <w:rFonts w:ascii="Arial" w:hAnsi="Arial" w:cs="Arial"/>
          <w:color w:val="7B7B7B" w:themeColor="accent3" w:themeShade="BF"/>
          <w:sz w:val="22"/>
          <w:szCs w:val="22"/>
          <w:lang w:val="en-GB"/>
        </w:rPr>
        <w:t xml:space="preserve">the debtor </w:t>
      </w:r>
      <w:r w:rsidR="00FD1EC2">
        <w:rPr>
          <w:rFonts w:ascii="Arial" w:hAnsi="Arial" w:cs="Arial"/>
          <w:color w:val="7B7B7B" w:themeColor="accent3" w:themeShade="BF"/>
          <w:sz w:val="22"/>
          <w:szCs w:val="22"/>
          <w:lang w:val="en-GB"/>
        </w:rPr>
        <w:t>to have</w:t>
      </w:r>
      <w:r>
        <w:rPr>
          <w:rFonts w:ascii="Arial" w:hAnsi="Arial" w:cs="Arial"/>
          <w:color w:val="7B7B7B" w:themeColor="accent3" w:themeShade="BF"/>
          <w:sz w:val="22"/>
          <w:szCs w:val="22"/>
          <w:lang w:val="en-GB"/>
        </w:rPr>
        <w:t xml:space="preserve"> the centre of main interest (“COMI”) in a Member State of the EU other than Denmark.  COMI is defined as the place where the debtor conducts the administration of its interest on a regular basis and which is ascertainable by third parties</w:t>
      </w:r>
      <w:r w:rsidR="00FD1EC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D1EC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Article 3(1) provides that the COMI shall be </w:t>
      </w:r>
      <w:r>
        <w:rPr>
          <w:rFonts w:ascii="Arial" w:hAnsi="Arial" w:cs="Arial"/>
          <w:color w:val="7B7B7B" w:themeColor="accent3" w:themeShade="BF"/>
          <w:sz w:val="22"/>
          <w:szCs w:val="22"/>
          <w:lang w:val="en-GB"/>
        </w:rPr>
        <w:lastRenderedPageBreak/>
        <w:t>presumed to be the place of registered office in relation to a corporate debtor in the absence of proof to the contrary</w:t>
      </w:r>
      <w:r w:rsidR="00FD1EC2">
        <w:rPr>
          <w:rFonts w:ascii="Arial" w:hAnsi="Arial" w:cs="Arial"/>
          <w:color w:val="7B7B7B" w:themeColor="accent3" w:themeShade="BF"/>
          <w:sz w:val="22"/>
          <w:szCs w:val="22"/>
          <w:lang w:val="en-GB"/>
        </w:rPr>
        <w:t>.  The presumption is only applicable if the registered office has not been moved to another Member State 3 months prior to the request to the opening of insolvency proceedings.</w:t>
      </w:r>
    </w:p>
    <w:p w14:paraId="235E558D" w14:textId="7504C967" w:rsidR="00FD1EC2" w:rsidRDefault="00FD1EC2" w:rsidP="002A37BB">
      <w:pPr>
        <w:autoSpaceDE w:val="0"/>
        <w:autoSpaceDN w:val="0"/>
        <w:adjustRightInd w:val="0"/>
        <w:jc w:val="both"/>
        <w:rPr>
          <w:rFonts w:ascii="Arial" w:hAnsi="Arial" w:cs="Arial"/>
          <w:color w:val="7B7B7B" w:themeColor="accent3" w:themeShade="BF"/>
          <w:sz w:val="22"/>
          <w:szCs w:val="22"/>
          <w:lang w:val="en-GB"/>
        </w:rPr>
      </w:pPr>
    </w:p>
    <w:p w14:paraId="3498F750" w14:textId="10505EAD" w:rsidR="00FD1EC2" w:rsidRDefault="00FD1EC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this case, PAJ has its registered office in France and there appears no evidence to conclude that PAJ has conduct</w:t>
      </w:r>
      <w:r w:rsidR="003C5C29">
        <w:rPr>
          <w:rFonts w:ascii="Arial" w:hAnsi="Arial" w:cs="Arial"/>
          <w:color w:val="7B7B7B" w:themeColor="accent3" w:themeShade="BF"/>
          <w:sz w:val="22"/>
          <w:szCs w:val="22"/>
          <w:lang w:val="en-GB"/>
        </w:rPr>
        <w:t>ed</w:t>
      </w:r>
      <w:bookmarkStart w:id="1" w:name="_GoBack"/>
      <w:bookmarkEnd w:id="1"/>
      <w:r>
        <w:rPr>
          <w:rFonts w:ascii="Arial" w:hAnsi="Arial" w:cs="Arial"/>
          <w:color w:val="7B7B7B" w:themeColor="accent3" w:themeShade="BF"/>
          <w:sz w:val="22"/>
          <w:szCs w:val="22"/>
          <w:lang w:val="en-GB"/>
        </w:rPr>
        <w:t xml:space="preserve"> its administration on a regular basis and ascertainable to others in any other place. </w:t>
      </w:r>
      <w:r w:rsidR="00A91606">
        <w:rPr>
          <w:rFonts w:ascii="Arial" w:hAnsi="Arial" w:cs="Arial"/>
          <w:color w:val="7B7B7B" w:themeColor="accent3" w:themeShade="BF"/>
          <w:sz w:val="22"/>
          <w:szCs w:val="22"/>
          <w:lang w:val="en-GB"/>
        </w:rPr>
        <w:t xml:space="preserve"> There is also no evidence to indicate the change of registered office 3 months prior to the insolvency proceedings.</w:t>
      </w:r>
      <w:r>
        <w:rPr>
          <w:rFonts w:ascii="Arial" w:hAnsi="Arial" w:cs="Arial"/>
          <w:color w:val="7B7B7B" w:themeColor="accent3" w:themeShade="BF"/>
          <w:sz w:val="22"/>
          <w:szCs w:val="22"/>
          <w:lang w:val="en-GB"/>
        </w:rPr>
        <w:t xml:space="preserve"> </w:t>
      </w:r>
      <w:r w:rsidR="00A9160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Accordingly, the presumption applies and PAJ has its COMI in France.  The territorial scope is satisfied.</w:t>
      </w:r>
    </w:p>
    <w:p w14:paraId="2576E7B7" w14:textId="77777777" w:rsidR="00FD1EC2" w:rsidRDefault="00FD1EC2" w:rsidP="002A37BB">
      <w:pPr>
        <w:autoSpaceDE w:val="0"/>
        <w:autoSpaceDN w:val="0"/>
        <w:adjustRightInd w:val="0"/>
        <w:jc w:val="both"/>
        <w:rPr>
          <w:rFonts w:ascii="Arial" w:hAnsi="Arial" w:cs="Arial"/>
          <w:color w:val="7B7B7B" w:themeColor="accent3" w:themeShade="BF"/>
          <w:sz w:val="22"/>
          <w:szCs w:val="22"/>
          <w:lang w:val="en-GB"/>
        </w:rPr>
      </w:pPr>
    </w:p>
    <w:p w14:paraId="53AF63B0" w14:textId="324DFE45" w:rsidR="00FD1EC2" w:rsidRDefault="00FD1EC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step is the personal scope.  Article 1(2) of EIR Recast states that EIR Recast does not apply to insurance undertakings, credit institutions, investment firms and other firms, institutions and undertakings to the extent covered by Directive 2001/24/EC or collective investment undertakings.</w:t>
      </w:r>
    </w:p>
    <w:p w14:paraId="7520679E" w14:textId="77340E55" w:rsidR="00FD1EC2" w:rsidRDefault="00FD1EC2" w:rsidP="002A37BB">
      <w:pPr>
        <w:autoSpaceDE w:val="0"/>
        <w:autoSpaceDN w:val="0"/>
        <w:adjustRightInd w:val="0"/>
        <w:jc w:val="both"/>
        <w:rPr>
          <w:rFonts w:ascii="Arial" w:hAnsi="Arial" w:cs="Arial"/>
          <w:color w:val="7B7B7B" w:themeColor="accent3" w:themeShade="BF"/>
          <w:sz w:val="22"/>
          <w:szCs w:val="22"/>
          <w:lang w:val="en-GB"/>
        </w:rPr>
      </w:pPr>
    </w:p>
    <w:p w14:paraId="2316CF7D" w14:textId="568FDDC7" w:rsidR="00FD1EC2" w:rsidRDefault="00FD1EC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the present case, there is nothing to suggest that PAJ falls within one of the categories of the undertakings in Article 1(2).  Accordingly, the personal scope is satisfied.</w:t>
      </w:r>
    </w:p>
    <w:p w14:paraId="683C0BC2" w14:textId="629C03F7" w:rsidR="00FD1EC2" w:rsidRDefault="00FD1EC2" w:rsidP="002A37BB">
      <w:pPr>
        <w:autoSpaceDE w:val="0"/>
        <w:autoSpaceDN w:val="0"/>
        <w:adjustRightInd w:val="0"/>
        <w:jc w:val="both"/>
        <w:rPr>
          <w:rFonts w:ascii="Arial" w:hAnsi="Arial" w:cs="Arial"/>
          <w:color w:val="7B7B7B" w:themeColor="accent3" w:themeShade="BF"/>
          <w:sz w:val="22"/>
          <w:szCs w:val="22"/>
          <w:lang w:val="en-GB"/>
        </w:rPr>
      </w:pPr>
    </w:p>
    <w:p w14:paraId="7E0725F1" w14:textId="77777777" w:rsidR="00B453BD" w:rsidRDefault="00FD1EC2"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fourth and final step is the material scope.  Under Article 1(1) of EIR Recast, EIR Recast applies to public collective proceedings, including interim proceedings, which are based on laws relating to insolvency and in which, for the purpose of rescue, adjustment of debt, reorganization or liquidation.  The proceedings are listed in Annex A.  </w:t>
      </w:r>
      <w:r w:rsidRPr="00FD1EC2">
        <w:rPr>
          <w:rFonts w:ascii="Arial" w:hAnsi="Arial" w:cs="Arial"/>
          <w:color w:val="7B7B7B" w:themeColor="accent3" w:themeShade="BF"/>
          <w:sz w:val="22"/>
          <w:szCs w:val="22"/>
          <w:lang w:val="en-GB"/>
        </w:rPr>
        <w:t xml:space="preserve">In </w:t>
      </w:r>
      <w:r w:rsidRPr="00FD1EC2">
        <w:rPr>
          <w:rFonts w:ascii="Arial" w:hAnsi="Arial" w:cs="Arial"/>
          <w:i/>
          <w:color w:val="7B7B7B" w:themeColor="accent3" w:themeShade="BF"/>
          <w:sz w:val="22"/>
          <w:szCs w:val="22"/>
          <w:lang w:val="en-GB"/>
        </w:rPr>
        <w:t xml:space="preserve">Bank </w:t>
      </w:r>
      <w:proofErr w:type="spellStart"/>
      <w:r w:rsidRPr="00FD1EC2">
        <w:rPr>
          <w:rFonts w:ascii="Arial" w:hAnsi="Arial" w:cs="Arial"/>
          <w:i/>
          <w:color w:val="7B7B7B" w:themeColor="accent3" w:themeShade="BF"/>
          <w:sz w:val="22"/>
          <w:szCs w:val="22"/>
          <w:lang w:val="en-GB"/>
        </w:rPr>
        <w:t>Handlowy</w:t>
      </w:r>
      <w:proofErr w:type="spellEnd"/>
      <w:r w:rsidRPr="00FD1EC2">
        <w:rPr>
          <w:rFonts w:ascii="Arial" w:hAnsi="Arial" w:cs="Arial"/>
          <w:i/>
          <w:color w:val="7B7B7B" w:themeColor="accent3" w:themeShade="BF"/>
          <w:sz w:val="22"/>
          <w:szCs w:val="22"/>
          <w:lang w:val="en-GB"/>
        </w:rPr>
        <w:t xml:space="preserve"> w </w:t>
      </w:r>
      <w:proofErr w:type="spellStart"/>
      <w:r w:rsidRPr="00FD1EC2">
        <w:rPr>
          <w:rFonts w:ascii="Arial" w:hAnsi="Arial" w:cs="Arial"/>
          <w:i/>
          <w:color w:val="7B7B7B" w:themeColor="accent3" w:themeShade="BF"/>
          <w:sz w:val="22"/>
          <w:szCs w:val="22"/>
          <w:lang w:val="en-GB"/>
        </w:rPr>
        <w:t>Warszawie</w:t>
      </w:r>
      <w:proofErr w:type="spellEnd"/>
      <w:r w:rsidRPr="00FD1EC2">
        <w:rPr>
          <w:rFonts w:ascii="Arial" w:hAnsi="Arial" w:cs="Arial"/>
          <w:i/>
          <w:color w:val="7B7B7B" w:themeColor="accent3" w:themeShade="BF"/>
          <w:sz w:val="22"/>
          <w:szCs w:val="22"/>
          <w:lang w:val="en-GB"/>
        </w:rPr>
        <w:t xml:space="preserve"> SA v </w:t>
      </w:r>
      <w:proofErr w:type="spellStart"/>
      <w:r w:rsidRPr="00FD1EC2">
        <w:rPr>
          <w:rFonts w:ascii="Arial" w:hAnsi="Arial" w:cs="Arial"/>
          <w:i/>
          <w:color w:val="7B7B7B" w:themeColor="accent3" w:themeShade="BF"/>
          <w:sz w:val="22"/>
          <w:szCs w:val="22"/>
          <w:lang w:val="en-GB"/>
        </w:rPr>
        <w:t>Christianpol</w:t>
      </w:r>
      <w:proofErr w:type="spellEnd"/>
      <w:r w:rsidRPr="00FD1EC2">
        <w:rPr>
          <w:rFonts w:ascii="Arial" w:hAnsi="Arial" w:cs="Arial"/>
          <w:i/>
          <w:color w:val="7B7B7B" w:themeColor="accent3" w:themeShade="BF"/>
          <w:sz w:val="22"/>
          <w:szCs w:val="22"/>
          <w:lang w:val="en-GB"/>
        </w:rPr>
        <w:t xml:space="preserve"> sp. z </w:t>
      </w:r>
      <w:proofErr w:type="spellStart"/>
      <w:r w:rsidRPr="00FD1EC2">
        <w:rPr>
          <w:rFonts w:ascii="Arial" w:hAnsi="Arial" w:cs="Arial"/>
          <w:i/>
          <w:color w:val="7B7B7B" w:themeColor="accent3" w:themeShade="BF"/>
          <w:sz w:val="22"/>
          <w:szCs w:val="22"/>
          <w:lang w:val="en-GB"/>
        </w:rPr>
        <w:t>o.o</w:t>
      </w:r>
      <w:proofErr w:type="spellEnd"/>
      <w:r w:rsidRPr="00FD1EC2">
        <w:rPr>
          <w:rFonts w:ascii="Arial" w:hAnsi="Arial" w:cs="Arial"/>
          <w:i/>
          <w:color w:val="7B7B7B" w:themeColor="accent3" w:themeShade="BF"/>
          <w:sz w:val="22"/>
          <w:szCs w:val="22"/>
          <w:lang w:val="en-GB"/>
        </w:rPr>
        <w:t xml:space="preserve">. </w:t>
      </w:r>
      <w:r w:rsidRPr="00FD1EC2">
        <w:rPr>
          <w:rFonts w:ascii="Arial" w:hAnsi="Arial" w:cs="Arial"/>
          <w:color w:val="7B7B7B" w:themeColor="accent3" w:themeShade="BF"/>
          <w:sz w:val="22"/>
          <w:szCs w:val="22"/>
          <w:lang w:val="en-GB"/>
        </w:rPr>
        <w:t>C-116/11, CJEU confirmed that the list of proceedings in Annex A</w:t>
      </w:r>
      <w:r>
        <w:rPr>
          <w:rFonts w:ascii="Arial" w:hAnsi="Arial" w:cs="Arial"/>
          <w:color w:val="7B7B7B" w:themeColor="accent3" w:themeShade="BF"/>
          <w:sz w:val="22"/>
          <w:szCs w:val="22"/>
          <w:lang w:val="en-GB"/>
        </w:rPr>
        <w:t xml:space="preserve"> to EIR 2000</w:t>
      </w:r>
      <w:r w:rsidRPr="00FD1EC2">
        <w:rPr>
          <w:rFonts w:ascii="Arial" w:hAnsi="Arial" w:cs="Arial"/>
          <w:color w:val="7B7B7B" w:themeColor="accent3" w:themeShade="BF"/>
          <w:sz w:val="22"/>
          <w:szCs w:val="22"/>
          <w:lang w:val="en-GB"/>
        </w:rPr>
        <w:t xml:space="preserve"> has a decisive role.  Accordingly, if a proceeding is not listed in Annex A, the proceeding is not covered under EIR 2000.</w:t>
      </w:r>
      <w:r w:rsidR="00B453BD">
        <w:rPr>
          <w:rFonts w:ascii="Arial" w:hAnsi="Arial" w:cs="Arial"/>
          <w:color w:val="7B7B7B" w:themeColor="accent3" w:themeShade="BF"/>
          <w:sz w:val="22"/>
          <w:szCs w:val="22"/>
          <w:lang w:val="en-GB"/>
        </w:rPr>
        <w:t xml:space="preserve">  The CJEC decision is reflected in Recital 9 to EIR Recast, which states that the insolvency proceedings covered under EIR Recast are listed exhaustively in Annex A to EIR Recast.  The proceedings of </w:t>
      </w:r>
      <w:proofErr w:type="spellStart"/>
      <w:r w:rsidR="00B453BD" w:rsidRPr="00B453BD">
        <w:rPr>
          <w:rFonts w:ascii="Arial" w:hAnsi="Arial" w:cs="Arial"/>
          <w:i/>
          <w:color w:val="7B7B7B" w:themeColor="accent3" w:themeShade="BF"/>
          <w:sz w:val="22"/>
          <w:szCs w:val="22"/>
          <w:lang w:val="en-GB"/>
        </w:rPr>
        <w:t>sauvegarde</w:t>
      </w:r>
      <w:proofErr w:type="spellEnd"/>
      <w:r w:rsidR="00B453BD">
        <w:rPr>
          <w:rFonts w:ascii="Arial" w:hAnsi="Arial" w:cs="Arial"/>
          <w:color w:val="7B7B7B" w:themeColor="accent3" w:themeShade="BF"/>
          <w:sz w:val="22"/>
          <w:szCs w:val="22"/>
          <w:lang w:val="en-GB"/>
        </w:rPr>
        <w:t xml:space="preserve"> are included in Annex A.</w:t>
      </w:r>
    </w:p>
    <w:p w14:paraId="18A171DE" w14:textId="77777777" w:rsidR="00B453BD" w:rsidRDefault="00B453BD" w:rsidP="002A37BB">
      <w:pPr>
        <w:autoSpaceDE w:val="0"/>
        <w:autoSpaceDN w:val="0"/>
        <w:adjustRightInd w:val="0"/>
        <w:jc w:val="both"/>
        <w:rPr>
          <w:rFonts w:ascii="Arial" w:hAnsi="Arial" w:cs="Arial"/>
          <w:color w:val="7B7B7B" w:themeColor="accent3" w:themeShade="BF"/>
          <w:sz w:val="22"/>
          <w:szCs w:val="22"/>
          <w:lang w:val="en-GB"/>
        </w:rPr>
      </w:pPr>
    </w:p>
    <w:p w14:paraId="1651098D" w14:textId="68A3D857" w:rsidR="00FD1EC2" w:rsidRDefault="00B453BD" w:rsidP="00B453B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concerned proceedings are </w:t>
      </w:r>
      <w:r w:rsidRPr="0032132B">
        <w:rPr>
          <w:rFonts w:ascii="Arial" w:hAnsi="Arial" w:cs="Arial"/>
          <w:color w:val="7B7B7B" w:themeColor="accent3" w:themeShade="BF"/>
          <w:sz w:val="22"/>
          <w:szCs w:val="22"/>
          <w:lang w:val="en-GB"/>
        </w:rPr>
        <w:t>safeguard proceedings (</w:t>
      </w:r>
      <w:proofErr w:type="spellStart"/>
      <w:r w:rsidRPr="00B453BD">
        <w:rPr>
          <w:rFonts w:ascii="Arial" w:hAnsi="Arial" w:cs="Arial"/>
          <w:i/>
          <w:color w:val="7B7B7B" w:themeColor="accent3" w:themeShade="BF"/>
          <w:sz w:val="22"/>
          <w:szCs w:val="22"/>
          <w:lang w:val="en-GB"/>
        </w:rPr>
        <w:t>procédure</w:t>
      </w:r>
      <w:proofErr w:type="spellEnd"/>
      <w:r w:rsidRPr="00B453BD">
        <w:rPr>
          <w:rFonts w:ascii="Arial" w:hAnsi="Arial" w:cs="Arial"/>
          <w:i/>
          <w:color w:val="7B7B7B" w:themeColor="accent3" w:themeShade="BF"/>
          <w:sz w:val="22"/>
          <w:szCs w:val="22"/>
          <w:lang w:val="en-GB"/>
        </w:rPr>
        <w:t xml:space="preserve"> de </w:t>
      </w:r>
      <w:proofErr w:type="spellStart"/>
      <w:r w:rsidRPr="00B453BD">
        <w:rPr>
          <w:rFonts w:ascii="Arial" w:hAnsi="Arial" w:cs="Arial"/>
          <w:i/>
          <w:color w:val="7B7B7B" w:themeColor="accent3" w:themeShade="BF"/>
          <w:sz w:val="22"/>
          <w:szCs w:val="22"/>
          <w:lang w:val="en-GB"/>
        </w:rPr>
        <w:t>sauvegarde</w:t>
      </w:r>
      <w:proofErr w:type="spellEnd"/>
      <w:r w:rsidRPr="00B453BD">
        <w:rPr>
          <w:rFonts w:ascii="Arial" w:hAnsi="Arial" w:cs="Arial"/>
          <w:i/>
          <w:color w:val="7B7B7B" w:themeColor="accent3" w:themeShade="BF"/>
          <w:sz w:val="22"/>
          <w:szCs w:val="22"/>
          <w:lang w:val="en-GB"/>
        </w:rPr>
        <w:t>)</w:t>
      </w:r>
      <w:r>
        <w:rPr>
          <w:rFonts w:ascii="Arial" w:hAnsi="Arial" w:cs="Arial"/>
          <w:color w:val="7B7B7B" w:themeColor="accent3" w:themeShade="BF"/>
          <w:sz w:val="22"/>
          <w:szCs w:val="22"/>
          <w:lang w:val="en-GB"/>
        </w:rPr>
        <w:t xml:space="preserve"> and are included in Annex A.  The material scope is fulfilled.</w:t>
      </w:r>
    </w:p>
    <w:p w14:paraId="70AF6AE1" w14:textId="14A41B73" w:rsidR="00B453BD" w:rsidRDefault="00B453BD" w:rsidP="00B453BD">
      <w:pPr>
        <w:autoSpaceDE w:val="0"/>
        <w:autoSpaceDN w:val="0"/>
        <w:adjustRightInd w:val="0"/>
        <w:jc w:val="both"/>
        <w:rPr>
          <w:rFonts w:ascii="Arial" w:hAnsi="Arial" w:cs="Arial"/>
          <w:color w:val="7B7B7B" w:themeColor="accent3" w:themeShade="BF"/>
          <w:sz w:val="22"/>
          <w:szCs w:val="22"/>
          <w:lang w:val="en-GB"/>
        </w:rPr>
      </w:pPr>
    </w:p>
    <w:p w14:paraId="1B5E2F08" w14:textId="3798E22F" w:rsidR="002D3473" w:rsidRPr="008500BD" w:rsidRDefault="00B453BD" w:rsidP="002A37BB">
      <w:pPr>
        <w:autoSpaceDE w:val="0"/>
        <w:autoSpaceDN w:val="0"/>
        <w:adjustRightInd w:val="0"/>
        <w:jc w:val="both"/>
        <w:rPr>
          <w:rFonts w:ascii="Arial" w:hAnsi="Arial" w:cs="Arial"/>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 xml:space="preserve">n conclusion, the EIR Recast would be applicable and the </w:t>
      </w:r>
      <w:r w:rsidRPr="00B453BD">
        <w:rPr>
          <w:rFonts w:ascii="Arial" w:hAnsi="Arial" w:cs="Arial"/>
          <w:color w:val="7B7B7B" w:themeColor="accent3" w:themeShade="BF"/>
          <w:sz w:val="22"/>
          <w:szCs w:val="22"/>
          <w:lang w:val="en-GB"/>
        </w:rPr>
        <w:t xml:space="preserve">Strasbourg Court </w:t>
      </w:r>
      <w:r>
        <w:rPr>
          <w:rFonts w:ascii="Arial" w:hAnsi="Arial" w:cs="Arial"/>
          <w:color w:val="7B7B7B" w:themeColor="accent3" w:themeShade="BF"/>
          <w:sz w:val="22"/>
          <w:szCs w:val="22"/>
          <w:lang w:val="en-GB"/>
        </w:rPr>
        <w:t xml:space="preserve">in France has the </w:t>
      </w:r>
      <w:r w:rsidRPr="00B453BD">
        <w:rPr>
          <w:rFonts w:ascii="Arial" w:hAnsi="Arial" w:cs="Arial"/>
          <w:color w:val="7B7B7B" w:themeColor="accent3" w:themeShade="BF"/>
          <w:sz w:val="22"/>
          <w:szCs w:val="22"/>
          <w:lang w:val="en-GB"/>
        </w:rPr>
        <w:t>international jurisdiction to open the requested insolvency proceeding</w:t>
      </w:r>
      <w:r>
        <w:rPr>
          <w:rFonts w:ascii="Arial" w:hAnsi="Arial" w:cs="Arial"/>
          <w:color w:val="7B7B7B" w:themeColor="accent3" w:themeShade="BF"/>
          <w:sz w:val="22"/>
          <w:szCs w:val="22"/>
          <w:lang w:val="en-GB"/>
        </w:rPr>
        <w:t xml:space="preserve"> under EIR Recast.</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54283198" w14:textId="77777777" w:rsidR="005668D3" w:rsidRDefault="00FA5E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3(2) of EIR Recast, when the debtor’s centre of main interest (“COMI”) is situated within the territory of a Member State, the courts of another Member State shall have jurisdiction to open </w:t>
      </w:r>
      <w:r w:rsidR="005668D3">
        <w:rPr>
          <w:rFonts w:ascii="Arial" w:hAnsi="Arial" w:cs="Arial"/>
          <w:color w:val="7B7B7B" w:themeColor="accent3" w:themeShade="BF"/>
          <w:sz w:val="22"/>
          <w:szCs w:val="22"/>
          <w:lang w:val="en-GB"/>
        </w:rPr>
        <w:t xml:space="preserve">insolvency proceedings (known as territorial or secondary insolvency proceedings) against the debtor only if the debtor possesses an establishment within the territory of that other Member State.  </w:t>
      </w:r>
    </w:p>
    <w:p w14:paraId="0FCA4550" w14:textId="77777777" w:rsidR="005668D3" w:rsidRDefault="005668D3" w:rsidP="002A37BB">
      <w:pPr>
        <w:jc w:val="both"/>
        <w:rPr>
          <w:rFonts w:ascii="Arial" w:hAnsi="Arial" w:cs="Arial"/>
          <w:color w:val="7B7B7B" w:themeColor="accent3" w:themeShade="BF"/>
          <w:sz w:val="22"/>
          <w:szCs w:val="22"/>
          <w:lang w:val="en-GB"/>
        </w:rPr>
      </w:pPr>
    </w:p>
    <w:p w14:paraId="6F79EC5E" w14:textId="4F995E0A" w:rsidR="00CE2F34" w:rsidRDefault="005668D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“establishment” is defined under Article 2(10) of EIR Recast as “any place of operations where a debtor carries out or has carried out in the 3-month period prior to the request to open main</w:t>
      </w:r>
      <w:r w:rsidR="00CE2F3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insolvency proceedings a non-transitory economic activity with human means and assets”.</w:t>
      </w:r>
      <w:r w:rsidR="00CE2F34">
        <w:rPr>
          <w:rFonts w:ascii="Arial" w:hAnsi="Arial" w:cs="Arial"/>
          <w:color w:val="7B7B7B" w:themeColor="accent3" w:themeShade="BF"/>
          <w:sz w:val="22"/>
          <w:szCs w:val="22"/>
          <w:lang w:val="en-GB"/>
        </w:rPr>
        <w:t xml:space="preserve">  The existence of establishment hence is assessed at the time when the secondary insolvency proceedings are opened.</w:t>
      </w:r>
    </w:p>
    <w:p w14:paraId="12A80C6F" w14:textId="77777777" w:rsidR="00CE2F34" w:rsidRDefault="00CE2F34" w:rsidP="002A37BB">
      <w:pPr>
        <w:jc w:val="both"/>
        <w:rPr>
          <w:rFonts w:ascii="Arial" w:hAnsi="Arial" w:cs="Arial"/>
          <w:color w:val="7B7B7B" w:themeColor="accent3" w:themeShade="BF"/>
          <w:sz w:val="22"/>
          <w:szCs w:val="22"/>
          <w:lang w:val="en-GB"/>
        </w:rPr>
      </w:pPr>
    </w:p>
    <w:p w14:paraId="3D465013" w14:textId="53F1BF5C" w:rsidR="005668D3" w:rsidRDefault="005668D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In </w:t>
      </w:r>
      <w:proofErr w:type="spellStart"/>
      <w:r>
        <w:rPr>
          <w:rFonts w:ascii="Arial" w:hAnsi="Arial" w:cs="Arial"/>
          <w:i/>
          <w:color w:val="7B7B7B" w:themeColor="accent3" w:themeShade="BF"/>
          <w:sz w:val="22"/>
          <w:szCs w:val="22"/>
          <w:lang w:val="en-GB"/>
        </w:rPr>
        <w:t>Interedil</w:t>
      </w:r>
      <w:proofErr w:type="spellEnd"/>
      <w:r>
        <w:rPr>
          <w:rFonts w:ascii="Arial" w:hAnsi="Arial" w:cs="Arial"/>
          <w:i/>
          <w:color w:val="7B7B7B" w:themeColor="accent3" w:themeShade="BF"/>
          <w:sz w:val="22"/>
          <w:szCs w:val="22"/>
          <w:lang w:val="en-GB"/>
        </w:rPr>
        <w:t xml:space="preserve"> </w:t>
      </w:r>
      <w:proofErr w:type="spellStart"/>
      <w:r>
        <w:rPr>
          <w:rFonts w:ascii="Arial" w:hAnsi="Arial" w:cs="Arial"/>
          <w:i/>
          <w:color w:val="7B7B7B" w:themeColor="accent3" w:themeShade="BF"/>
          <w:sz w:val="22"/>
          <w:szCs w:val="22"/>
          <w:lang w:val="en-GB"/>
        </w:rPr>
        <w:t>Srl</w:t>
      </w:r>
      <w:proofErr w:type="spellEnd"/>
      <w:r>
        <w:rPr>
          <w:rFonts w:ascii="Arial" w:hAnsi="Arial" w:cs="Arial"/>
          <w:i/>
          <w:color w:val="7B7B7B" w:themeColor="accent3" w:themeShade="BF"/>
          <w:sz w:val="22"/>
          <w:szCs w:val="22"/>
          <w:lang w:val="en-GB"/>
        </w:rPr>
        <w:t>, In Liquidation</w:t>
      </w:r>
      <w:r>
        <w:rPr>
          <w:rFonts w:ascii="Arial" w:hAnsi="Arial" w:cs="Arial"/>
          <w:color w:val="7B7B7B" w:themeColor="accent3" w:themeShade="BF"/>
          <w:sz w:val="22"/>
          <w:szCs w:val="22"/>
          <w:lang w:val="en-GB"/>
        </w:rPr>
        <w:t xml:space="preserve"> C-396/09, CJEU held that the definition of “establishment” is connected with the pursuit of an economic activity to the presence of human resources and needs to show that a minimum level of organisation and a degree of stability are required.  Conversely, the existence of goods in isolation or bank accounts alone would not satisfy the requirement.  </w:t>
      </w:r>
      <w:r w:rsidR="00CE2F34">
        <w:rPr>
          <w:rFonts w:ascii="Arial" w:hAnsi="Arial" w:cs="Arial"/>
          <w:color w:val="7B7B7B" w:themeColor="accent3" w:themeShade="BF"/>
          <w:sz w:val="22"/>
          <w:szCs w:val="22"/>
          <w:lang w:val="en-GB"/>
        </w:rPr>
        <w:t>According to paragraph 71 of Virgos-</w:t>
      </w:r>
      <w:proofErr w:type="spellStart"/>
      <w:r w:rsidR="00CE2F34">
        <w:rPr>
          <w:rFonts w:ascii="Arial" w:hAnsi="Arial" w:cs="Arial"/>
          <w:color w:val="7B7B7B" w:themeColor="accent3" w:themeShade="BF"/>
          <w:sz w:val="22"/>
          <w:szCs w:val="22"/>
          <w:lang w:val="en-GB"/>
        </w:rPr>
        <w:t>Schmit</w:t>
      </w:r>
      <w:proofErr w:type="spellEnd"/>
      <w:r w:rsidR="00CE2F34">
        <w:rPr>
          <w:rFonts w:ascii="Arial" w:hAnsi="Arial" w:cs="Arial"/>
          <w:color w:val="7B7B7B" w:themeColor="accent3" w:themeShade="BF"/>
          <w:sz w:val="22"/>
          <w:szCs w:val="22"/>
          <w:lang w:val="en-GB"/>
        </w:rPr>
        <w:t xml:space="preserve"> Report, the </w:t>
      </w:r>
      <w:proofErr w:type="spellStart"/>
      <w:proofErr w:type="gramStart"/>
      <w:r w:rsidR="00CE2F34">
        <w:rPr>
          <w:rFonts w:ascii="Arial" w:hAnsi="Arial" w:cs="Arial"/>
          <w:color w:val="7B7B7B" w:themeColor="accent3" w:themeShade="BF"/>
          <w:sz w:val="22"/>
          <w:szCs w:val="22"/>
          <w:lang w:val="en-GB"/>
        </w:rPr>
        <w:t>non transitory</w:t>
      </w:r>
      <w:proofErr w:type="spellEnd"/>
      <w:proofErr w:type="gramEnd"/>
      <w:r w:rsidR="00CE2F34">
        <w:rPr>
          <w:rFonts w:ascii="Arial" w:hAnsi="Arial" w:cs="Arial"/>
          <w:color w:val="7B7B7B" w:themeColor="accent3" w:themeShade="BF"/>
          <w:sz w:val="22"/>
          <w:szCs w:val="22"/>
          <w:lang w:val="en-GB"/>
        </w:rPr>
        <w:t xml:space="preserve"> character of a debtor’s activities indicates a certain degree of continuity and stability.  A pure occasional place of operations hence cannot be regarded as an establishment.  This has to be assessed in the eyes of the third parties, and not based on the intention of the debtor </w:t>
      </w:r>
    </w:p>
    <w:p w14:paraId="357763B0" w14:textId="77777777" w:rsidR="00CE2F34" w:rsidRDefault="00CE2F34" w:rsidP="002A37BB">
      <w:pPr>
        <w:jc w:val="both"/>
        <w:rPr>
          <w:rFonts w:ascii="Arial" w:hAnsi="Arial" w:cs="Arial"/>
          <w:color w:val="7B7B7B" w:themeColor="accent3" w:themeShade="BF"/>
          <w:sz w:val="22"/>
          <w:szCs w:val="22"/>
          <w:lang w:val="en-GB"/>
        </w:rPr>
      </w:pPr>
    </w:p>
    <w:p w14:paraId="7B4590E8" w14:textId="2E4B3756" w:rsidR="005668D3" w:rsidRDefault="005668D3" w:rsidP="002A37BB">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 xml:space="preserve">n this case, PAJ has owned a warehouse in Spain and rents out to other toy companies since 2011.  Since 2013, it has kept a bank account and has concluded a line of credit agreement with a Spanish bank.  In 2013, PAJ also started negotiations with local distributors and entered into some </w:t>
      </w:r>
      <w:proofErr w:type="spellStart"/>
      <w:proofErr w:type="gramStart"/>
      <w:r>
        <w:rPr>
          <w:rFonts w:ascii="Arial" w:hAnsi="Arial" w:cs="Arial"/>
          <w:color w:val="7B7B7B" w:themeColor="accent3" w:themeShade="BF"/>
          <w:sz w:val="22"/>
          <w:szCs w:val="22"/>
          <w:lang w:val="en-GB"/>
        </w:rPr>
        <w:t>non binding</w:t>
      </w:r>
      <w:proofErr w:type="spellEnd"/>
      <w:proofErr w:type="gramEnd"/>
      <w:r>
        <w:rPr>
          <w:rFonts w:ascii="Arial" w:hAnsi="Arial" w:cs="Arial"/>
          <w:color w:val="7B7B7B" w:themeColor="accent3" w:themeShade="BF"/>
          <w:sz w:val="22"/>
          <w:szCs w:val="22"/>
          <w:lang w:val="en-GB"/>
        </w:rPr>
        <w:t xml:space="preserve"> memorandum of understanding.  Accordingly, it is submitted that PAJ has been operating for 4 years (until 2017) in Spain and hence has a degree of stability.  Moreover, PAJ does not passively exist in Spain by only possessing a warehouse and a bank account.  It negotiates actively with distributors and enters into some form of understanding.  It is considered that </w:t>
      </w:r>
      <w:r w:rsidR="00CE2F34">
        <w:rPr>
          <w:rFonts w:ascii="Arial" w:hAnsi="Arial" w:cs="Arial"/>
          <w:color w:val="7B7B7B" w:themeColor="accent3" w:themeShade="BF"/>
          <w:sz w:val="22"/>
          <w:szCs w:val="22"/>
          <w:lang w:val="en-GB"/>
        </w:rPr>
        <w:t>the operation and activities in Span by PAJ would no doubt involve human resources and assets.  It is also apparent to third parties (such as distributors who deal with PAJ).  In summary, it is considered that PAJ has an establishment in Spain within the 3-month period prior to the opening of the French insolvency proceedings, which are the main insolvency proceedings (as discussed in Question 4.2, PAJ has a COMI in France and the French insolvency proceedings would be regarded as the main insolvency proceedings under Article 3(1) of EIR Recast).</w:t>
      </w:r>
    </w:p>
    <w:p w14:paraId="52C3A3EB" w14:textId="36744AAF" w:rsidR="00CE2F34" w:rsidRDefault="00CE2F34" w:rsidP="002A37BB">
      <w:pPr>
        <w:jc w:val="both"/>
        <w:rPr>
          <w:rFonts w:ascii="Arial" w:hAnsi="Arial" w:cs="Arial"/>
          <w:color w:val="7B7B7B" w:themeColor="accent3" w:themeShade="BF"/>
          <w:sz w:val="22"/>
          <w:szCs w:val="22"/>
          <w:lang w:val="en-GB"/>
        </w:rPr>
      </w:pPr>
    </w:p>
    <w:p w14:paraId="2661ED06" w14:textId="4E81556B" w:rsidR="00CE2F34" w:rsidRDefault="00CE2F3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the Spanish Bank would be allowed to file a petition to open secondary insolvency proceedings</w:t>
      </w:r>
      <w:r w:rsidR="007050B6">
        <w:rPr>
          <w:rFonts w:ascii="Arial" w:hAnsi="Arial" w:cs="Arial"/>
          <w:color w:val="7B7B7B" w:themeColor="accent3" w:themeShade="BF"/>
          <w:sz w:val="22"/>
          <w:szCs w:val="22"/>
          <w:lang w:val="en-GB"/>
        </w:rPr>
        <w:t>, once the main insolvency proceedings in France are opened</w:t>
      </w:r>
      <w:r w:rsidR="008807AE">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he secondary insolvency proceedings would only have effect to the assets of the debtor</w:t>
      </w:r>
      <w:r w:rsidR="007050B6">
        <w:rPr>
          <w:rFonts w:ascii="Arial" w:hAnsi="Arial" w:cs="Arial"/>
          <w:color w:val="7B7B7B" w:themeColor="accent3" w:themeShade="BF"/>
          <w:sz w:val="22"/>
          <w:szCs w:val="22"/>
          <w:lang w:val="en-GB"/>
        </w:rPr>
        <w:t xml:space="preserve"> situated</w:t>
      </w:r>
      <w:r>
        <w:rPr>
          <w:rFonts w:ascii="Arial" w:hAnsi="Arial" w:cs="Arial"/>
          <w:color w:val="7B7B7B" w:themeColor="accent3" w:themeShade="BF"/>
          <w:sz w:val="22"/>
          <w:szCs w:val="22"/>
          <w:lang w:val="en-GB"/>
        </w:rPr>
        <w:t xml:space="preserve"> in Spain under Article 3(2).</w:t>
      </w:r>
      <w:r w:rsidR="007050B6">
        <w:rPr>
          <w:rFonts w:ascii="Arial" w:hAnsi="Arial" w:cs="Arial"/>
          <w:color w:val="7B7B7B" w:themeColor="accent3" w:themeShade="BF"/>
          <w:sz w:val="22"/>
          <w:szCs w:val="22"/>
          <w:lang w:val="en-GB"/>
        </w:rPr>
        <w:t xml:space="preserve">  “The Member State in which assets are situated” is defined in Article 2(9) to refer to a list of different assets, including cash held in accounts with a credit institution.</w:t>
      </w:r>
    </w:p>
    <w:p w14:paraId="041D36D4" w14:textId="6FCD11EB" w:rsidR="007050B6" w:rsidRDefault="007050B6" w:rsidP="002A37BB">
      <w:pPr>
        <w:jc w:val="both"/>
        <w:rPr>
          <w:rFonts w:ascii="Arial" w:hAnsi="Arial" w:cs="Arial"/>
          <w:color w:val="7B7B7B" w:themeColor="accent3" w:themeShade="BF"/>
          <w:sz w:val="22"/>
          <w:szCs w:val="22"/>
          <w:lang w:val="en-GB"/>
        </w:rPr>
      </w:pPr>
    </w:p>
    <w:p w14:paraId="29355956" w14:textId="614E2678" w:rsidR="007050B6" w:rsidRPr="005668D3" w:rsidRDefault="007050B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Spain bank intends to open the secondary insolvency proceedings to securing a Spanish insolvency distribution ranking.  Such purpose is allowed as Recital 40 in EIR Recast states clearly that secondary insolvency proceedings can be opened to protect local interests.</w:t>
      </w:r>
    </w:p>
    <w:p w14:paraId="7D353D8E" w14:textId="7E87761B" w:rsidR="005668D3" w:rsidRDefault="005668D3" w:rsidP="002A37BB">
      <w:pPr>
        <w:jc w:val="both"/>
        <w:rPr>
          <w:rFonts w:ascii="Arial" w:hAnsi="Arial" w:cs="Arial"/>
          <w:color w:val="000000" w:themeColor="text1"/>
          <w:sz w:val="22"/>
          <w:szCs w:val="22"/>
          <w:lang w:val="en-GB"/>
        </w:rPr>
      </w:pPr>
    </w:p>
    <w:p w14:paraId="2DCADE06" w14:textId="77777777" w:rsidR="005668D3" w:rsidRPr="008500BD" w:rsidRDefault="005668D3"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AFAF" w14:textId="77777777" w:rsidR="00690FB0" w:rsidRDefault="00690FB0" w:rsidP="00241B44">
      <w:r>
        <w:separator/>
      </w:r>
    </w:p>
  </w:endnote>
  <w:endnote w:type="continuationSeparator" w:id="0">
    <w:p w14:paraId="1908A0C3" w14:textId="77777777" w:rsidR="00690FB0" w:rsidRDefault="00690F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5668D3" w:rsidRPr="00FC7B47" w:rsidRDefault="005668D3"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5668D3" w:rsidRPr="00FC7B47" w:rsidRDefault="005668D3"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301381CC" w:rsidR="005668D3" w:rsidRPr="009B4976" w:rsidRDefault="005668D3" w:rsidP="005668D3">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Pr="009B4976">
          <w:rPr>
            <w:rStyle w:val="af1"/>
            <w:rFonts w:ascii="Arial" w:hAnsi="Arial" w:cs="Arial"/>
            <w:noProof/>
            <w:sz w:val="18"/>
            <w:szCs w:val="18"/>
          </w:rPr>
          <w:t>3</w:t>
        </w:r>
        <w:r w:rsidRPr="009B4976">
          <w:rPr>
            <w:rStyle w:val="af1"/>
            <w:rFonts w:ascii="Arial" w:hAnsi="Arial" w:cs="Arial"/>
            <w:sz w:val="18"/>
            <w:szCs w:val="18"/>
          </w:rPr>
          <w:fldChar w:fldCharType="end"/>
        </w:r>
      </w:p>
    </w:sdtContent>
  </w:sdt>
  <w:p w14:paraId="30F05E79" w14:textId="6A17B0A9" w:rsidR="005668D3" w:rsidRPr="009B4976" w:rsidRDefault="005668D3" w:rsidP="009B4976">
    <w:pPr>
      <w:pStyle w:val="af"/>
      <w:ind w:right="360"/>
      <w:rPr>
        <w:rFonts w:ascii="Arial" w:hAnsi="Arial" w:cs="Arial"/>
        <w:sz w:val="18"/>
        <w:szCs w:val="18"/>
        <w:lang w:val="en-GB"/>
      </w:rPr>
    </w:pPr>
    <w:r>
      <w:rPr>
        <w:rFonts w:ascii="Arial" w:hAnsi="Arial" w:cs="Arial"/>
        <w:sz w:val="18"/>
        <w:szCs w:val="18"/>
      </w:rPr>
      <w:t>202021IFU-326</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706F" w14:textId="77777777" w:rsidR="00690FB0" w:rsidRDefault="00690FB0" w:rsidP="00241B44">
      <w:r>
        <w:separator/>
      </w:r>
    </w:p>
  </w:footnote>
  <w:footnote w:type="continuationSeparator" w:id="0">
    <w:p w14:paraId="7DA91192" w14:textId="77777777" w:rsidR="00690FB0" w:rsidRDefault="00690FB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65166"/>
    <w:rsid w:val="00082609"/>
    <w:rsid w:val="00083734"/>
    <w:rsid w:val="000851CC"/>
    <w:rsid w:val="00087CD6"/>
    <w:rsid w:val="00093BE8"/>
    <w:rsid w:val="000A68ED"/>
    <w:rsid w:val="000A7BF9"/>
    <w:rsid w:val="000B5FF1"/>
    <w:rsid w:val="000B609F"/>
    <w:rsid w:val="000D2971"/>
    <w:rsid w:val="000D55A8"/>
    <w:rsid w:val="000E4841"/>
    <w:rsid w:val="000F1677"/>
    <w:rsid w:val="000F3D6C"/>
    <w:rsid w:val="00101707"/>
    <w:rsid w:val="00113E29"/>
    <w:rsid w:val="0011473D"/>
    <w:rsid w:val="00115C85"/>
    <w:rsid w:val="00123855"/>
    <w:rsid w:val="00126A4D"/>
    <w:rsid w:val="0014171F"/>
    <w:rsid w:val="0014622C"/>
    <w:rsid w:val="00150EC1"/>
    <w:rsid w:val="00152348"/>
    <w:rsid w:val="0015456D"/>
    <w:rsid w:val="00155FA2"/>
    <w:rsid w:val="00157AAF"/>
    <w:rsid w:val="00161F1B"/>
    <w:rsid w:val="00162829"/>
    <w:rsid w:val="00174DC4"/>
    <w:rsid w:val="00175A7D"/>
    <w:rsid w:val="00180548"/>
    <w:rsid w:val="00180AC4"/>
    <w:rsid w:val="00180CCE"/>
    <w:rsid w:val="00180D42"/>
    <w:rsid w:val="0018267A"/>
    <w:rsid w:val="00182779"/>
    <w:rsid w:val="001830DF"/>
    <w:rsid w:val="00187A34"/>
    <w:rsid w:val="001966D9"/>
    <w:rsid w:val="001A7E9A"/>
    <w:rsid w:val="001B0F70"/>
    <w:rsid w:val="001B5016"/>
    <w:rsid w:val="001C45FC"/>
    <w:rsid w:val="001D0469"/>
    <w:rsid w:val="001D4862"/>
    <w:rsid w:val="001D6E1C"/>
    <w:rsid w:val="001D73BE"/>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47DA2"/>
    <w:rsid w:val="0025386E"/>
    <w:rsid w:val="00261064"/>
    <w:rsid w:val="002638B0"/>
    <w:rsid w:val="0026647A"/>
    <w:rsid w:val="002668D3"/>
    <w:rsid w:val="0027299F"/>
    <w:rsid w:val="00276C70"/>
    <w:rsid w:val="00284C1D"/>
    <w:rsid w:val="00284EBE"/>
    <w:rsid w:val="0029433F"/>
    <w:rsid w:val="00294829"/>
    <w:rsid w:val="0029690F"/>
    <w:rsid w:val="00297C8A"/>
    <w:rsid w:val="002A2A60"/>
    <w:rsid w:val="002A37BB"/>
    <w:rsid w:val="002B1C45"/>
    <w:rsid w:val="002C13C8"/>
    <w:rsid w:val="002C3547"/>
    <w:rsid w:val="002D0021"/>
    <w:rsid w:val="002D3473"/>
    <w:rsid w:val="002D45F8"/>
    <w:rsid w:val="002F1956"/>
    <w:rsid w:val="002F3440"/>
    <w:rsid w:val="002F75A3"/>
    <w:rsid w:val="00303C2F"/>
    <w:rsid w:val="003144EF"/>
    <w:rsid w:val="00315AC5"/>
    <w:rsid w:val="003203EE"/>
    <w:rsid w:val="0032132B"/>
    <w:rsid w:val="00321DB1"/>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2"/>
    <w:rsid w:val="003B0A27"/>
    <w:rsid w:val="003B170F"/>
    <w:rsid w:val="003B3C5F"/>
    <w:rsid w:val="003C4342"/>
    <w:rsid w:val="003C4471"/>
    <w:rsid w:val="003C4BCB"/>
    <w:rsid w:val="003C5C29"/>
    <w:rsid w:val="003D0A6D"/>
    <w:rsid w:val="003D1974"/>
    <w:rsid w:val="003E0B16"/>
    <w:rsid w:val="003E67D1"/>
    <w:rsid w:val="00404329"/>
    <w:rsid w:val="00405DC1"/>
    <w:rsid w:val="00415F1F"/>
    <w:rsid w:val="0042108F"/>
    <w:rsid w:val="00430FED"/>
    <w:rsid w:val="00434A8C"/>
    <w:rsid w:val="00437297"/>
    <w:rsid w:val="004407F3"/>
    <w:rsid w:val="00443587"/>
    <w:rsid w:val="00444284"/>
    <w:rsid w:val="00445CE6"/>
    <w:rsid w:val="004534C2"/>
    <w:rsid w:val="0045446F"/>
    <w:rsid w:val="0045683E"/>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468"/>
    <w:rsid w:val="004D1A5A"/>
    <w:rsid w:val="004D2FFF"/>
    <w:rsid w:val="004D3721"/>
    <w:rsid w:val="004D64F9"/>
    <w:rsid w:val="004E3A6B"/>
    <w:rsid w:val="004E622C"/>
    <w:rsid w:val="004F5FDF"/>
    <w:rsid w:val="005177FE"/>
    <w:rsid w:val="0052263B"/>
    <w:rsid w:val="00524728"/>
    <w:rsid w:val="005331CA"/>
    <w:rsid w:val="00537970"/>
    <w:rsid w:val="00540E3A"/>
    <w:rsid w:val="0054262C"/>
    <w:rsid w:val="00544127"/>
    <w:rsid w:val="00544F6E"/>
    <w:rsid w:val="005463A9"/>
    <w:rsid w:val="00553EB2"/>
    <w:rsid w:val="00560534"/>
    <w:rsid w:val="0056391B"/>
    <w:rsid w:val="005650E2"/>
    <w:rsid w:val="005668D3"/>
    <w:rsid w:val="00567AD7"/>
    <w:rsid w:val="0057270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549F"/>
    <w:rsid w:val="00657087"/>
    <w:rsid w:val="006603F1"/>
    <w:rsid w:val="006639DB"/>
    <w:rsid w:val="006661EF"/>
    <w:rsid w:val="00677AEB"/>
    <w:rsid w:val="00680EF2"/>
    <w:rsid w:val="00687A1D"/>
    <w:rsid w:val="00690FB0"/>
    <w:rsid w:val="00697EA1"/>
    <w:rsid w:val="006A2646"/>
    <w:rsid w:val="006A6530"/>
    <w:rsid w:val="006B435A"/>
    <w:rsid w:val="006B4C64"/>
    <w:rsid w:val="006D6BD5"/>
    <w:rsid w:val="006E1D3E"/>
    <w:rsid w:val="006E481A"/>
    <w:rsid w:val="006E5287"/>
    <w:rsid w:val="006E5298"/>
    <w:rsid w:val="006F4A78"/>
    <w:rsid w:val="006F734A"/>
    <w:rsid w:val="00700D83"/>
    <w:rsid w:val="00704852"/>
    <w:rsid w:val="007050B6"/>
    <w:rsid w:val="007074E9"/>
    <w:rsid w:val="00713DA4"/>
    <w:rsid w:val="00714BF1"/>
    <w:rsid w:val="00721383"/>
    <w:rsid w:val="0073158B"/>
    <w:rsid w:val="007333CC"/>
    <w:rsid w:val="0073399A"/>
    <w:rsid w:val="007603F5"/>
    <w:rsid w:val="00764DB0"/>
    <w:rsid w:val="0076764D"/>
    <w:rsid w:val="0077498C"/>
    <w:rsid w:val="007809BC"/>
    <w:rsid w:val="00782EE1"/>
    <w:rsid w:val="00784128"/>
    <w:rsid w:val="00793173"/>
    <w:rsid w:val="007A2A33"/>
    <w:rsid w:val="007A7B20"/>
    <w:rsid w:val="007C1FCC"/>
    <w:rsid w:val="007C50AA"/>
    <w:rsid w:val="007C6201"/>
    <w:rsid w:val="007D7C92"/>
    <w:rsid w:val="007E1154"/>
    <w:rsid w:val="007E19FE"/>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07AE"/>
    <w:rsid w:val="00881DE6"/>
    <w:rsid w:val="008837A6"/>
    <w:rsid w:val="008912DC"/>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42123"/>
    <w:rsid w:val="00944DC9"/>
    <w:rsid w:val="0095207B"/>
    <w:rsid w:val="00962045"/>
    <w:rsid w:val="00967219"/>
    <w:rsid w:val="00980E61"/>
    <w:rsid w:val="009834C0"/>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5DAB"/>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91606"/>
    <w:rsid w:val="00A96489"/>
    <w:rsid w:val="00AA78D0"/>
    <w:rsid w:val="00AB685C"/>
    <w:rsid w:val="00AB6C2D"/>
    <w:rsid w:val="00AC08F7"/>
    <w:rsid w:val="00AC3839"/>
    <w:rsid w:val="00AC7082"/>
    <w:rsid w:val="00AD2931"/>
    <w:rsid w:val="00AD4C27"/>
    <w:rsid w:val="00AD513F"/>
    <w:rsid w:val="00AD6E4D"/>
    <w:rsid w:val="00AE2316"/>
    <w:rsid w:val="00AE74BA"/>
    <w:rsid w:val="00AF228E"/>
    <w:rsid w:val="00B016A8"/>
    <w:rsid w:val="00B14819"/>
    <w:rsid w:val="00B15E2F"/>
    <w:rsid w:val="00B17AA9"/>
    <w:rsid w:val="00B30D9A"/>
    <w:rsid w:val="00B44713"/>
    <w:rsid w:val="00B453BD"/>
    <w:rsid w:val="00B53F90"/>
    <w:rsid w:val="00B56103"/>
    <w:rsid w:val="00B64929"/>
    <w:rsid w:val="00B719A6"/>
    <w:rsid w:val="00B736DF"/>
    <w:rsid w:val="00B743D6"/>
    <w:rsid w:val="00B74FBD"/>
    <w:rsid w:val="00B77F46"/>
    <w:rsid w:val="00B82586"/>
    <w:rsid w:val="00B829A3"/>
    <w:rsid w:val="00B86DB1"/>
    <w:rsid w:val="00B87869"/>
    <w:rsid w:val="00B96CE3"/>
    <w:rsid w:val="00BB0F2B"/>
    <w:rsid w:val="00BB38D1"/>
    <w:rsid w:val="00BE438F"/>
    <w:rsid w:val="00BE4FF3"/>
    <w:rsid w:val="00BF50F7"/>
    <w:rsid w:val="00C01B68"/>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2F34"/>
    <w:rsid w:val="00CE6E50"/>
    <w:rsid w:val="00CF2819"/>
    <w:rsid w:val="00CF4F9D"/>
    <w:rsid w:val="00CF70DC"/>
    <w:rsid w:val="00D148DC"/>
    <w:rsid w:val="00D17FDC"/>
    <w:rsid w:val="00D26E26"/>
    <w:rsid w:val="00D4739A"/>
    <w:rsid w:val="00D56B4E"/>
    <w:rsid w:val="00D608A4"/>
    <w:rsid w:val="00D60E46"/>
    <w:rsid w:val="00D63EFD"/>
    <w:rsid w:val="00D651FD"/>
    <w:rsid w:val="00D75351"/>
    <w:rsid w:val="00D84752"/>
    <w:rsid w:val="00D86B3B"/>
    <w:rsid w:val="00D8748A"/>
    <w:rsid w:val="00D93196"/>
    <w:rsid w:val="00D95496"/>
    <w:rsid w:val="00D960F8"/>
    <w:rsid w:val="00DA0DC0"/>
    <w:rsid w:val="00DB243C"/>
    <w:rsid w:val="00DB482A"/>
    <w:rsid w:val="00DB56F2"/>
    <w:rsid w:val="00DB6EF5"/>
    <w:rsid w:val="00DC3089"/>
    <w:rsid w:val="00DC4420"/>
    <w:rsid w:val="00DC6717"/>
    <w:rsid w:val="00DD0802"/>
    <w:rsid w:val="00DD2E11"/>
    <w:rsid w:val="00DD3DC5"/>
    <w:rsid w:val="00DD47EF"/>
    <w:rsid w:val="00DE03AF"/>
    <w:rsid w:val="00DE121C"/>
    <w:rsid w:val="00DE6633"/>
    <w:rsid w:val="00DF0864"/>
    <w:rsid w:val="00DF75F8"/>
    <w:rsid w:val="00DF7A3A"/>
    <w:rsid w:val="00E00C00"/>
    <w:rsid w:val="00E07C5A"/>
    <w:rsid w:val="00E15BA9"/>
    <w:rsid w:val="00E222EF"/>
    <w:rsid w:val="00E26E19"/>
    <w:rsid w:val="00E30C8A"/>
    <w:rsid w:val="00E31DF3"/>
    <w:rsid w:val="00E35AED"/>
    <w:rsid w:val="00E450A4"/>
    <w:rsid w:val="00E506BE"/>
    <w:rsid w:val="00E55547"/>
    <w:rsid w:val="00E604A1"/>
    <w:rsid w:val="00E621C7"/>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88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56242"/>
    <w:rsid w:val="00F60538"/>
    <w:rsid w:val="00F61DD2"/>
    <w:rsid w:val="00F65601"/>
    <w:rsid w:val="00F66AFF"/>
    <w:rsid w:val="00F71433"/>
    <w:rsid w:val="00F761A6"/>
    <w:rsid w:val="00F76CD4"/>
    <w:rsid w:val="00F83464"/>
    <w:rsid w:val="00F93BE7"/>
    <w:rsid w:val="00F97C5B"/>
    <w:rsid w:val="00FA3D50"/>
    <w:rsid w:val="00FA5E9F"/>
    <w:rsid w:val="00FB7FBD"/>
    <w:rsid w:val="00FC374A"/>
    <w:rsid w:val="00FC48D8"/>
    <w:rsid w:val="00FC7B47"/>
    <w:rsid w:val="00FD035C"/>
    <w:rsid w:val="00FD1A35"/>
    <w:rsid w:val="00FD1EC2"/>
    <w:rsid w:val="00FD36C5"/>
    <w:rsid w:val="00FD38D0"/>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223F-9242-4AEA-B86D-30A0BFC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ORO</cp:lastModifiedBy>
  <cp:revision>29</cp:revision>
  <cp:lastPrinted>2019-08-27T05:42:00Z</cp:lastPrinted>
  <dcterms:created xsi:type="dcterms:W3CDTF">2020-10-12T04:03:00Z</dcterms:created>
  <dcterms:modified xsi:type="dcterms:W3CDTF">2021-07-29T06:54:00Z</dcterms:modified>
</cp:coreProperties>
</file>