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2C593E23"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Pr="009D7FAA" w:rsidRDefault="0050157D" w:rsidP="00D45AEA">
      <w:pPr>
        <w:pStyle w:val="ListParagraph"/>
        <w:numPr>
          <w:ilvl w:val="0"/>
          <w:numId w:val="12"/>
        </w:numPr>
        <w:ind w:left="426"/>
        <w:jc w:val="both"/>
        <w:rPr>
          <w:rFonts w:ascii="Arial" w:hAnsi="Arial" w:cs="Arial"/>
          <w:sz w:val="22"/>
          <w:szCs w:val="22"/>
          <w:highlight w:val="yellow"/>
          <w:lang w:val="en-GB"/>
        </w:rPr>
      </w:pPr>
      <w:r w:rsidRPr="009D7FAA">
        <w:rPr>
          <w:rFonts w:ascii="Arial" w:hAnsi="Arial" w:cs="Arial"/>
          <w:sz w:val="22"/>
          <w:szCs w:val="22"/>
          <w:highlight w:val="yellow"/>
          <w:lang w:val="en-GB"/>
        </w:rPr>
        <w:t>The Model Law is a substantive unification of insolvency law so as to promote co</w:t>
      </w:r>
      <w:r w:rsidR="00B61419" w:rsidRPr="009D7FAA">
        <w:rPr>
          <w:rFonts w:ascii="Arial" w:hAnsi="Arial" w:cs="Arial"/>
          <w:sz w:val="22"/>
          <w:szCs w:val="22"/>
          <w:highlight w:val="yellow"/>
          <w:lang w:val="en-GB"/>
        </w:rPr>
        <w:t>-</w:t>
      </w:r>
      <w:r w:rsidRPr="009D7FAA">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D45AEA"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D45AEA">
        <w:rPr>
          <w:rFonts w:ascii="Arial" w:hAnsi="Arial" w:cs="Arial"/>
          <w:sz w:val="22"/>
          <w:szCs w:val="22"/>
          <w:lang w:val="en-GB"/>
        </w:rPr>
        <w:t xml:space="preserve">All of the above. </w:t>
      </w:r>
      <w:bookmarkEnd w:id="1"/>
      <w:r w:rsidRPr="00D45AEA">
        <w:rPr>
          <w:rFonts w:ascii="Arial" w:hAnsi="Arial" w:cs="Arial"/>
          <w:sz w:val="22"/>
          <w:szCs w:val="22"/>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Pr="0029736E" w:rsidRDefault="005F21F4" w:rsidP="005F21F4">
      <w:pPr>
        <w:pStyle w:val="ListParagraph"/>
        <w:numPr>
          <w:ilvl w:val="0"/>
          <w:numId w:val="14"/>
        </w:numPr>
        <w:ind w:left="426"/>
        <w:jc w:val="both"/>
        <w:rPr>
          <w:rFonts w:ascii="Arial" w:hAnsi="Arial" w:cs="Arial"/>
          <w:sz w:val="22"/>
          <w:szCs w:val="22"/>
          <w:highlight w:val="yellow"/>
          <w:lang w:val="en-GB"/>
        </w:rPr>
      </w:pPr>
      <w:r w:rsidRPr="0029736E">
        <w:rPr>
          <w:rFonts w:ascii="Arial" w:hAnsi="Arial" w:cs="Arial"/>
          <w:sz w:val="22"/>
          <w:szCs w:val="22"/>
          <w:highlight w:val="yellow"/>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5F21F4"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F21F4">
        <w:rPr>
          <w:rFonts w:ascii="Arial" w:hAnsi="Arial" w:cs="Arial"/>
          <w:sz w:val="22"/>
          <w:szCs w:val="22"/>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Pr="00212B41" w:rsidRDefault="00853A74" w:rsidP="00853A74">
      <w:pPr>
        <w:pStyle w:val="ListParagraph"/>
        <w:numPr>
          <w:ilvl w:val="0"/>
          <w:numId w:val="16"/>
        </w:numPr>
        <w:ind w:left="426"/>
        <w:jc w:val="both"/>
        <w:rPr>
          <w:rFonts w:ascii="Arial" w:hAnsi="Arial" w:cs="Arial"/>
          <w:sz w:val="22"/>
          <w:szCs w:val="22"/>
          <w:highlight w:val="yellow"/>
          <w:lang w:val="en-GB"/>
        </w:rPr>
      </w:pPr>
      <w:r w:rsidRPr="00212B41">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 xml:space="preserve">The </w:t>
      </w:r>
      <w:r w:rsidRPr="00322F3B">
        <w:rPr>
          <w:rFonts w:ascii="Arial" w:hAnsi="Arial" w:cs="Arial"/>
          <w:i/>
          <w:iCs/>
          <w:sz w:val="22"/>
          <w:szCs w:val="22"/>
          <w:lang w:val="en-GB"/>
        </w:rPr>
        <w:t>locus standi</w:t>
      </w:r>
      <w:r w:rsidRPr="00322F3B">
        <w:rPr>
          <w:rFonts w:ascii="Arial" w:hAnsi="Arial" w:cs="Arial"/>
          <w:sz w:val="22"/>
          <w:szCs w:val="22"/>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Pr="00234A34" w:rsidRDefault="00E57410" w:rsidP="00322F3B">
      <w:pPr>
        <w:pStyle w:val="ListParagraph"/>
        <w:numPr>
          <w:ilvl w:val="0"/>
          <w:numId w:val="18"/>
        </w:numPr>
        <w:ind w:left="426"/>
        <w:jc w:val="both"/>
        <w:rPr>
          <w:rFonts w:ascii="Arial" w:hAnsi="Arial" w:cs="Arial"/>
          <w:sz w:val="22"/>
          <w:szCs w:val="22"/>
          <w:highlight w:val="yellow"/>
          <w:lang w:val="en-GB"/>
        </w:rPr>
      </w:pPr>
      <w:r w:rsidRPr="00234A34">
        <w:rPr>
          <w:rFonts w:ascii="Arial" w:hAnsi="Arial" w:cs="Arial"/>
          <w:sz w:val="22"/>
          <w:szCs w:val="22"/>
          <w:highlight w:val="yellow"/>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Pr="00FF4906" w:rsidRDefault="00C504E5" w:rsidP="00C504E5">
      <w:pPr>
        <w:pStyle w:val="ListParagraph"/>
        <w:numPr>
          <w:ilvl w:val="0"/>
          <w:numId w:val="20"/>
        </w:numPr>
        <w:ind w:left="426"/>
        <w:jc w:val="both"/>
        <w:rPr>
          <w:rFonts w:ascii="Arial" w:hAnsi="Arial" w:cs="Arial"/>
          <w:sz w:val="22"/>
          <w:szCs w:val="22"/>
          <w:lang w:val="en-GB"/>
        </w:rPr>
      </w:pPr>
      <w:r w:rsidRPr="00FF4906">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3A7056" w:rsidRDefault="00C504E5" w:rsidP="00C504E5">
      <w:pPr>
        <w:pStyle w:val="ListParagraph"/>
        <w:numPr>
          <w:ilvl w:val="0"/>
          <w:numId w:val="20"/>
        </w:numPr>
        <w:ind w:left="426"/>
        <w:jc w:val="both"/>
        <w:rPr>
          <w:rFonts w:ascii="Arial" w:hAnsi="Arial" w:cs="Arial"/>
          <w:sz w:val="22"/>
          <w:szCs w:val="22"/>
          <w:highlight w:val="yellow"/>
          <w:lang w:val="en-GB"/>
        </w:rPr>
      </w:pPr>
      <w:r w:rsidRPr="003A705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Pr="00617A7C" w:rsidRDefault="00B72F5F" w:rsidP="00114082">
      <w:pPr>
        <w:pStyle w:val="ListParagraph"/>
        <w:numPr>
          <w:ilvl w:val="0"/>
          <w:numId w:val="26"/>
        </w:numPr>
        <w:ind w:left="426"/>
        <w:jc w:val="both"/>
        <w:rPr>
          <w:rFonts w:ascii="Arial" w:hAnsi="Arial" w:cs="Arial"/>
          <w:sz w:val="22"/>
          <w:szCs w:val="22"/>
          <w:highlight w:val="yellow"/>
          <w:lang w:val="en-GB"/>
        </w:rPr>
      </w:pPr>
      <w:r w:rsidRPr="00617A7C">
        <w:rPr>
          <w:rFonts w:ascii="Arial" w:hAnsi="Arial" w:cs="Arial"/>
          <w:sz w:val="22"/>
          <w:szCs w:val="22"/>
          <w:highlight w:val="yellow"/>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BC18AF" w:rsidRDefault="00B72F5F" w:rsidP="00114082">
      <w:pPr>
        <w:pStyle w:val="ListParagraph"/>
        <w:numPr>
          <w:ilvl w:val="0"/>
          <w:numId w:val="26"/>
        </w:numPr>
        <w:ind w:left="426"/>
        <w:jc w:val="both"/>
        <w:rPr>
          <w:rFonts w:ascii="Arial" w:hAnsi="Arial" w:cs="Arial"/>
          <w:sz w:val="22"/>
          <w:szCs w:val="22"/>
          <w:lang w:val="en-GB"/>
        </w:rPr>
      </w:pPr>
      <w:r w:rsidRPr="00BC18AF">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C18AF">
        <w:rPr>
          <w:rFonts w:ascii="Arial" w:hAnsi="Arial" w:cs="Arial"/>
          <w:sz w:val="22"/>
          <w:szCs w:val="22"/>
          <w:lang w:val="en-GB"/>
        </w:rPr>
        <w:t>will</w:t>
      </w:r>
      <w:r w:rsidRPr="00BC18AF">
        <w:rPr>
          <w:rFonts w:ascii="Arial" w:hAnsi="Arial" w:cs="Arial"/>
          <w:sz w:val="22"/>
          <w:szCs w:val="22"/>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Pr="00F862B7" w:rsidRDefault="0067294B" w:rsidP="00114082">
      <w:pPr>
        <w:pStyle w:val="ListParagraph"/>
        <w:numPr>
          <w:ilvl w:val="0"/>
          <w:numId w:val="27"/>
        </w:numPr>
        <w:ind w:left="426"/>
        <w:jc w:val="both"/>
        <w:rPr>
          <w:rFonts w:ascii="Arial" w:hAnsi="Arial" w:cs="Arial"/>
          <w:sz w:val="22"/>
          <w:szCs w:val="22"/>
          <w:highlight w:val="yellow"/>
          <w:lang w:val="en-GB"/>
        </w:rPr>
      </w:pPr>
      <w:r w:rsidRPr="00F862B7">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AB07F7" w:rsidRDefault="004E0549" w:rsidP="00114082">
      <w:pPr>
        <w:pStyle w:val="ListParagraph"/>
        <w:numPr>
          <w:ilvl w:val="0"/>
          <w:numId w:val="28"/>
        </w:numPr>
        <w:ind w:left="426"/>
        <w:jc w:val="both"/>
        <w:rPr>
          <w:rFonts w:ascii="Arial" w:hAnsi="Arial" w:cs="Arial"/>
          <w:sz w:val="22"/>
          <w:szCs w:val="22"/>
          <w:highlight w:val="yellow"/>
          <w:lang w:val="en-GB"/>
        </w:rPr>
      </w:pPr>
      <w:r w:rsidRPr="00AB07F7">
        <w:rPr>
          <w:rFonts w:ascii="Arial" w:hAnsi="Arial" w:cs="Arial"/>
          <w:sz w:val="22"/>
          <w:szCs w:val="22"/>
          <w:highlight w:val="yellow"/>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Pr="008B0B64" w:rsidRDefault="00573E73" w:rsidP="00114082">
      <w:pPr>
        <w:pStyle w:val="ListParagraph"/>
        <w:numPr>
          <w:ilvl w:val="0"/>
          <w:numId w:val="29"/>
        </w:numPr>
        <w:ind w:left="426"/>
        <w:jc w:val="both"/>
        <w:rPr>
          <w:rFonts w:ascii="Arial" w:hAnsi="Arial" w:cs="Arial"/>
          <w:sz w:val="22"/>
          <w:szCs w:val="22"/>
          <w:highlight w:val="yellow"/>
          <w:lang w:val="en-GB"/>
        </w:rPr>
      </w:pPr>
      <w:r w:rsidRPr="008B0B64">
        <w:rPr>
          <w:rFonts w:ascii="Arial" w:hAnsi="Arial" w:cs="Arial"/>
          <w:sz w:val="22"/>
          <w:szCs w:val="22"/>
          <w:highlight w:val="yellow"/>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114082"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nor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The UNCITRAL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825FD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825FDD">
        <w:rPr>
          <w:rFonts w:ascii="Arial" w:hAnsi="Arial" w:cs="Arial"/>
          <w:sz w:val="22"/>
          <w:szCs w:val="22"/>
          <w:highlight w:val="yellow"/>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30F4D2E1" w14:textId="1D000090" w:rsidR="00A87B5B" w:rsidRPr="002D0424" w:rsidRDefault="00B64DA0" w:rsidP="00C735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element </w:t>
      </w:r>
      <w:r>
        <w:rPr>
          <w:rFonts w:ascii="Arial" w:hAnsi="Arial" w:cs="Arial"/>
          <w:i/>
          <w:iCs/>
          <w:color w:val="7B7B7B" w:themeColor="accent3" w:themeShade="BF"/>
          <w:sz w:val="22"/>
          <w:szCs w:val="22"/>
          <w:lang w:val="en-GB"/>
        </w:rPr>
        <w:t xml:space="preserve">authorised or conducted under a law relation to insolvency </w:t>
      </w:r>
      <w:r w:rsidR="00C735D6">
        <w:rPr>
          <w:rFonts w:ascii="Arial" w:hAnsi="Arial" w:cs="Arial"/>
          <w:color w:val="7B7B7B" w:themeColor="accent3" w:themeShade="BF"/>
          <w:sz w:val="22"/>
          <w:szCs w:val="22"/>
          <w:lang w:val="en-GB"/>
        </w:rPr>
        <w:t>was addressed in the UNCITRAL Guide to Enactment. As per the notes on the purpose of this element, it was identified that a sufficiently broad</w:t>
      </w:r>
      <w:r w:rsidR="00AB7359">
        <w:rPr>
          <w:rFonts w:ascii="Arial" w:hAnsi="Arial" w:cs="Arial"/>
          <w:color w:val="7B7B7B" w:themeColor="accent3" w:themeShade="BF"/>
          <w:sz w:val="22"/>
          <w:szCs w:val="22"/>
          <w:lang w:val="en-GB"/>
        </w:rPr>
        <w:t xml:space="preserve"> and encompassing</w:t>
      </w:r>
      <w:r w:rsidR="00C735D6">
        <w:rPr>
          <w:rFonts w:ascii="Arial" w:hAnsi="Arial" w:cs="Arial"/>
          <w:color w:val="7B7B7B" w:themeColor="accent3" w:themeShade="BF"/>
          <w:sz w:val="22"/>
          <w:szCs w:val="22"/>
          <w:lang w:val="en-GB"/>
        </w:rPr>
        <w:t xml:space="preserve"> definition was need</w:t>
      </w:r>
      <w:r w:rsidR="00AB7359">
        <w:rPr>
          <w:rFonts w:ascii="Arial" w:hAnsi="Arial" w:cs="Arial"/>
          <w:color w:val="7B7B7B" w:themeColor="accent3" w:themeShade="BF"/>
          <w:sz w:val="22"/>
          <w:szCs w:val="22"/>
          <w:lang w:val="en-GB"/>
        </w:rPr>
        <w:t xml:space="preserve">ed. Further in the UNICTRAL-Judicial Perspective, </w:t>
      </w:r>
      <w:r w:rsidR="00AE4C33">
        <w:rPr>
          <w:rFonts w:ascii="Arial" w:hAnsi="Arial" w:cs="Arial"/>
          <w:color w:val="7B7B7B" w:themeColor="accent3" w:themeShade="BF"/>
          <w:sz w:val="22"/>
          <w:szCs w:val="22"/>
          <w:lang w:val="en-GB"/>
        </w:rPr>
        <w:t>it was clarified that the definition would be</w:t>
      </w:r>
      <w:r w:rsidR="00AB7359">
        <w:rPr>
          <w:rFonts w:ascii="Arial" w:hAnsi="Arial" w:cs="Arial"/>
          <w:color w:val="7B7B7B" w:themeColor="accent3" w:themeShade="BF"/>
          <w:sz w:val="22"/>
          <w:szCs w:val="22"/>
          <w:lang w:val="en-GB"/>
        </w:rPr>
        <w:t xml:space="preserve"> </w:t>
      </w:r>
      <w:r w:rsidR="00C735D6">
        <w:rPr>
          <w:rFonts w:ascii="Arial" w:hAnsi="Arial" w:cs="Arial"/>
          <w:color w:val="7B7B7B" w:themeColor="accent3" w:themeShade="BF"/>
          <w:sz w:val="22"/>
          <w:szCs w:val="22"/>
          <w:lang w:val="en-GB"/>
        </w:rPr>
        <w:t xml:space="preserve">irrespective of the type of statue or law </w:t>
      </w:r>
      <w:r w:rsidR="00AE4C33">
        <w:rPr>
          <w:rFonts w:ascii="Arial" w:hAnsi="Arial" w:cs="Arial"/>
          <w:color w:val="7B7B7B" w:themeColor="accent3" w:themeShade="BF"/>
          <w:sz w:val="22"/>
          <w:szCs w:val="22"/>
          <w:lang w:val="en-GB"/>
        </w:rPr>
        <w:t xml:space="preserve">and it is not necessary that the </w:t>
      </w:r>
      <w:r w:rsidR="00A87B5B">
        <w:rPr>
          <w:rFonts w:ascii="Arial" w:hAnsi="Arial" w:cs="Arial"/>
          <w:color w:val="7B7B7B" w:themeColor="accent3" w:themeShade="BF"/>
          <w:sz w:val="22"/>
          <w:szCs w:val="22"/>
          <w:lang w:val="en-GB"/>
        </w:rPr>
        <w:t>law in question is exclusively related to insolvency. An interpretation of this element, was do</w:t>
      </w:r>
      <w:r w:rsidR="00CB1634">
        <w:rPr>
          <w:rFonts w:ascii="Arial" w:hAnsi="Arial" w:cs="Arial"/>
          <w:color w:val="7B7B7B" w:themeColor="accent3" w:themeShade="BF"/>
          <w:sz w:val="22"/>
          <w:szCs w:val="22"/>
          <w:lang w:val="en-GB"/>
        </w:rPr>
        <w:t xml:space="preserve">wn in the case of </w:t>
      </w:r>
      <w:r w:rsidR="00CB1634">
        <w:rPr>
          <w:rFonts w:ascii="Arial" w:hAnsi="Arial" w:cs="Arial"/>
          <w:i/>
          <w:iCs/>
          <w:color w:val="7B7B7B" w:themeColor="accent3" w:themeShade="BF"/>
          <w:sz w:val="22"/>
          <w:szCs w:val="22"/>
          <w:lang w:val="en-GB"/>
        </w:rPr>
        <w:t xml:space="preserve">Sturgeon Central Asia Balanced Fund Ltd [2019] EWHC 1215 (Ch), </w:t>
      </w:r>
      <w:r w:rsidR="00CB1634">
        <w:rPr>
          <w:rFonts w:ascii="Arial" w:hAnsi="Arial" w:cs="Arial"/>
          <w:color w:val="7B7B7B" w:themeColor="accent3" w:themeShade="BF"/>
          <w:sz w:val="22"/>
          <w:szCs w:val="22"/>
          <w:lang w:val="en-GB"/>
        </w:rPr>
        <w:t xml:space="preserve">where the question of </w:t>
      </w:r>
      <w:r w:rsidR="002D0424">
        <w:rPr>
          <w:rFonts w:ascii="Arial" w:hAnsi="Arial" w:cs="Arial"/>
          <w:color w:val="7B7B7B" w:themeColor="accent3" w:themeShade="BF"/>
          <w:sz w:val="22"/>
          <w:szCs w:val="22"/>
          <w:lang w:val="en-GB"/>
        </w:rPr>
        <w:t xml:space="preserve">whether </w:t>
      </w:r>
      <w:r w:rsidR="00CB1634">
        <w:rPr>
          <w:rFonts w:ascii="Arial" w:hAnsi="Arial" w:cs="Arial"/>
          <w:color w:val="7B7B7B" w:themeColor="accent3" w:themeShade="BF"/>
          <w:sz w:val="22"/>
          <w:szCs w:val="22"/>
          <w:lang w:val="en-GB"/>
        </w:rPr>
        <w:t xml:space="preserve">a </w:t>
      </w:r>
      <w:r w:rsidR="00CB1634">
        <w:rPr>
          <w:rFonts w:ascii="Arial" w:hAnsi="Arial" w:cs="Arial"/>
          <w:i/>
          <w:iCs/>
          <w:color w:val="7B7B7B" w:themeColor="accent3" w:themeShade="BF"/>
          <w:sz w:val="22"/>
          <w:szCs w:val="22"/>
          <w:lang w:val="en-GB"/>
        </w:rPr>
        <w:t xml:space="preserve">foreign solvent winding up proceeding of a </w:t>
      </w:r>
      <w:r w:rsidR="002D0424" w:rsidRPr="002D0424">
        <w:rPr>
          <w:rFonts w:ascii="Arial" w:hAnsi="Arial" w:cs="Arial"/>
          <w:i/>
          <w:iCs/>
          <w:color w:val="7B7B7B" w:themeColor="accent3" w:themeShade="BF"/>
          <w:sz w:val="22"/>
          <w:szCs w:val="22"/>
          <w:lang w:val="en-GB"/>
        </w:rPr>
        <w:t>debtor on just and equitable grounds</w:t>
      </w:r>
      <w:r w:rsidR="002D0424">
        <w:rPr>
          <w:rFonts w:ascii="Arial" w:hAnsi="Arial" w:cs="Arial"/>
          <w:i/>
          <w:iCs/>
          <w:color w:val="7B7B7B" w:themeColor="accent3" w:themeShade="BF"/>
          <w:sz w:val="22"/>
          <w:szCs w:val="22"/>
          <w:lang w:val="en-GB"/>
        </w:rPr>
        <w:t xml:space="preserve"> </w:t>
      </w:r>
      <w:r w:rsidR="002D0424">
        <w:rPr>
          <w:rFonts w:ascii="Arial" w:hAnsi="Arial" w:cs="Arial"/>
          <w:color w:val="7B7B7B" w:themeColor="accent3" w:themeShade="BF"/>
          <w:sz w:val="22"/>
          <w:szCs w:val="22"/>
          <w:lang w:val="en-GB"/>
        </w:rPr>
        <w:t>would meet this criteria</w:t>
      </w:r>
      <w:r w:rsidR="00C2396A">
        <w:rPr>
          <w:rFonts w:ascii="Arial" w:hAnsi="Arial" w:cs="Arial"/>
          <w:color w:val="7B7B7B" w:themeColor="accent3" w:themeShade="BF"/>
          <w:sz w:val="22"/>
          <w:szCs w:val="22"/>
          <w:lang w:val="en-GB"/>
        </w:rPr>
        <w:t xml:space="preserve"> and could be interpreted as a ‘foreign proceeding’</w:t>
      </w:r>
      <w:r w:rsidR="002D0424">
        <w:rPr>
          <w:rFonts w:ascii="Arial" w:hAnsi="Arial" w:cs="Arial"/>
          <w:color w:val="7B7B7B" w:themeColor="accent3" w:themeShade="BF"/>
          <w:sz w:val="22"/>
          <w:szCs w:val="22"/>
          <w:lang w:val="en-GB"/>
        </w:rPr>
        <w:t xml:space="preserve"> was raised</w:t>
      </w:r>
      <w:r w:rsidR="00C2396A">
        <w:rPr>
          <w:rFonts w:ascii="Arial" w:hAnsi="Arial" w:cs="Arial"/>
          <w:color w:val="7B7B7B" w:themeColor="accent3" w:themeShade="BF"/>
          <w:sz w:val="22"/>
          <w:szCs w:val="22"/>
          <w:lang w:val="en-GB"/>
        </w:rPr>
        <w:t xml:space="preserve"> and ruled on. The English Court</w:t>
      </w:r>
      <w:r w:rsidR="007A7EEE">
        <w:rPr>
          <w:rFonts w:ascii="Arial" w:hAnsi="Arial" w:cs="Arial"/>
          <w:color w:val="7B7B7B" w:themeColor="accent3" w:themeShade="BF"/>
          <w:sz w:val="22"/>
          <w:szCs w:val="22"/>
          <w:lang w:val="en-GB"/>
        </w:rPr>
        <w:t xml:space="preserve">, in this decision held that winding up proceedings against foreign solvent debtors would </w:t>
      </w:r>
      <w:r w:rsidR="00DF2F65">
        <w:rPr>
          <w:rFonts w:ascii="Arial" w:hAnsi="Arial" w:cs="Arial"/>
          <w:i/>
          <w:iCs/>
          <w:color w:val="7B7B7B" w:themeColor="accent3" w:themeShade="BF"/>
          <w:sz w:val="22"/>
          <w:szCs w:val="22"/>
          <w:lang w:val="en-GB"/>
        </w:rPr>
        <w:t xml:space="preserve">prima facie </w:t>
      </w:r>
      <w:r w:rsidR="007A7EEE">
        <w:rPr>
          <w:rFonts w:ascii="Arial" w:hAnsi="Arial" w:cs="Arial"/>
          <w:color w:val="7B7B7B" w:themeColor="accent3" w:themeShade="BF"/>
          <w:sz w:val="22"/>
          <w:szCs w:val="22"/>
          <w:lang w:val="en-GB"/>
        </w:rPr>
        <w:t>qualify as foreign proceedings for the purposes of Section 2(a)</w:t>
      </w:r>
      <w:r w:rsidR="00DF2F65">
        <w:rPr>
          <w:rFonts w:ascii="Arial" w:hAnsi="Arial" w:cs="Arial"/>
          <w:color w:val="7B7B7B" w:themeColor="accent3" w:themeShade="BF"/>
          <w:sz w:val="22"/>
          <w:szCs w:val="22"/>
          <w:lang w:val="en-GB"/>
        </w:rPr>
        <w:t>, in the first instance. On a review application</w:t>
      </w:r>
      <w:r w:rsidR="001E718B">
        <w:rPr>
          <w:rFonts w:ascii="Arial" w:hAnsi="Arial" w:cs="Arial"/>
          <w:color w:val="7B7B7B" w:themeColor="accent3" w:themeShade="BF"/>
          <w:sz w:val="22"/>
          <w:szCs w:val="22"/>
          <w:lang w:val="en-GB"/>
        </w:rPr>
        <w:t xml:space="preserve">, the English Court, delved into the point of whether the interpretation met the ‘just and equitable’ criteria and held that the interpretation to include solvent debtors and winding up proceedings </w:t>
      </w:r>
      <w:r w:rsidR="00A76F00">
        <w:rPr>
          <w:rFonts w:ascii="Arial" w:hAnsi="Arial" w:cs="Arial"/>
          <w:color w:val="7B7B7B" w:themeColor="accent3" w:themeShade="BF"/>
          <w:sz w:val="22"/>
          <w:szCs w:val="22"/>
          <w:lang w:val="en-GB"/>
        </w:rPr>
        <w:t>are subject to law relating to insolvency that have the purpose of returns to members of the body corporate and not the creditors</w:t>
      </w:r>
      <w:r w:rsidR="00A4530C">
        <w:rPr>
          <w:rFonts w:ascii="Arial" w:hAnsi="Arial" w:cs="Arial"/>
          <w:color w:val="7B7B7B" w:themeColor="accent3" w:themeShade="BF"/>
          <w:sz w:val="22"/>
          <w:szCs w:val="22"/>
          <w:lang w:val="en-GB"/>
        </w:rPr>
        <w:t xml:space="preserve"> and that such an interpretation </w:t>
      </w:r>
      <w:r w:rsidR="00A4530C">
        <w:rPr>
          <w:rFonts w:ascii="Arial" w:hAnsi="Arial" w:cs="Arial"/>
          <w:color w:val="7B7B7B" w:themeColor="accent3" w:themeShade="BF"/>
          <w:sz w:val="22"/>
          <w:szCs w:val="22"/>
          <w:lang w:val="en-GB"/>
        </w:rPr>
        <w:lastRenderedPageBreak/>
        <w:t xml:space="preserve">would be contrary to the </w:t>
      </w:r>
      <w:r w:rsidR="00562A44">
        <w:rPr>
          <w:rFonts w:ascii="Arial" w:hAnsi="Arial" w:cs="Arial"/>
          <w:color w:val="7B7B7B" w:themeColor="accent3" w:themeShade="BF"/>
          <w:sz w:val="22"/>
          <w:szCs w:val="22"/>
          <w:lang w:val="en-GB"/>
        </w:rPr>
        <w:t>purpose of the MLCBI. Moreover, the purpose of Section 2(a)</w:t>
      </w:r>
      <w:r w:rsidR="007E1D39">
        <w:rPr>
          <w:rFonts w:ascii="Arial" w:hAnsi="Arial" w:cs="Arial"/>
          <w:color w:val="7B7B7B" w:themeColor="accent3" w:themeShade="BF"/>
          <w:sz w:val="22"/>
          <w:szCs w:val="22"/>
          <w:lang w:val="en-GB"/>
        </w:rPr>
        <w:t xml:space="preserve"> should be read as </w:t>
      </w:r>
      <w:r w:rsidR="007E1D39">
        <w:rPr>
          <w:rFonts w:ascii="Arial" w:hAnsi="Arial" w:cs="Arial"/>
          <w:i/>
          <w:iCs/>
          <w:color w:val="7B7B7B" w:themeColor="accent3" w:themeShade="BF"/>
          <w:sz w:val="22"/>
          <w:szCs w:val="22"/>
          <w:lang w:val="en-GB"/>
        </w:rPr>
        <w:t>the purpose of insolvency (liquidation) or severe financial distress (reorganisation).</w:t>
      </w:r>
      <w:r w:rsidR="00DF2F65">
        <w:rPr>
          <w:rFonts w:ascii="Arial" w:hAnsi="Arial" w:cs="Arial"/>
          <w:color w:val="7B7B7B" w:themeColor="accent3" w:themeShade="BF"/>
          <w:sz w:val="22"/>
          <w:szCs w:val="22"/>
          <w:lang w:val="en-GB"/>
        </w:rPr>
        <w:t xml:space="preserve"> </w:t>
      </w:r>
      <w:r w:rsidR="002D0424">
        <w:rPr>
          <w:rFonts w:ascii="Arial" w:hAnsi="Arial" w:cs="Arial"/>
          <w:color w:val="7B7B7B" w:themeColor="accent3" w:themeShade="BF"/>
          <w:sz w:val="22"/>
          <w:szCs w:val="22"/>
          <w:lang w:val="en-GB"/>
        </w:rPr>
        <w:t xml:space="preserve"> </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guidance on a key concept in the MLCBI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58DBB8F5" w:rsidR="009B07AD" w:rsidRPr="005720D6" w:rsidRDefault="00263127" w:rsidP="006A4683">
      <w:pPr>
        <w:pStyle w:val="ListParagraph"/>
        <w:numPr>
          <w:ilvl w:val="0"/>
          <w:numId w:val="31"/>
        </w:numPr>
        <w:tabs>
          <w:tab w:val="center" w:pos="4513"/>
        </w:tabs>
        <w:jc w:val="both"/>
        <w:rPr>
          <w:rFonts w:ascii="Arial" w:hAnsi="Arial" w:cs="Arial"/>
          <w:color w:val="7B7B7B" w:themeColor="accent3" w:themeShade="BF"/>
          <w:sz w:val="22"/>
          <w:szCs w:val="22"/>
          <w:lang w:val="en-GB"/>
        </w:rPr>
      </w:pPr>
      <w:r w:rsidRPr="005720D6">
        <w:rPr>
          <w:rFonts w:ascii="Arial" w:hAnsi="Arial" w:cs="Arial"/>
          <w:color w:val="7B7B7B" w:themeColor="accent3" w:themeShade="BF"/>
          <w:sz w:val="22"/>
          <w:szCs w:val="22"/>
          <w:lang w:val="en-GB"/>
        </w:rPr>
        <w:t xml:space="preserve">Statement 1 as a concept is contained in Article 6 of the MLCBI. The provision identified as the </w:t>
      </w:r>
      <w:r w:rsidRPr="005720D6">
        <w:rPr>
          <w:rFonts w:ascii="Arial" w:hAnsi="Arial" w:cs="Arial"/>
          <w:i/>
          <w:iCs/>
          <w:color w:val="7B7B7B" w:themeColor="accent3" w:themeShade="BF"/>
          <w:sz w:val="22"/>
          <w:szCs w:val="22"/>
          <w:lang w:val="en-GB"/>
        </w:rPr>
        <w:t>public policy exception</w:t>
      </w:r>
      <w:r w:rsidRPr="005720D6">
        <w:rPr>
          <w:rFonts w:ascii="Arial" w:hAnsi="Arial" w:cs="Arial"/>
          <w:color w:val="7B7B7B" w:themeColor="accent3" w:themeShade="BF"/>
          <w:sz w:val="22"/>
          <w:szCs w:val="22"/>
          <w:lang w:val="en-GB"/>
        </w:rPr>
        <w:t xml:space="preserve"> </w:t>
      </w:r>
      <w:r w:rsidR="00A56C65" w:rsidRPr="005720D6">
        <w:rPr>
          <w:rFonts w:ascii="Arial" w:hAnsi="Arial" w:cs="Arial"/>
          <w:color w:val="7B7B7B" w:themeColor="accent3" w:themeShade="BF"/>
          <w:sz w:val="22"/>
          <w:szCs w:val="22"/>
          <w:lang w:val="en-GB"/>
        </w:rPr>
        <w:t xml:space="preserve">empathizes </w:t>
      </w:r>
      <w:r w:rsidR="00C54C2E" w:rsidRPr="005720D6">
        <w:rPr>
          <w:rFonts w:ascii="Arial" w:hAnsi="Arial" w:cs="Arial"/>
          <w:color w:val="7B7B7B" w:themeColor="accent3" w:themeShade="BF"/>
          <w:sz w:val="22"/>
          <w:szCs w:val="22"/>
          <w:lang w:val="en-GB"/>
        </w:rPr>
        <w:t xml:space="preserve">that the MLCBI does not place restrictions or is in prejudice to the sovereignty of the enacting state. At the same time, </w:t>
      </w:r>
      <w:r w:rsidR="007F466A" w:rsidRPr="005720D6">
        <w:rPr>
          <w:rFonts w:ascii="Arial" w:hAnsi="Arial" w:cs="Arial"/>
          <w:color w:val="7B7B7B" w:themeColor="accent3" w:themeShade="BF"/>
          <w:sz w:val="22"/>
          <w:szCs w:val="22"/>
          <w:lang w:val="en-GB"/>
        </w:rPr>
        <w:t xml:space="preserve">the provision uses the term </w:t>
      </w:r>
      <w:r w:rsidR="007F466A" w:rsidRPr="005720D6">
        <w:rPr>
          <w:rFonts w:ascii="Arial" w:hAnsi="Arial" w:cs="Arial"/>
          <w:i/>
          <w:iCs/>
          <w:color w:val="7B7B7B" w:themeColor="accent3" w:themeShade="BF"/>
          <w:sz w:val="22"/>
          <w:szCs w:val="22"/>
          <w:lang w:val="en-GB"/>
        </w:rPr>
        <w:t>manifestly</w:t>
      </w:r>
      <w:r w:rsidR="007F466A" w:rsidRPr="005720D6">
        <w:rPr>
          <w:rFonts w:ascii="Arial" w:hAnsi="Arial" w:cs="Arial"/>
          <w:color w:val="7B7B7B" w:themeColor="accent3" w:themeShade="BF"/>
          <w:sz w:val="22"/>
          <w:szCs w:val="22"/>
          <w:lang w:val="en-GB"/>
        </w:rPr>
        <w:t xml:space="preserve"> that requires a restrictive interpretation and application</w:t>
      </w:r>
      <w:r w:rsidR="00FA3BEA" w:rsidRPr="005720D6">
        <w:rPr>
          <w:rFonts w:ascii="Arial" w:hAnsi="Arial" w:cs="Arial"/>
          <w:color w:val="7B7B7B" w:themeColor="accent3" w:themeShade="BF"/>
          <w:sz w:val="22"/>
          <w:szCs w:val="22"/>
          <w:lang w:val="en-GB"/>
        </w:rPr>
        <w:t xml:space="preserve">, subject to the discretion of the courts of the enacting State. </w:t>
      </w:r>
      <w:r w:rsidR="007F466A" w:rsidRPr="005720D6">
        <w:rPr>
          <w:rFonts w:ascii="Arial" w:hAnsi="Arial" w:cs="Arial"/>
          <w:color w:val="7B7B7B" w:themeColor="accent3" w:themeShade="BF"/>
          <w:sz w:val="22"/>
          <w:szCs w:val="22"/>
          <w:lang w:val="en-GB"/>
        </w:rPr>
        <w:t xml:space="preserve"> </w:t>
      </w:r>
      <w:r w:rsidR="00A56C65" w:rsidRPr="005720D6">
        <w:rPr>
          <w:rFonts w:ascii="Arial" w:hAnsi="Arial" w:cs="Arial"/>
          <w:color w:val="7B7B7B" w:themeColor="accent3" w:themeShade="BF"/>
          <w:sz w:val="22"/>
          <w:szCs w:val="22"/>
          <w:lang w:val="en-GB"/>
        </w:rPr>
        <w:t xml:space="preserve"> </w:t>
      </w:r>
    </w:p>
    <w:p w14:paraId="71566337" w14:textId="522A29E4" w:rsidR="006A4683" w:rsidRPr="005720D6" w:rsidRDefault="00FA3BEA" w:rsidP="006A4683">
      <w:pPr>
        <w:pStyle w:val="ListParagraph"/>
        <w:numPr>
          <w:ilvl w:val="0"/>
          <w:numId w:val="31"/>
        </w:numPr>
        <w:tabs>
          <w:tab w:val="center" w:pos="4513"/>
        </w:tabs>
        <w:jc w:val="both"/>
        <w:rPr>
          <w:rFonts w:ascii="Arial" w:hAnsi="Arial" w:cs="Arial"/>
          <w:color w:val="7B7B7B" w:themeColor="accent3" w:themeShade="BF"/>
          <w:sz w:val="22"/>
          <w:szCs w:val="22"/>
          <w:lang w:val="en-GB"/>
        </w:rPr>
      </w:pPr>
      <w:r w:rsidRPr="005720D6">
        <w:rPr>
          <w:rFonts w:ascii="Arial" w:hAnsi="Arial" w:cs="Arial"/>
          <w:color w:val="7B7B7B" w:themeColor="accent3" w:themeShade="BF"/>
          <w:sz w:val="22"/>
          <w:szCs w:val="22"/>
          <w:lang w:val="en-GB"/>
        </w:rPr>
        <w:t>Statement 2</w:t>
      </w:r>
      <w:r w:rsidR="00EC1507" w:rsidRPr="005720D6">
        <w:rPr>
          <w:rFonts w:ascii="Arial" w:hAnsi="Arial" w:cs="Arial"/>
          <w:color w:val="7B7B7B" w:themeColor="accent3" w:themeShade="BF"/>
          <w:sz w:val="22"/>
          <w:szCs w:val="22"/>
          <w:lang w:val="en-GB"/>
        </w:rPr>
        <w:t xml:space="preserve"> is in relation to the principle of </w:t>
      </w:r>
      <w:r w:rsidR="00C90EF4" w:rsidRPr="005720D6">
        <w:rPr>
          <w:rFonts w:ascii="Arial" w:hAnsi="Arial" w:cs="Arial"/>
          <w:color w:val="7B7B7B" w:themeColor="accent3" w:themeShade="BF"/>
          <w:sz w:val="22"/>
          <w:szCs w:val="22"/>
          <w:lang w:val="en-GB"/>
        </w:rPr>
        <w:t>the ‘</w:t>
      </w:r>
      <w:proofErr w:type="spellStart"/>
      <w:r w:rsidR="00FE56A5" w:rsidRPr="005720D6">
        <w:rPr>
          <w:rFonts w:ascii="Arial" w:hAnsi="Arial" w:cs="Arial"/>
          <w:color w:val="7B7B7B" w:themeColor="accent3" w:themeShade="BF"/>
          <w:sz w:val="22"/>
          <w:szCs w:val="22"/>
          <w:lang w:val="en-GB"/>
        </w:rPr>
        <w:t>center</w:t>
      </w:r>
      <w:proofErr w:type="spellEnd"/>
      <w:r w:rsidR="00C90EF4" w:rsidRPr="005720D6">
        <w:rPr>
          <w:rFonts w:ascii="Arial" w:hAnsi="Arial" w:cs="Arial"/>
          <w:color w:val="7B7B7B" w:themeColor="accent3" w:themeShade="BF"/>
          <w:sz w:val="22"/>
          <w:szCs w:val="22"/>
          <w:lang w:val="en-GB"/>
        </w:rPr>
        <w:t xml:space="preserve"> of main interests’ of a debtor which is not defined under the MLCBI but determines the consequences of the rec</w:t>
      </w:r>
      <w:r w:rsidR="00F6735F" w:rsidRPr="005720D6">
        <w:rPr>
          <w:rFonts w:ascii="Arial" w:hAnsi="Arial" w:cs="Arial"/>
          <w:color w:val="7B7B7B" w:themeColor="accent3" w:themeShade="BF"/>
          <w:sz w:val="22"/>
          <w:szCs w:val="22"/>
          <w:lang w:val="en-GB"/>
        </w:rPr>
        <w:t xml:space="preserve">ognition of foreign proceedings. This also determines the </w:t>
      </w:r>
      <w:r w:rsidR="00FE56A5" w:rsidRPr="005720D6">
        <w:rPr>
          <w:rFonts w:ascii="Arial" w:hAnsi="Arial" w:cs="Arial"/>
          <w:color w:val="7B7B7B" w:themeColor="accent3" w:themeShade="BF"/>
          <w:sz w:val="22"/>
          <w:szCs w:val="22"/>
          <w:lang w:val="en-GB"/>
        </w:rPr>
        <w:t>concepts</w:t>
      </w:r>
      <w:r w:rsidR="00F6735F" w:rsidRPr="005720D6">
        <w:rPr>
          <w:rFonts w:ascii="Arial" w:hAnsi="Arial" w:cs="Arial"/>
          <w:color w:val="7B7B7B" w:themeColor="accent3" w:themeShade="BF"/>
          <w:sz w:val="22"/>
          <w:szCs w:val="22"/>
          <w:lang w:val="en-GB"/>
        </w:rPr>
        <w:t xml:space="preserve"> of “main” and “non-main” (secondary) proceedings against a single debtor. </w:t>
      </w:r>
    </w:p>
    <w:p w14:paraId="2CFAE586" w14:textId="653B0446" w:rsidR="006A4683" w:rsidRPr="005720D6" w:rsidRDefault="006A4683" w:rsidP="006A4683">
      <w:pPr>
        <w:pStyle w:val="ListParagraph"/>
        <w:numPr>
          <w:ilvl w:val="0"/>
          <w:numId w:val="31"/>
        </w:numPr>
        <w:tabs>
          <w:tab w:val="center" w:pos="4513"/>
        </w:tabs>
        <w:jc w:val="both"/>
        <w:rPr>
          <w:rFonts w:ascii="Arial" w:hAnsi="Arial" w:cs="Arial"/>
          <w:color w:val="7B7B7B" w:themeColor="accent3" w:themeShade="BF"/>
          <w:sz w:val="22"/>
          <w:szCs w:val="22"/>
          <w:lang w:val="en-GB"/>
        </w:rPr>
      </w:pPr>
      <w:r w:rsidRPr="005720D6">
        <w:rPr>
          <w:rFonts w:ascii="Arial" w:hAnsi="Arial" w:cs="Arial"/>
          <w:color w:val="7B7B7B" w:themeColor="accent3" w:themeShade="BF"/>
          <w:sz w:val="22"/>
          <w:szCs w:val="22"/>
          <w:lang w:val="en-GB"/>
        </w:rPr>
        <w:t xml:space="preserve">Statement 3 as a concept is contained in Article 31 of the MLCBI. The </w:t>
      </w:r>
      <w:r w:rsidR="00102474" w:rsidRPr="005720D6">
        <w:rPr>
          <w:rFonts w:ascii="Arial" w:hAnsi="Arial" w:cs="Arial"/>
          <w:color w:val="7B7B7B" w:themeColor="accent3" w:themeShade="BF"/>
          <w:sz w:val="22"/>
          <w:szCs w:val="22"/>
          <w:lang w:val="en-GB"/>
        </w:rPr>
        <w:t xml:space="preserve">article comes into question primarily for the purposes of opening a domestic insolvency proceeding for the debtor in the enacting State. The rebuttable presumption contained in this provision is that the recognition of a </w:t>
      </w:r>
      <w:r w:rsidR="0012184F" w:rsidRPr="005720D6">
        <w:rPr>
          <w:rFonts w:ascii="Arial" w:hAnsi="Arial" w:cs="Arial"/>
          <w:color w:val="7B7B7B" w:themeColor="accent3" w:themeShade="BF"/>
          <w:sz w:val="22"/>
          <w:szCs w:val="22"/>
          <w:lang w:val="en-GB"/>
        </w:rPr>
        <w:t xml:space="preserve">foreign main proceeding is proof that the debtor is insolvent. </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383B5930" w14:textId="1946558C" w:rsidR="00C550C8" w:rsidRPr="00757BC1" w:rsidRDefault="00031F9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COMI, as set out in the UNICTRAL</w:t>
      </w:r>
      <w:r w:rsidR="0043388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Judicial Perspective, </w:t>
      </w:r>
      <w:r w:rsidR="00893C63">
        <w:rPr>
          <w:rFonts w:ascii="Arial" w:hAnsi="Arial" w:cs="Arial"/>
          <w:color w:val="7B7B7B" w:themeColor="accent3" w:themeShade="BF"/>
          <w:sz w:val="22"/>
          <w:szCs w:val="22"/>
          <w:lang w:val="en-GB"/>
        </w:rPr>
        <w:t>in the EIR, the determination of COMI relates to</w:t>
      </w:r>
      <w:r w:rsidR="00677F9A">
        <w:rPr>
          <w:rFonts w:ascii="Arial" w:hAnsi="Arial" w:cs="Arial"/>
          <w:color w:val="7B7B7B" w:themeColor="accent3" w:themeShade="BF"/>
          <w:sz w:val="22"/>
          <w:szCs w:val="22"/>
          <w:lang w:val="en-GB"/>
        </w:rPr>
        <w:t xml:space="preserve"> commencement of main proceedings and the question of jurisdiction is about determining the main proceeding state / jurisdiction. In the MLCBI, the COMI determination relations to the effects of </w:t>
      </w:r>
      <w:r w:rsidR="00433886">
        <w:rPr>
          <w:rFonts w:ascii="Arial" w:hAnsi="Arial" w:cs="Arial"/>
          <w:color w:val="7B7B7B" w:themeColor="accent3" w:themeShade="BF"/>
          <w:sz w:val="22"/>
          <w:szCs w:val="22"/>
          <w:lang w:val="en-GB"/>
        </w:rPr>
        <w:t xml:space="preserve">recognition of foreign proceedings and the relief that is available to assist the proceeding. </w:t>
      </w:r>
      <w:r w:rsidR="006B26BD">
        <w:rPr>
          <w:rFonts w:ascii="Arial" w:hAnsi="Arial" w:cs="Arial"/>
          <w:color w:val="7B7B7B" w:themeColor="accent3" w:themeShade="BF"/>
          <w:sz w:val="22"/>
          <w:szCs w:val="22"/>
          <w:lang w:val="en-GB"/>
        </w:rPr>
        <w:t>Moreover, it could be argued that the COMI rule under the EIR is a wider de</w:t>
      </w:r>
      <w:r w:rsidR="00E91F86">
        <w:rPr>
          <w:rFonts w:ascii="Arial" w:hAnsi="Arial" w:cs="Arial"/>
          <w:color w:val="7B7B7B" w:themeColor="accent3" w:themeShade="BF"/>
          <w:sz w:val="22"/>
          <w:szCs w:val="22"/>
          <w:lang w:val="en-GB"/>
        </w:rPr>
        <w:t xml:space="preserve">finition give that the definition also takes into question concepts of administration, central administration and </w:t>
      </w:r>
      <w:r w:rsidR="00077DEF">
        <w:rPr>
          <w:rFonts w:ascii="Arial" w:hAnsi="Arial" w:cs="Arial"/>
          <w:color w:val="7B7B7B" w:themeColor="accent3" w:themeShade="BF"/>
          <w:sz w:val="22"/>
          <w:szCs w:val="22"/>
          <w:lang w:val="en-GB"/>
        </w:rPr>
        <w:t>head office</w:t>
      </w:r>
      <w:r w:rsidR="00E91F86">
        <w:rPr>
          <w:rFonts w:ascii="Arial" w:hAnsi="Arial" w:cs="Arial"/>
          <w:color w:val="7B7B7B" w:themeColor="accent3" w:themeShade="BF"/>
          <w:sz w:val="22"/>
          <w:szCs w:val="22"/>
          <w:lang w:val="en-GB"/>
        </w:rPr>
        <w:t xml:space="preserve"> in relation to determining the COMI</w:t>
      </w:r>
      <w:r w:rsidR="00077DEF">
        <w:rPr>
          <w:rFonts w:ascii="Arial" w:hAnsi="Arial" w:cs="Arial"/>
          <w:color w:val="7B7B7B" w:themeColor="accent3" w:themeShade="BF"/>
          <w:sz w:val="22"/>
          <w:szCs w:val="22"/>
          <w:lang w:val="en-GB"/>
        </w:rPr>
        <w:t xml:space="preserve"> as set out discussed in the case of </w:t>
      </w:r>
      <w:proofErr w:type="spellStart"/>
      <w:r w:rsidR="00077DEF">
        <w:rPr>
          <w:rFonts w:ascii="Arial" w:hAnsi="Arial" w:cs="Arial"/>
          <w:i/>
          <w:iCs/>
          <w:color w:val="7B7B7B" w:themeColor="accent3" w:themeShade="BF"/>
          <w:sz w:val="22"/>
          <w:szCs w:val="22"/>
          <w:lang w:val="en-GB"/>
        </w:rPr>
        <w:t>Interedil</w:t>
      </w:r>
      <w:proofErr w:type="spellEnd"/>
      <w:r w:rsidR="00077DEF">
        <w:rPr>
          <w:rFonts w:ascii="Arial" w:hAnsi="Arial" w:cs="Arial"/>
          <w:i/>
          <w:iCs/>
          <w:color w:val="7B7B7B" w:themeColor="accent3" w:themeShade="BF"/>
          <w:sz w:val="22"/>
          <w:szCs w:val="22"/>
          <w:lang w:val="en-GB"/>
        </w:rPr>
        <w:t xml:space="preserve"> </w:t>
      </w:r>
      <w:proofErr w:type="spellStart"/>
      <w:r w:rsidR="00077DEF">
        <w:rPr>
          <w:rFonts w:ascii="Arial" w:hAnsi="Arial" w:cs="Arial"/>
          <w:i/>
          <w:iCs/>
          <w:color w:val="7B7B7B" w:themeColor="accent3" w:themeShade="BF"/>
          <w:sz w:val="22"/>
          <w:szCs w:val="22"/>
          <w:lang w:val="en-GB"/>
        </w:rPr>
        <w:t>Srl</w:t>
      </w:r>
      <w:proofErr w:type="spellEnd"/>
      <w:r w:rsidR="00077DEF">
        <w:rPr>
          <w:rFonts w:ascii="Arial" w:hAnsi="Arial" w:cs="Arial"/>
          <w:i/>
          <w:iCs/>
          <w:color w:val="7B7B7B" w:themeColor="accent3" w:themeShade="BF"/>
          <w:sz w:val="22"/>
          <w:szCs w:val="22"/>
          <w:lang w:val="en-GB"/>
        </w:rPr>
        <w:t xml:space="preserve"> v. </w:t>
      </w:r>
      <w:proofErr w:type="spellStart"/>
      <w:r w:rsidR="00077DEF">
        <w:rPr>
          <w:rFonts w:ascii="Arial" w:hAnsi="Arial" w:cs="Arial"/>
          <w:i/>
          <w:iCs/>
          <w:color w:val="7B7B7B" w:themeColor="accent3" w:themeShade="BF"/>
          <w:sz w:val="22"/>
          <w:szCs w:val="22"/>
          <w:lang w:val="en-GB"/>
        </w:rPr>
        <w:t>F</w:t>
      </w:r>
      <w:r w:rsidR="00E92D13">
        <w:rPr>
          <w:rFonts w:ascii="Arial" w:hAnsi="Arial" w:cs="Arial"/>
          <w:i/>
          <w:iCs/>
          <w:color w:val="7B7B7B" w:themeColor="accent3" w:themeShade="BF"/>
          <w:sz w:val="22"/>
          <w:szCs w:val="22"/>
          <w:lang w:val="en-GB"/>
        </w:rPr>
        <w:t>a</w:t>
      </w:r>
      <w:r w:rsidR="00077DEF">
        <w:rPr>
          <w:rFonts w:ascii="Arial" w:hAnsi="Arial" w:cs="Arial"/>
          <w:i/>
          <w:iCs/>
          <w:color w:val="7B7B7B" w:themeColor="accent3" w:themeShade="BF"/>
          <w:sz w:val="22"/>
          <w:szCs w:val="22"/>
          <w:lang w:val="en-GB"/>
        </w:rPr>
        <w:t>llimento</w:t>
      </w:r>
      <w:proofErr w:type="spellEnd"/>
      <w:r w:rsidR="00077DEF">
        <w:rPr>
          <w:rFonts w:ascii="Arial" w:hAnsi="Arial" w:cs="Arial"/>
          <w:i/>
          <w:iCs/>
          <w:color w:val="7B7B7B" w:themeColor="accent3" w:themeShade="BF"/>
          <w:sz w:val="22"/>
          <w:szCs w:val="22"/>
          <w:lang w:val="en-GB"/>
        </w:rPr>
        <w:t xml:space="preserve"> </w:t>
      </w:r>
      <w:proofErr w:type="spellStart"/>
      <w:r w:rsidR="00077DEF">
        <w:rPr>
          <w:rFonts w:ascii="Arial" w:hAnsi="Arial" w:cs="Arial"/>
          <w:i/>
          <w:iCs/>
          <w:color w:val="7B7B7B" w:themeColor="accent3" w:themeShade="BF"/>
          <w:sz w:val="22"/>
          <w:szCs w:val="22"/>
          <w:lang w:val="en-GB"/>
        </w:rPr>
        <w:t>Interedil</w:t>
      </w:r>
      <w:proofErr w:type="spellEnd"/>
      <w:r w:rsidR="00077DEF">
        <w:rPr>
          <w:rFonts w:ascii="Arial" w:hAnsi="Arial" w:cs="Arial"/>
          <w:i/>
          <w:iCs/>
          <w:color w:val="7B7B7B" w:themeColor="accent3" w:themeShade="BF"/>
          <w:sz w:val="22"/>
          <w:szCs w:val="22"/>
          <w:lang w:val="en-GB"/>
        </w:rPr>
        <w:t xml:space="preserve"> </w:t>
      </w:r>
      <w:proofErr w:type="spellStart"/>
      <w:r w:rsidR="00E92D13">
        <w:rPr>
          <w:rFonts w:ascii="Arial" w:hAnsi="Arial" w:cs="Arial"/>
          <w:i/>
          <w:iCs/>
          <w:color w:val="7B7B7B" w:themeColor="accent3" w:themeShade="BF"/>
          <w:sz w:val="22"/>
          <w:szCs w:val="22"/>
          <w:lang w:val="en-GB"/>
        </w:rPr>
        <w:t>Srl</w:t>
      </w:r>
      <w:proofErr w:type="spellEnd"/>
      <w:r w:rsidR="00E92D13">
        <w:rPr>
          <w:rFonts w:ascii="Arial" w:hAnsi="Arial" w:cs="Arial"/>
          <w:i/>
          <w:iCs/>
          <w:color w:val="7B7B7B" w:themeColor="accent3" w:themeShade="BF"/>
          <w:sz w:val="22"/>
          <w:szCs w:val="22"/>
          <w:lang w:val="en-GB"/>
        </w:rPr>
        <w:t xml:space="preserve"> (Case C-396/09) </w:t>
      </w:r>
      <w:r w:rsidR="00E92D13">
        <w:rPr>
          <w:rFonts w:ascii="Arial" w:hAnsi="Arial" w:cs="Arial"/>
          <w:color w:val="7B7B7B" w:themeColor="accent3" w:themeShade="BF"/>
          <w:sz w:val="22"/>
          <w:szCs w:val="22"/>
          <w:lang w:val="en-GB"/>
        </w:rPr>
        <w:t xml:space="preserve">[2012] </w:t>
      </w:r>
      <w:r w:rsidR="00E92D13">
        <w:rPr>
          <w:rFonts w:ascii="Arial" w:hAnsi="Arial" w:cs="Arial"/>
          <w:i/>
          <w:iCs/>
          <w:color w:val="7B7B7B" w:themeColor="accent3" w:themeShade="BF"/>
          <w:sz w:val="22"/>
          <w:szCs w:val="22"/>
          <w:lang w:val="en-GB"/>
        </w:rPr>
        <w:t>Bus LR 1582</w:t>
      </w:r>
      <w:r w:rsidR="00757BC1">
        <w:rPr>
          <w:rFonts w:ascii="Arial" w:hAnsi="Arial" w:cs="Arial"/>
          <w:color w:val="7B7B7B" w:themeColor="accent3" w:themeShade="BF"/>
          <w:sz w:val="22"/>
          <w:szCs w:val="22"/>
          <w:lang w:val="en-GB"/>
        </w:rPr>
        <w:t>,</w:t>
      </w:r>
      <w:r w:rsidR="001B267E">
        <w:rPr>
          <w:rFonts w:ascii="Arial" w:hAnsi="Arial" w:cs="Arial"/>
          <w:color w:val="7B7B7B" w:themeColor="accent3" w:themeShade="BF"/>
          <w:sz w:val="22"/>
          <w:szCs w:val="22"/>
          <w:lang w:val="en-GB"/>
        </w:rPr>
        <w:t xml:space="preserve"> </w:t>
      </w:r>
      <w:r w:rsidR="001B267E">
        <w:rPr>
          <w:rFonts w:ascii="Arial" w:hAnsi="Arial" w:cs="Arial"/>
          <w:i/>
          <w:iCs/>
          <w:color w:val="7B7B7B" w:themeColor="accent3" w:themeShade="BF"/>
          <w:sz w:val="22"/>
          <w:szCs w:val="22"/>
          <w:lang w:val="en-GB"/>
        </w:rPr>
        <w:t xml:space="preserve">Re </w:t>
      </w:r>
      <w:proofErr w:type="spellStart"/>
      <w:r w:rsidR="001B267E">
        <w:rPr>
          <w:rFonts w:ascii="Arial" w:hAnsi="Arial" w:cs="Arial"/>
          <w:i/>
          <w:iCs/>
          <w:color w:val="7B7B7B" w:themeColor="accent3" w:themeShade="BF"/>
          <w:sz w:val="22"/>
          <w:szCs w:val="22"/>
          <w:lang w:val="en-GB"/>
        </w:rPr>
        <w:t>Videology</w:t>
      </w:r>
      <w:proofErr w:type="spellEnd"/>
      <w:r w:rsidR="001B267E">
        <w:rPr>
          <w:rFonts w:ascii="Arial" w:hAnsi="Arial" w:cs="Arial"/>
          <w:i/>
          <w:iCs/>
          <w:color w:val="7B7B7B" w:themeColor="accent3" w:themeShade="BF"/>
          <w:sz w:val="22"/>
          <w:szCs w:val="22"/>
          <w:lang w:val="en-GB"/>
        </w:rPr>
        <w:t xml:space="preserve"> Limited </w:t>
      </w:r>
      <w:r w:rsidR="00E74A59">
        <w:rPr>
          <w:rFonts w:ascii="Arial" w:hAnsi="Arial" w:cs="Arial"/>
          <w:color w:val="7B7B7B" w:themeColor="accent3" w:themeShade="BF"/>
          <w:sz w:val="22"/>
          <w:szCs w:val="22"/>
          <w:lang w:val="en-GB"/>
        </w:rPr>
        <w:t xml:space="preserve">[2018] EWHC 2186 (Ch) and </w:t>
      </w:r>
      <w:r w:rsidR="00E74A59">
        <w:rPr>
          <w:rFonts w:ascii="Arial" w:hAnsi="Arial" w:cs="Arial"/>
          <w:i/>
          <w:iCs/>
          <w:color w:val="7B7B7B" w:themeColor="accent3" w:themeShade="BF"/>
          <w:sz w:val="22"/>
          <w:szCs w:val="22"/>
          <w:lang w:val="en-GB"/>
        </w:rPr>
        <w:t xml:space="preserve">Re </w:t>
      </w:r>
      <w:proofErr w:type="spellStart"/>
      <w:r w:rsidR="00E74A59">
        <w:rPr>
          <w:rFonts w:ascii="Arial" w:hAnsi="Arial" w:cs="Arial"/>
          <w:i/>
          <w:iCs/>
          <w:color w:val="7B7B7B" w:themeColor="accent3" w:themeShade="BF"/>
          <w:sz w:val="22"/>
          <w:szCs w:val="22"/>
          <w:lang w:val="en-GB"/>
        </w:rPr>
        <w:t>Eurofood</w:t>
      </w:r>
      <w:proofErr w:type="spellEnd"/>
      <w:r w:rsidR="00E74A59">
        <w:rPr>
          <w:rFonts w:ascii="Arial" w:hAnsi="Arial" w:cs="Arial"/>
          <w:i/>
          <w:iCs/>
          <w:color w:val="7B7B7B" w:themeColor="accent3" w:themeShade="BF"/>
          <w:sz w:val="22"/>
          <w:szCs w:val="22"/>
          <w:lang w:val="en-GB"/>
        </w:rPr>
        <w:t xml:space="preserve"> IFSC Ltd (Case C-341/04</w:t>
      </w:r>
      <w:r w:rsidR="00757BC1">
        <w:rPr>
          <w:rFonts w:ascii="Arial" w:hAnsi="Arial" w:cs="Arial"/>
          <w:i/>
          <w:iCs/>
          <w:color w:val="7B7B7B" w:themeColor="accent3" w:themeShade="BF"/>
          <w:sz w:val="22"/>
          <w:szCs w:val="22"/>
          <w:lang w:val="en-GB"/>
        </w:rPr>
        <w:t xml:space="preserve">) </w:t>
      </w:r>
      <w:r w:rsidR="00757BC1">
        <w:rPr>
          <w:rFonts w:ascii="Arial" w:hAnsi="Arial" w:cs="Arial"/>
          <w:color w:val="7B7B7B" w:themeColor="accent3" w:themeShade="BF"/>
          <w:sz w:val="22"/>
          <w:szCs w:val="22"/>
          <w:lang w:val="en-GB"/>
        </w:rPr>
        <w:t>[2006] Ch 508</w:t>
      </w:r>
    </w:p>
    <w:p w14:paraId="2ED6C882" w14:textId="77777777" w:rsidR="00052008" w:rsidRDefault="0005200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w:t>
      </w:r>
      <w:r>
        <w:rPr>
          <w:rFonts w:ascii="Arial" w:hAnsi="Arial" w:cs="Arial"/>
          <w:sz w:val="22"/>
          <w:szCs w:val="22"/>
          <w:lang w:val="en-GB"/>
        </w:rPr>
        <w:lastRenderedPageBreak/>
        <w:t xml:space="preserve">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67600E8C" w14:textId="77777777" w:rsidR="00AE6054" w:rsidRDefault="00F85824" w:rsidP="00B168F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recognition of </w:t>
      </w:r>
      <w:r w:rsidR="00AC342D">
        <w:rPr>
          <w:rFonts w:ascii="Arial" w:hAnsi="Arial" w:cs="Arial"/>
          <w:color w:val="7B7B7B" w:themeColor="accent3" w:themeShade="BF"/>
          <w:sz w:val="22"/>
          <w:szCs w:val="22"/>
          <w:lang w:val="en-GB"/>
        </w:rPr>
        <w:t>a foreign proceeding Article 21(1) of the MLCBI</w:t>
      </w:r>
      <w:r w:rsidR="00B0456D">
        <w:rPr>
          <w:rFonts w:ascii="Arial" w:hAnsi="Arial" w:cs="Arial"/>
          <w:color w:val="7B7B7B" w:themeColor="accent3" w:themeShade="BF"/>
          <w:sz w:val="22"/>
          <w:szCs w:val="22"/>
          <w:lang w:val="en-GB"/>
        </w:rPr>
        <w:t xml:space="preserve"> grants courts with discretionary powers to grant appropriate relief. </w:t>
      </w:r>
      <w:r w:rsidR="00A075B6">
        <w:rPr>
          <w:rFonts w:ascii="Arial" w:hAnsi="Arial" w:cs="Arial"/>
          <w:color w:val="7B7B7B" w:themeColor="accent3" w:themeShade="BF"/>
          <w:sz w:val="22"/>
          <w:szCs w:val="22"/>
          <w:lang w:val="en-GB"/>
        </w:rPr>
        <w:t xml:space="preserve">Under Article 30(c), in the event of two concurrent foreign non-main proceedings, </w:t>
      </w:r>
      <w:r w:rsidR="00FB27A3">
        <w:rPr>
          <w:rFonts w:ascii="Arial" w:hAnsi="Arial" w:cs="Arial"/>
          <w:color w:val="7B7B7B" w:themeColor="accent3" w:themeShade="BF"/>
          <w:sz w:val="22"/>
          <w:szCs w:val="22"/>
          <w:lang w:val="en-GB"/>
        </w:rPr>
        <w:t xml:space="preserve">i.e., when no prior foreign main proceeding has been established, the court must grant, modify or terminate relief </w:t>
      </w:r>
      <w:r w:rsidR="004810AC">
        <w:rPr>
          <w:rFonts w:ascii="Arial" w:hAnsi="Arial" w:cs="Arial"/>
          <w:color w:val="7B7B7B" w:themeColor="accent3" w:themeShade="BF"/>
          <w:sz w:val="22"/>
          <w:szCs w:val="22"/>
          <w:lang w:val="en-GB"/>
        </w:rPr>
        <w:t>for the purposes of facilitation the coordination of the proceedings. The MLCBI does not contain a specific preference provisions between concurrent foreign non-main proceedings.</w:t>
      </w:r>
    </w:p>
    <w:p w14:paraId="03C45A07" w14:textId="77777777" w:rsidR="00AE6054" w:rsidRDefault="00AE6054" w:rsidP="00B168FF">
      <w:pPr>
        <w:jc w:val="both"/>
        <w:rPr>
          <w:rFonts w:ascii="Arial" w:hAnsi="Arial" w:cs="Arial"/>
          <w:color w:val="7B7B7B" w:themeColor="accent3" w:themeShade="BF"/>
          <w:sz w:val="22"/>
          <w:szCs w:val="22"/>
          <w:lang w:val="en-GB"/>
        </w:rPr>
      </w:pPr>
    </w:p>
    <w:p w14:paraId="15EE2B47" w14:textId="61B9E5B2" w:rsidR="0041139B" w:rsidRPr="00592F82" w:rsidRDefault="00AE6054" w:rsidP="00B168FF">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00CB0FB1">
        <w:rPr>
          <w:rFonts w:ascii="Arial" w:hAnsi="Arial" w:cs="Arial"/>
          <w:color w:val="7B7B7B" w:themeColor="accent3" w:themeShade="BF"/>
          <w:sz w:val="22"/>
          <w:szCs w:val="22"/>
          <w:lang w:val="en-GB"/>
        </w:rPr>
        <w:t>MLCBI provide</w:t>
      </w:r>
      <w:r w:rsidR="008825E8">
        <w:rPr>
          <w:rFonts w:ascii="Arial" w:hAnsi="Arial" w:cs="Arial"/>
          <w:color w:val="7B7B7B" w:themeColor="accent3" w:themeShade="BF"/>
          <w:sz w:val="22"/>
          <w:szCs w:val="22"/>
          <w:lang w:val="en-GB"/>
        </w:rPr>
        <w:t>s access rights to foreign representatives to communicate with courts which is further facilitated by recognition of the foreign proceedings which allow the court to provide the foreign representative with appropriate and more tailor made relief to promote</w:t>
      </w:r>
      <w:r w:rsidR="00AB0154">
        <w:rPr>
          <w:rFonts w:ascii="Arial" w:hAnsi="Arial" w:cs="Arial"/>
          <w:color w:val="7B7B7B" w:themeColor="accent3" w:themeShade="BF"/>
          <w:sz w:val="22"/>
          <w:szCs w:val="22"/>
          <w:lang w:val="en-GB"/>
        </w:rPr>
        <w:t xml:space="preserve"> optimal results. The mandatory cooperation provision is contained in Article </w:t>
      </w:r>
      <w:r w:rsidR="00D73CEC">
        <w:rPr>
          <w:rFonts w:ascii="Arial" w:hAnsi="Arial" w:cs="Arial"/>
          <w:color w:val="7B7B7B" w:themeColor="accent3" w:themeShade="BF"/>
          <w:sz w:val="22"/>
          <w:szCs w:val="22"/>
          <w:lang w:val="en-GB"/>
        </w:rPr>
        <w:t xml:space="preserve">25 read with Article 27, which lists the means for cooperation. </w:t>
      </w:r>
      <w:r w:rsidR="00CB0FB1">
        <w:rPr>
          <w:rFonts w:ascii="Arial" w:hAnsi="Arial" w:cs="Arial"/>
          <w:color w:val="7B7B7B" w:themeColor="accent3" w:themeShade="BF"/>
          <w:sz w:val="22"/>
          <w:szCs w:val="22"/>
          <w:lang w:val="en-GB"/>
        </w:rPr>
        <w:t xml:space="preserve"> </w:t>
      </w:r>
      <w:r w:rsidR="004810AC">
        <w:rPr>
          <w:rFonts w:ascii="Arial" w:hAnsi="Arial" w:cs="Arial"/>
          <w:color w:val="7B7B7B" w:themeColor="accent3" w:themeShade="BF"/>
          <w:sz w:val="22"/>
          <w:szCs w:val="22"/>
          <w:lang w:val="en-GB"/>
        </w:rPr>
        <w:t xml:space="preserve"> </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544273" w:rsidRDefault="00C550C8" w:rsidP="00707FC8">
      <w:pPr>
        <w:jc w:val="both"/>
        <w:rPr>
          <w:rFonts w:ascii="Arial" w:hAnsi="Arial" w:cs="Arial"/>
          <w:sz w:val="22"/>
          <w:szCs w:val="22"/>
        </w:rPr>
      </w:pPr>
    </w:p>
    <w:p w14:paraId="602A1736" w14:textId="179AAE53" w:rsidR="00D120A2" w:rsidRDefault="007C73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outset, it is significant to understand one of the key purposes of the MLCBI</w:t>
      </w:r>
      <w:r w:rsidR="003579E8">
        <w:rPr>
          <w:rFonts w:ascii="Arial" w:hAnsi="Arial" w:cs="Arial"/>
          <w:color w:val="7B7B7B" w:themeColor="accent3" w:themeShade="BF"/>
          <w:sz w:val="22"/>
          <w:szCs w:val="22"/>
          <w:lang w:val="en-GB"/>
        </w:rPr>
        <w:t xml:space="preserve"> – to </w:t>
      </w:r>
      <w:r w:rsidR="002864A6">
        <w:rPr>
          <w:rFonts w:ascii="Arial" w:hAnsi="Arial" w:cs="Arial"/>
          <w:color w:val="7B7B7B" w:themeColor="accent3" w:themeShade="BF"/>
          <w:sz w:val="22"/>
          <w:szCs w:val="22"/>
          <w:lang w:val="en-GB"/>
        </w:rPr>
        <w:t xml:space="preserve">facilitate value creation, increase transparency in proceedings involving multiple jurisdictions and assets with time and cost savings. </w:t>
      </w:r>
      <w:r w:rsidR="00E4589A">
        <w:rPr>
          <w:rFonts w:ascii="Arial" w:hAnsi="Arial" w:cs="Arial"/>
          <w:color w:val="7B7B7B" w:themeColor="accent3" w:themeShade="BF"/>
          <w:sz w:val="22"/>
          <w:szCs w:val="22"/>
          <w:lang w:val="en-GB"/>
        </w:rPr>
        <w:t xml:space="preserve">To enable this also requires a facilitator </w:t>
      </w:r>
      <w:r w:rsidR="00013381">
        <w:rPr>
          <w:rFonts w:ascii="Arial" w:hAnsi="Arial" w:cs="Arial"/>
          <w:color w:val="7B7B7B" w:themeColor="accent3" w:themeShade="BF"/>
          <w:sz w:val="22"/>
          <w:szCs w:val="22"/>
          <w:lang w:val="en-GB"/>
        </w:rPr>
        <w:t>with the necessary access, communication and coordination</w:t>
      </w:r>
      <w:r w:rsidR="009F5740">
        <w:rPr>
          <w:rFonts w:ascii="Arial" w:hAnsi="Arial" w:cs="Arial"/>
          <w:color w:val="7B7B7B" w:themeColor="accent3" w:themeShade="BF"/>
          <w:sz w:val="22"/>
          <w:szCs w:val="22"/>
          <w:lang w:val="en-GB"/>
        </w:rPr>
        <w:t xml:space="preserve"> with </w:t>
      </w:r>
      <w:r w:rsidR="009F5740">
        <w:rPr>
          <w:rFonts w:ascii="Arial" w:hAnsi="Arial" w:cs="Arial"/>
          <w:i/>
          <w:iCs/>
          <w:color w:val="7B7B7B" w:themeColor="accent3" w:themeShade="BF"/>
          <w:sz w:val="22"/>
          <w:szCs w:val="22"/>
          <w:lang w:val="en-GB"/>
        </w:rPr>
        <w:t xml:space="preserve">locus standi </w:t>
      </w:r>
      <w:r w:rsidR="009F5740">
        <w:rPr>
          <w:rFonts w:ascii="Arial" w:hAnsi="Arial" w:cs="Arial"/>
          <w:color w:val="7B7B7B" w:themeColor="accent3" w:themeShade="BF"/>
          <w:sz w:val="22"/>
          <w:szCs w:val="22"/>
          <w:lang w:val="en-GB"/>
        </w:rPr>
        <w:t xml:space="preserve">as is contained </w:t>
      </w:r>
      <w:r w:rsidR="00894369">
        <w:rPr>
          <w:rFonts w:ascii="Arial" w:hAnsi="Arial" w:cs="Arial"/>
          <w:color w:val="7B7B7B" w:themeColor="accent3" w:themeShade="BF"/>
          <w:sz w:val="22"/>
          <w:szCs w:val="22"/>
          <w:lang w:val="en-GB"/>
        </w:rPr>
        <w:t>in Articles 9, 11 and 12</w:t>
      </w:r>
      <w:r w:rsidR="00A363CD">
        <w:rPr>
          <w:rFonts w:ascii="Arial" w:hAnsi="Arial" w:cs="Arial"/>
          <w:color w:val="7B7B7B" w:themeColor="accent3" w:themeShade="BF"/>
          <w:sz w:val="22"/>
          <w:szCs w:val="22"/>
          <w:lang w:val="en-GB"/>
        </w:rPr>
        <w:t xml:space="preserve"> of the MLCBI</w:t>
      </w:r>
      <w:r w:rsidR="00894369">
        <w:rPr>
          <w:rFonts w:ascii="Arial" w:hAnsi="Arial" w:cs="Arial"/>
          <w:color w:val="7B7B7B" w:themeColor="accent3" w:themeShade="BF"/>
          <w:sz w:val="22"/>
          <w:szCs w:val="22"/>
          <w:lang w:val="en-GB"/>
        </w:rPr>
        <w:t xml:space="preserve">. </w:t>
      </w:r>
      <w:r w:rsidR="00D120A2">
        <w:rPr>
          <w:rFonts w:ascii="Arial" w:hAnsi="Arial" w:cs="Arial"/>
          <w:color w:val="7B7B7B" w:themeColor="accent3" w:themeShade="BF"/>
          <w:sz w:val="22"/>
          <w:szCs w:val="22"/>
          <w:lang w:val="en-GB"/>
        </w:rPr>
        <w:t>While the foreign representative is not automatically vested with rights or powers</w:t>
      </w:r>
      <w:r w:rsidR="00DF2859">
        <w:rPr>
          <w:rFonts w:ascii="Arial" w:hAnsi="Arial" w:cs="Arial"/>
          <w:color w:val="7B7B7B" w:themeColor="accent3" w:themeShade="BF"/>
          <w:sz w:val="22"/>
          <w:szCs w:val="22"/>
          <w:lang w:val="en-GB"/>
        </w:rPr>
        <w:t xml:space="preserve">, the access and coordination rights are based on the need for recognition of a proceeding. </w:t>
      </w:r>
    </w:p>
    <w:p w14:paraId="4BAC28FC" w14:textId="27C2AC3D" w:rsidR="00D120A2" w:rsidRDefault="00D120A2" w:rsidP="00707FC8">
      <w:pPr>
        <w:jc w:val="both"/>
        <w:rPr>
          <w:rFonts w:ascii="Arial" w:hAnsi="Arial" w:cs="Arial"/>
          <w:color w:val="7B7B7B" w:themeColor="accent3" w:themeShade="BF"/>
          <w:sz w:val="22"/>
          <w:szCs w:val="22"/>
          <w:lang w:val="en-GB"/>
        </w:rPr>
      </w:pPr>
    </w:p>
    <w:p w14:paraId="72565D13" w14:textId="7B27C6B0" w:rsidR="001311E8" w:rsidRDefault="001311E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role of a foreign representative with right to access, coordination and relief is to allow </w:t>
      </w:r>
      <w:r w:rsidR="002657A6">
        <w:rPr>
          <w:rFonts w:ascii="Arial" w:hAnsi="Arial" w:cs="Arial"/>
          <w:color w:val="7B7B7B" w:themeColor="accent3" w:themeShade="BF"/>
          <w:sz w:val="22"/>
          <w:szCs w:val="22"/>
          <w:lang w:val="en-GB"/>
        </w:rPr>
        <w:t xml:space="preserve">the foreign representative to seek </w:t>
      </w:r>
      <w:r w:rsidR="002657A6">
        <w:rPr>
          <w:rFonts w:ascii="Arial" w:hAnsi="Arial" w:cs="Arial"/>
          <w:i/>
          <w:iCs/>
          <w:color w:val="7B7B7B" w:themeColor="accent3" w:themeShade="BF"/>
          <w:sz w:val="22"/>
          <w:szCs w:val="22"/>
          <w:lang w:val="en-GB"/>
        </w:rPr>
        <w:t xml:space="preserve">breathing space </w:t>
      </w:r>
      <w:r w:rsidR="002657A6">
        <w:rPr>
          <w:rFonts w:ascii="Arial" w:hAnsi="Arial" w:cs="Arial"/>
          <w:color w:val="7B7B7B" w:themeColor="accent3" w:themeShade="BF"/>
          <w:sz w:val="22"/>
          <w:szCs w:val="22"/>
          <w:lang w:val="en-GB"/>
        </w:rPr>
        <w:t xml:space="preserve">and also the courts in this case State A, to determine whether the coordination among jurisdictions or other relief </w:t>
      </w:r>
      <w:r w:rsidR="00C84888">
        <w:rPr>
          <w:rFonts w:ascii="Arial" w:hAnsi="Arial" w:cs="Arial"/>
          <w:color w:val="7B7B7B" w:themeColor="accent3" w:themeShade="BF"/>
          <w:sz w:val="22"/>
          <w:szCs w:val="22"/>
          <w:lang w:val="en-GB"/>
        </w:rPr>
        <w:t xml:space="preserve">can be granted for optimal case resolution as explained in the UNCITRAL Guide to Enactment. </w:t>
      </w:r>
    </w:p>
    <w:p w14:paraId="3095BA5D" w14:textId="77777777" w:rsidR="00C84888" w:rsidRPr="002657A6" w:rsidRDefault="00C84888" w:rsidP="00707FC8">
      <w:pPr>
        <w:jc w:val="both"/>
        <w:rPr>
          <w:rFonts w:ascii="Arial" w:hAnsi="Arial" w:cs="Arial"/>
          <w:color w:val="7B7B7B" w:themeColor="accent3" w:themeShade="BF"/>
          <w:sz w:val="22"/>
          <w:szCs w:val="22"/>
          <w:lang w:val="en-GB"/>
        </w:rPr>
      </w:pPr>
    </w:p>
    <w:p w14:paraId="4024A332" w14:textId="49C95419" w:rsidR="00544127" w:rsidRDefault="005628E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Article 9 and 11 delve into situations of direct access where no prior recognition proceedings are required, for the present case, Article 12 </w:t>
      </w:r>
      <w:r w:rsidR="0013406F">
        <w:rPr>
          <w:rFonts w:ascii="Arial" w:hAnsi="Arial" w:cs="Arial"/>
          <w:color w:val="7B7B7B" w:themeColor="accent3" w:themeShade="BF"/>
          <w:sz w:val="22"/>
          <w:szCs w:val="22"/>
          <w:lang w:val="en-GB"/>
        </w:rPr>
        <w:t>raises the question of when</w:t>
      </w:r>
      <w:r w:rsidR="00DB2980">
        <w:rPr>
          <w:rFonts w:ascii="Arial" w:hAnsi="Arial" w:cs="Arial"/>
          <w:color w:val="7B7B7B" w:themeColor="accent3" w:themeShade="BF"/>
          <w:sz w:val="22"/>
          <w:szCs w:val="22"/>
          <w:lang w:val="en-GB"/>
        </w:rPr>
        <w:t xml:space="preserve"> recognition is required. The foreign representative has the standing (locus standi) to make petitions, requests or submissions concerning issues such as the protection, realisation or distribution of assets or cooperation with the proceeding. </w:t>
      </w:r>
    </w:p>
    <w:p w14:paraId="43464811" w14:textId="7A4798BA" w:rsidR="00894369" w:rsidRDefault="00894369" w:rsidP="00707FC8">
      <w:pPr>
        <w:jc w:val="both"/>
        <w:rPr>
          <w:rFonts w:ascii="Arial" w:hAnsi="Arial" w:cs="Arial"/>
          <w:color w:val="7B7B7B" w:themeColor="accent3" w:themeShade="BF"/>
          <w:sz w:val="22"/>
          <w:szCs w:val="22"/>
          <w:lang w:val="en-GB"/>
        </w:rPr>
      </w:pPr>
    </w:p>
    <w:p w14:paraId="27BB0EA2" w14:textId="3BC6B5A3" w:rsidR="00894369" w:rsidRPr="009F5740" w:rsidRDefault="00894369" w:rsidP="00707FC8">
      <w:pPr>
        <w:jc w:val="both"/>
        <w:rPr>
          <w:rFonts w:ascii="Arial" w:hAnsi="Arial" w:cs="Arial"/>
          <w:sz w:val="24"/>
        </w:rPr>
      </w:pPr>
      <w:r>
        <w:rPr>
          <w:rFonts w:ascii="Arial" w:hAnsi="Arial" w:cs="Arial"/>
          <w:color w:val="7B7B7B" w:themeColor="accent3" w:themeShade="BF"/>
          <w:sz w:val="22"/>
          <w:szCs w:val="22"/>
          <w:lang w:val="en-GB"/>
        </w:rPr>
        <w:t xml:space="preserve">Thus, in the present instance, the foreign representative can rely on the aforesaid principles </w:t>
      </w:r>
      <w:r w:rsidR="009253D3">
        <w:rPr>
          <w:rFonts w:ascii="Arial" w:hAnsi="Arial" w:cs="Arial"/>
          <w:color w:val="7B7B7B" w:themeColor="accent3" w:themeShade="BF"/>
          <w:sz w:val="22"/>
          <w:szCs w:val="22"/>
          <w:lang w:val="en-GB"/>
        </w:rPr>
        <w:t>to evaluate the scope of the initiating the recogn</w:t>
      </w:r>
      <w:r w:rsidR="001E0E7D">
        <w:rPr>
          <w:rFonts w:ascii="Arial" w:hAnsi="Arial" w:cs="Arial"/>
          <w:color w:val="7B7B7B" w:themeColor="accent3" w:themeShade="BF"/>
          <w:sz w:val="22"/>
          <w:szCs w:val="22"/>
          <w:lang w:val="en-GB"/>
        </w:rPr>
        <w:t xml:space="preserve">ition proceedings in State A. </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list and briefly explain (with reference to relevant MLCBI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7594532" w14:textId="582C4445" w:rsidR="00622C2B" w:rsidRDefault="00622C2B" w:rsidP="00707FC8">
      <w:pPr>
        <w:jc w:val="both"/>
        <w:rPr>
          <w:rFonts w:ascii="Arial" w:hAnsi="Arial" w:cs="Arial"/>
          <w:sz w:val="22"/>
          <w:szCs w:val="22"/>
        </w:rPr>
      </w:pPr>
    </w:p>
    <w:p w14:paraId="7940D274" w14:textId="10344582" w:rsidR="00DF75F8" w:rsidRDefault="00E30653" w:rsidP="00707FC8">
      <w:pPr>
        <w:jc w:val="both"/>
        <w:rPr>
          <w:rFonts w:ascii="Arial" w:hAnsi="Arial" w:cs="Arial"/>
          <w:color w:val="7B7B7B" w:themeColor="accent3" w:themeShade="BF"/>
          <w:sz w:val="22"/>
          <w:szCs w:val="22"/>
          <w:lang w:val="en-GB"/>
        </w:rPr>
      </w:pPr>
      <w:r w:rsidRPr="000D1B99">
        <w:rPr>
          <w:rFonts w:ascii="Arial" w:hAnsi="Arial" w:cs="Arial"/>
          <w:color w:val="7B7B7B" w:themeColor="accent3" w:themeShade="BF"/>
          <w:sz w:val="22"/>
          <w:szCs w:val="22"/>
          <w:lang w:val="en-GB"/>
        </w:rPr>
        <w:t xml:space="preserve">As identified in the UNCITRAL Guide to Enactment, </w:t>
      </w:r>
      <w:r w:rsidR="000D1B99" w:rsidRPr="000D1B99">
        <w:rPr>
          <w:rFonts w:ascii="Arial" w:hAnsi="Arial" w:cs="Arial"/>
          <w:color w:val="7B7B7B" w:themeColor="accent3" w:themeShade="BF"/>
          <w:sz w:val="22"/>
          <w:szCs w:val="22"/>
          <w:lang w:val="en-GB"/>
        </w:rPr>
        <w:t>both the definitions of a foreign proceeding and a foreign representative are illustrative and list characteristics while limiting the scope of the application of the MLCBI</w:t>
      </w:r>
      <w:r w:rsidR="000D1B99">
        <w:rPr>
          <w:rFonts w:ascii="Arial" w:hAnsi="Arial" w:cs="Arial"/>
          <w:color w:val="7B7B7B" w:themeColor="accent3" w:themeShade="BF"/>
          <w:sz w:val="22"/>
          <w:szCs w:val="22"/>
          <w:lang w:val="en-GB"/>
        </w:rPr>
        <w:t>.</w:t>
      </w:r>
      <w:r w:rsidR="000D1B99" w:rsidRPr="000D1B99">
        <w:rPr>
          <w:rFonts w:ascii="Arial" w:hAnsi="Arial" w:cs="Arial"/>
          <w:color w:val="7B7B7B" w:themeColor="accent3" w:themeShade="BF"/>
          <w:sz w:val="22"/>
          <w:szCs w:val="22"/>
          <w:lang w:val="en-GB"/>
        </w:rPr>
        <w:t xml:space="preserve"> </w:t>
      </w:r>
      <w:r w:rsidR="00701E5D">
        <w:rPr>
          <w:rFonts w:ascii="Arial" w:hAnsi="Arial" w:cs="Arial"/>
          <w:color w:val="7B7B7B" w:themeColor="accent3" w:themeShade="BF"/>
          <w:sz w:val="22"/>
          <w:szCs w:val="22"/>
          <w:lang w:val="en-GB"/>
        </w:rPr>
        <w:t xml:space="preserve">Section 2(a) of the MLCBI defines a foreign proceeding </w:t>
      </w:r>
      <w:r w:rsidR="007D3A2A">
        <w:rPr>
          <w:rFonts w:ascii="Arial" w:hAnsi="Arial" w:cs="Arial"/>
          <w:color w:val="7B7B7B" w:themeColor="accent3" w:themeShade="BF"/>
          <w:sz w:val="22"/>
          <w:szCs w:val="22"/>
          <w:lang w:val="en-GB"/>
        </w:rPr>
        <w:t xml:space="preserve">to mean </w:t>
      </w:r>
      <w:r w:rsidR="00404E2A">
        <w:rPr>
          <w:rFonts w:ascii="Arial" w:hAnsi="Arial" w:cs="Arial"/>
          <w:i/>
          <w:iCs/>
          <w:color w:val="7B7B7B" w:themeColor="accent3" w:themeShade="BF"/>
          <w:sz w:val="22"/>
          <w:szCs w:val="22"/>
          <w:lang w:val="en-GB"/>
        </w:rPr>
        <w:t xml:space="preserve">a proceeding (including an interim proceeding), </w:t>
      </w:r>
      <w:r w:rsidR="005D040C">
        <w:rPr>
          <w:rFonts w:ascii="Arial" w:hAnsi="Arial" w:cs="Arial"/>
          <w:i/>
          <w:iCs/>
          <w:color w:val="7B7B7B" w:themeColor="accent3" w:themeShade="BF"/>
          <w:sz w:val="22"/>
          <w:szCs w:val="22"/>
          <w:lang w:val="en-GB"/>
        </w:rPr>
        <w:t xml:space="preserve">that is either judicial or administrative, collective in nature, in a foreign state authorised or conducting under a law relating to the insolvency in which the assets and affairs of the corporate debtor are subject to control or supervision by a foreign court for the purpose of reorganisation or liquidation. </w:t>
      </w:r>
      <w:r w:rsidR="006E2940">
        <w:rPr>
          <w:rFonts w:ascii="Arial" w:hAnsi="Arial" w:cs="Arial"/>
          <w:color w:val="7B7B7B" w:themeColor="accent3" w:themeShade="BF"/>
          <w:sz w:val="22"/>
          <w:szCs w:val="22"/>
          <w:lang w:val="en-GB"/>
        </w:rPr>
        <w:t xml:space="preserve"> </w:t>
      </w:r>
    </w:p>
    <w:p w14:paraId="763D370E" w14:textId="2576103E" w:rsidR="006E2940" w:rsidRDefault="006E2940" w:rsidP="00707FC8">
      <w:pPr>
        <w:jc w:val="both"/>
        <w:rPr>
          <w:rFonts w:ascii="Arial" w:hAnsi="Arial" w:cs="Arial"/>
          <w:color w:val="7B7B7B" w:themeColor="accent3" w:themeShade="BF"/>
          <w:sz w:val="22"/>
          <w:szCs w:val="22"/>
          <w:lang w:val="en-GB"/>
        </w:rPr>
      </w:pPr>
    </w:p>
    <w:p w14:paraId="3D59F39D" w14:textId="3E58A045" w:rsidR="006E2940" w:rsidRDefault="006E294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is a </w:t>
      </w:r>
      <w:r>
        <w:rPr>
          <w:rFonts w:ascii="Arial" w:hAnsi="Arial" w:cs="Arial"/>
          <w:i/>
          <w:iCs/>
          <w:color w:val="7B7B7B" w:themeColor="accent3" w:themeShade="BF"/>
          <w:sz w:val="22"/>
          <w:szCs w:val="22"/>
          <w:lang w:val="en-GB"/>
        </w:rPr>
        <w:t xml:space="preserve">person or a body, including on appointed on an interim basis authorised in a foreign proceeding to administer the </w:t>
      </w:r>
      <w:proofErr w:type="spellStart"/>
      <w:r>
        <w:rPr>
          <w:rFonts w:ascii="Arial" w:hAnsi="Arial" w:cs="Arial"/>
          <w:i/>
          <w:iCs/>
          <w:color w:val="7B7B7B" w:themeColor="accent3" w:themeShade="BF"/>
          <w:sz w:val="22"/>
          <w:szCs w:val="22"/>
          <w:lang w:val="en-GB"/>
        </w:rPr>
        <w:t>reorgansiation</w:t>
      </w:r>
      <w:proofErr w:type="spellEnd"/>
      <w:r>
        <w:rPr>
          <w:rFonts w:ascii="Arial" w:hAnsi="Arial" w:cs="Arial"/>
          <w:i/>
          <w:iCs/>
          <w:color w:val="7B7B7B" w:themeColor="accent3" w:themeShade="BF"/>
          <w:sz w:val="22"/>
          <w:szCs w:val="22"/>
          <w:lang w:val="en-GB"/>
        </w:rPr>
        <w:t xml:space="preserve"> or liquidation of the debtors assets or affairs or act as a representative of the foreign proceeding. </w:t>
      </w:r>
      <w:r>
        <w:rPr>
          <w:rFonts w:ascii="Arial" w:hAnsi="Arial" w:cs="Arial"/>
          <w:color w:val="7B7B7B" w:themeColor="accent3" w:themeShade="BF"/>
          <w:sz w:val="22"/>
          <w:szCs w:val="22"/>
          <w:lang w:val="en-GB"/>
        </w:rPr>
        <w:t xml:space="preserve">The </w:t>
      </w:r>
      <w:r w:rsidR="00A2383A">
        <w:rPr>
          <w:rFonts w:ascii="Arial" w:hAnsi="Arial" w:cs="Arial"/>
          <w:color w:val="7B7B7B" w:themeColor="accent3" w:themeShade="BF"/>
          <w:sz w:val="22"/>
          <w:szCs w:val="22"/>
          <w:lang w:val="en-GB"/>
        </w:rPr>
        <w:t>MLCBI does not specify that the foreign representative must be authorised by a foreign court (in this case State A)</w:t>
      </w:r>
    </w:p>
    <w:p w14:paraId="690957B9" w14:textId="26773A30" w:rsidR="000F3B43" w:rsidRDefault="000F3B43" w:rsidP="00707FC8">
      <w:pPr>
        <w:jc w:val="both"/>
        <w:rPr>
          <w:rFonts w:ascii="Arial" w:hAnsi="Arial" w:cs="Arial"/>
          <w:color w:val="7B7B7B" w:themeColor="accent3" w:themeShade="BF"/>
          <w:sz w:val="22"/>
          <w:szCs w:val="22"/>
          <w:lang w:val="en-GB"/>
        </w:rPr>
      </w:pPr>
    </w:p>
    <w:p w14:paraId="46FFFF15" w14:textId="1E6533AC" w:rsidR="000F3B43" w:rsidRPr="006E2940" w:rsidRDefault="000F3B43"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For a recognition application to be successful reciprocity is not a barrier – it is important that the foreign proceeding and the foreign representative meet the criteria set out above and </w:t>
      </w:r>
      <w:r w:rsidR="00826563">
        <w:rPr>
          <w:rFonts w:ascii="Arial" w:hAnsi="Arial" w:cs="Arial"/>
          <w:color w:val="7B7B7B" w:themeColor="accent3" w:themeShade="BF"/>
          <w:sz w:val="22"/>
          <w:szCs w:val="22"/>
          <w:lang w:val="en-GB"/>
        </w:rPr>
        <w:t>(</w:t>
      </w:r>
      <w:proofErr w:type="spellStart"/>
      <w:r w:rsidR="00826563">
        <w:rPr>
          <w:rFonts w:ascii="Arial" w:hAnsi="Arial" w:cs="Arial"/>
          <w:color w:val="7B7B7B" w:themeColor="accent3" w:themeShade="BF"/>
          <w:sz w:val="22"/>
          <w:szCs w:val="22"/>
          <w:lang w:val="en-GB"/>
        </w:rPr>
        <w:t>i</w:t>
      </w:r>
      <w:proofErr w:type="spellEnd"/>
      <w:r w:rsidR="00826563">
        <w:rPr>
          <w:rFonts w:ascii="Arial" w:hAnsi="Arial" w:cs="Arial"/>
          <w:color w:val="7B7B7B" w:themeColor="accent3" w:themeShade="BF"/>
          <w:sz w:val="22"/>
          <w:szCs w:val="22"/>
          <w:lang w:val="en-GB"/>
        </w:rPr>
        <w:t>) the public policy exception under Article 6 has not been violated</w:t>
      </w:r>
      <w:r w:rsidR="004758A9">
        <w:rPr>
          <w:rFonts w:ascii="Arial" w:hAnsi="Arial" w:cs="Arial"/>
          <w:color w:val="7B7B7B" w:themeColor="accent3" w:themeShade="BF"/>
          <w:sz w:val="22"/>
          <w:szCs w:val="22"/>
          <w:lang w:val="en-GB"/>
        </w:rPr>
        <w:t xml:space="preserve"> with </w:t>
      </w:r>
      <w:r w:rsidR="00826563">
        <w:rPr>
          <w:rFonts w:ascii="Arial" w:hAnsi="Arial" w:cs="Arial"/>
          <w:color w:val="7B7B7B" w:themeColor="accent3" w:themeShade="BF"/>
          <w:sz w:val="22"/>
          <w:szCs w:val="22"/>
          <w:lang w:val="en-GB"/>
        </w:rPr>
        <w:t>(ii)</w:t>
      </w:r>
      <w:r w:rsidR="004758A9">
        <w:rPr>
          <w:rFonts w:ascii="Arial" w:hAnsi="Arial" w:cs="Arial"/>
          <w:color w:val="7B7B7B" w:themeColor="accent3" w:themeShade="BF"/>
          <w:sz w:val="22"/>
          <w:szCs w:val="22"/>
          <w:lang w:val="en-GB"/>
        </w:rPr>
        <w:t xml:space="preserve"> the determination of the fact that the centre of main interests is </w:t>
      </w:r>
      <w:r w:rsidR="000E0998">
        <w:rPr>
          <w:rFonts w:ascii="Arial" w:hAnsi="Arial" w:cs="Arial"/>
          <w:color w:val="7B7B7B" w:themeColor="accent3" w:themeShade="BF"/>
          <w:sz w:val="22"/>
          <w:szCs w:val="22"/>
          <w:lang w:val="en-GB"/>
        </w:rPr>
        <w:t>in the state in which the foreign proceedings are opened – i.e. the determination of a foreign main proceedings. In the instant case as</w:t>
      </w:r>
      <w:r w:rsidR="00BC4901">
        <w:rPr>
          <w:rFonts w:ascii="Arial" w:hAnsi="Arial" w:cs="Arial"/>
          <w:color w:val="7B7B7B" w:themeColor="accent3" w:themeShade="BF"/>
          <w:sz w:val="22"/>
          <w:szCs w:val="22"/>
          <w:lang w:val="en-GB"/>
        </w:rPr>
        <w:t xml:space="preserve"> well, the court of State A will have to determine the existence of assets and establishment to </w:t>
      </w:r>
      <w:r w:rsidR="00394F9B">
        <w:rPr>
          <w:rFonts w:ascii="Arial" w:hAnsi="Arial" w:cs="Arial"/>
          <w:color w:val="7B7B7B" w:themeColor="accent3" w:themeShade="BF"/>
          <w:sz w:val="22"/>
          <w:szCs w:val="22"/>
          <w:lang w:val="en-GB"/>
        </w:rPr>
        <w:t xml:space="preserve">recognise the proceedings – in the absence of which the application of recognition will be denied. </w:t>
      </w:r>
    </w:p>
    <w:p w14:paraId="3DAA6780" w14:textId="657CEFE1" w:rsidR="00962045" w:rsidRDefault="00962045" w:rsidP="00707FC8">
      <w:pPr>
        <w:jc w:val="both"/>
        <w:rPr>
          <w:rFonts w:ascii="Arial" w:hAnsi="Arial" w:cs="Arial"/>
          <w:sz w:val="22"/>
          <w:szCs w:val="22"/>
          <w:shd w:val="clear" w:color="auto" w:fill="FFFFFF"/>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E83D7AF" w14:textId="1B3453D4" w:rsidR="00DF75F8" w:rsidRDefault="004A660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19-24 of the MLCBI provision for powers of a court to grant relief pre and post a </w:t>
      </w:r>
      <w:r w:rsidR="00B65446">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application</w:t>
      </w:r>
      <w:r w:rsidR="00B65446">
        <w:rPr>
          <w:rFonts w:ascii="Arial" w:hAnsi="Arial" w:cs="Arial"/>
          <w:color w:val="7B7B7B" w:themeColor="accent3" w:themeShade="BF"/>
          <w:sz w:val="22"/>
          <w:szCs w:val="22"/>
          <w:lang w:val="en-GB"/>
        </w:rPr>
        <w:t xml:space="preserve"> – in the present instance the case of the State A insolvency court. Article 19 provides for interim relief </w:t>
      </w:r>
      <w:r w:rsidR="00B7370C">
        <w:rPr>
          <w:rFonts w:ascii="Arial" w:hAnsi="Arial" w:cs="Arial"/>
          <w:color w:val="7B7B7B" w:themeColor="accent3" w:themeShade="BF"/>
          <w:sz w:val="22"/>
          <w:szCs w:val="22"/>
          <w:lang w:val="en-GB"/>
        </w:rPr>
        <w:t>upon the recognition of a foreign proceeding application</w:t>
      </w:r>
      <w:r w:rsidR="00202478">
        <w:rPr>
          <w:rFonts w:ascii="Arial" w:hAnsi="Arial" w:cs="Arial"/>
          <w:color w:val="7B7B7B" w:themeColor="accent3" w:themeShade="BF"/>
          <w:sz w:val="22"/>
          <w:szCs w:val="22"/>
          <w:lang w:val="en-GB"/>
        </w:rPr>
        <w:t xml:space="preserve"> and article 21 provides for post recognition relief. Article 20 lists a circumstance where automatic mandatory relief can be provided and the court must be satisfied on grounds of adequate protection of the assets. </w:t>
      </w:r>
      <w:r w:rsidR="00350CED">
        <w:rPr>
          <w:rFonts w:ascii="Arial" w:hAnsi="Arial" w:cs="Arial"/>
          <w:color w:val="7B7B7B" w:themeColor="accent3" w:themeShade="BF"/>
          <w:sz w:val="22"/>
          <w:szCs w:val="22"/>
          <w:lang w:val="en-GB"/>
        </w:rPr>
        <w:t xml:space="preserve">Powers of the foreign representative pre and post recognition are also different vis a vis limits. </w:t>
      </w:r>
    </w:p>
    <w:p w14:paraId="4180A0D7" w14:textId="7EA7341D" w:rsidR="00137335" w:rsidRDefault="00137335" w:rsidP="00707FC8">
      <w:pPr>
        <w:jc w:val="both"/>
        <w:rPr>
          <w:rFonts w:ascii="Arial" w:hAnsi="Arial" w:cs="Arial"/>
          <w:color w:val="7B7B7B" w:themeColor="accent3" w:themeShade="BF"/>
          <w:sz w:val="22"/>
          <w:szCs w:val="22"/>
          <w:lang w:val="en-GB"/>
        </w:rPr>
      </w:pPr>
    </w:p>
    <w:p w14:paraId="6F873ED5" w14:textId="41AF339C" w:rsidR="00137335" w:rsidRDefault="0013733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post recognition reliefs (Article 21 read with Article 20) could be: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staying the commencement or continuation of individual actions or proceedings concerning the debtors assets, rights, obligations or liability, (ii) staying the execution against the debtors assets, (iii) suspending the right to transfer, encumber or dispose assets of the debtor, (iv)</w:t>
      </w:r>
      <w:r w:rsidR="00EE03D3">
        <w:rPr>
          <w:rFonts w:ascii="Arial" w:hAnsi="Arial" w:cs="Arial"/>
          <w:color w:val="7B7B7B" w:themeColor="accent3" w:themeShade="BF"/>
          <w:sz w:val="22"/>
          <w:szCs w:val="22"/>
          <w:lang w:val="en-GB"/>
        </w:rPr>
        <w:t xml:space="preserve">providing the examination of witnesses or the delivery of information concerning the assets, affairs, rights, obligations or liabilities, </w:t>
      </w:r>
      <w:r w:rsidR="00724C4B">
        <w:rPr>
          <w:rFonts w:ascii="Arial" w:hAnsi="Arial" w:cs="Arial"/>
          <w:color w:val="7B7B7B" w:themeColor="accent3" w:themeShade="BF"/>
          <w:sz w:val="22"/>
          <w:szCs w:val="22"/>
          <w:lang w:val="en-GB"/>
        </w:rPr>
        <w:t>(v)</w:t>
      </w:r>
      <w:r w:rsidR="00A726E7">
        <w:rPr>
          <w:rFonts w:ascii="Arial" w:hAnsi="Arial" w:cs="Arial"/>
          <w:color w:val="7B7B7B" w:themeColor="accent3" w:themeShade="BF"/>
          <w:sz w:val="22"/>
          <w:szCs w:val="22"/>
          <w:lang w:val="en-GB"/>
        </w:rPr>
        <w:t xml:space="preserve"> interim reliefs</w:t>
      </w:r>
      <w:r w:rsidR="00ED2B3D">
        <w:rPr>
          <w:rFonts w:ascii="Arial" w:hAnsi="Arial" w:cs="Arial"/>
          <w:color w:val="7B7B7B" w:themeColor="accent3" w:themeShade="BF"/>
          <w:sz w:val="22"/>
          <w:szCs w:val="22"/>
          <w:lang w:val="en-GB"/>
        </w:rPr>
        <w:t xml:space="preserve"> under Article 19 prior to recognition such as </w:t>
      </w:r>
      <w:r w:rsidR="00ED2B3D">
        <w:rPr>
          <w:rFonts w:ascii="Arial" w:hAnsi="Arial" w:cs="Arial"/>
          <w:color w:val="7B7B7B" w:themeColor="accent3" w:themeShade="BF"/>
          <w:sz w:val="22"/>
          <w:szCs w:val="22"/>
          <w:lang w:val="en-GB"/>
        </w:rPr>
        <w:lastRenderedPageBreak/>
        <w:t>entrusting the administration or realisation of debtors assets (all or in part) to the foreign representative.</w:t>
      </w:r>
    </w:p>
    <w:p w14:paraId="795BC508" w14:textId="50A2AA2F" w:rsidR="00B35392" w:rsidRDefault="00B35392" w:rsidP="00707FC8">
      <w:pPr>
        <w:jc w:val="both"/>
        <w:rPr>
          <w:rFonts w:ascii="Arial" w:hAnsi="Arial" w:cs="Arial"/>
          <w:color w:val="7B7B7B" w:themeColor="accent3" w:themeShade="BF"/>
          <w:sz w:val="22"/>
          <w:szCs w:val="22"/>
          <w:lang w:val="en-GB"/>
        </w:rPr>
      </w:pPr>
    </w:p>
    <w:p w14:paraId="0B67A4AB" w14:textId="6BBD0035" w:rsidR="00B35392" w:rsidRPr="00133AA5" w:rsidRDefault="00B35392"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MLCBI places restrictions on relief and a determination of what is </w:t>
      </w:r>
      <w:r>
        <w:rPr>
          <w:rFonts w:ascii="Arial" w:hAnsi="Arial" w:cs="Arial"/>
          <w:i/>
          <w:iCs/>
          <w:color w:val="7B7B7B" w:themeColor="accent3" w:themeShade="BF"/>
          <w:sz w:val="22"/>
          <w:szCs w:val="22"/>
          <w:lang w:val="en-GB"/>
        </w:rPr>
        <w:t>appropriate relief</w:t>
      </w:r>
      <w:r w:rsidR="00651774">
        <w:rPr>
          <w:rFonts w:ascii="Arial" w:hAnsi="Arial" w:cs="Arial"/>
          <w:i/>
          <w:iCs/>
          <w:color w:val="7B7B7B" w:themeColor="accent3" w:themeShade="BF"/>
          <w:sz w:val="22"/>
          <w:szCs w:val="22"/>
          <w:lang w:val="en-GB"/>
        </w:rPr>
        <w:t xml:space="preserve"> </w:t>
      </w:r>
      <w:r w:rsidR="00651774">
        <w:rPr>
          <w:rFonts w:ascii="Arial" w:hAnsi="Arial" w:cs="Arial"/>
          <w:color w:val="7B7B7B" w:themeColor="accent3" w:themeShade="BF"/>
          <w:sz w:val="22"/>
          <w:szCs w:val="22"/>
          <w:lang w:val="en-GB"/>
        </w:rPr>
        <w:t xml:space="preserve">in issues of moratorium, governing and applicable law to name a few. </w:t>
      </w:r>
      <w:r w:rsidR="00964EFC">
        <w:rPr>
          <w:rFonts w:ascii="Arial" w:hAnsi="Arial" w:cs="Arial"/>
          <w:color w:val="7B7B7B" w:themeColor="accent3" w:themeShade="BF"/>
          <w:sz w:val="22"/>
          <w:szCs w:val="22"/>
          <w:lang w:val="en-GB"/>
        </w:rPr>
        <w:t xml:space="preserve">Cases of </w:t>
      </w:r>
      <w:r w:rsidR="00964EFC" w:rsidRPr="00964EFC">
        <w:rPr>
          <w:rFonts w:ascii="Arial" w:hAnsi="Arial" w:cs="Arial"/>
          <w:i/>
          <w:iCs/>
          <w:color w:val="7B7B7B" w:themeColor="accent3" w:themeShade="BF"/>
          <w:sz w:val="22"/>
          <w:szCs w:val="22"/>
          <w:lang w:val="en-GB"/>
        </w:rPr>
        <w:t xml:space="preserve">Rubin v. </w:t>
      </w:r>
      <w:proofErr w:type="spellStart"/>
      <w:r w:rsidR="00964EFC" w:rsidRPr="00964EFC">
        <w:rPr>
          <w:rFonts w:ascii="Arial" w:hAnsi="Arial" w:cs="Arial"/>
          <w:i/>
          <w:iCs/>
          <w:color w:val="7B7B7B" w:themeColor="accent3" w:themeShade="BF"/>
          <w:sz w:val="22"/>
          <w:szCs w:val="22"/>
          <w:lang w:val="en-GB"/>
        </w:rPr>
        <w:t>Eurofinance</w:t>
      </w:r>
      <w:proofErr w:type="spellEnd"/>
      <w:r w:rsidR="00964EFC" w:rsidRPr="00964EFC">
        <w:rPr>
          <w:rFonts w:ascii="Arial" w:hAnsi="Arial" w:cs="Arial"/>
          <w:i/>
          <w:iCs/>
          <w:color w:val="7B7B7B" w:themeColor="accent3" w:themeShade="BF"/>
          <w:sz w:val="22"/>
          <w:szCs w:val="22"/>
          <w:lang w:val="en-GB"/>
        </w:rPr>
        <w:t xml:space="preserve"> SA</w:t>
      </w:r>
      <w:r w:rsidR="00964EFC">
        <w:rPr>
          <w:rFonts w:ascii="Arial" w:hAnsi="Arial" w:cs="Arial"/>
          <w:i/>
          <w:iCs/>
          <w:color w:val="7B7B7B" w:themeColor="accent3" w:themeShade="BF"/>
          <w:sz w:val="22"/>
          <w:szCs w:val="22"/>
          <w:lang w:val="en-GB"/>
        </w:rPr>
        <w:t>,</w:t>
      </w:r>
      <w:r w:rsidR="008313ED">
        <w:rPr>
          <w:rFonts w:ascii="Arial" w:hAnsi="Arial" w:cs="Arial"/>
          <w:i/>
          <w:iCs/>
          <w:color w:val="7B7B7B" w:themeColor="accent3" w:themeShade="BF"/>
          <w:sz w:val="22"/>
          <w:szCs w:val="22"/>
          <w:lang w:val="en-GB"/>
        </w:rPr>
        <w:t xml:space="preserve"> </w:t>
      </w:r>
      <w:proofErr w:type="spellStart"/>
      <w:r w:rsidR="008313ED">
        <w:rPr>
          <w:rFonts w:ascii="Arial" w:hAnsi="Arial" w:cs="Arial"/>
          <w:i/>
          <w:iCs/>
          <w:color w:val="7B7B7B" w:themeColor="accent3" w:themeShade="BF"/>
          <w:sz w:val="22"/>
          <w:szCs w:val="22"/>
          <w:lang w:val="en-GB"/>
        </w:rPr>
        <w:t>Fibria</w:t>
      </w:r>
      <w:proofErr w:type="spellEnd"/>
      <w:r w:rsidR="008313ED">
        <w:rPr>
          <w:rFonts w:ascii="Arial" w:hAnsi="Arial" w:cs="Arial"/>
          <w:i/>
          <w:iCs/>
          <w:color w:val="7B7B7B" w:themeColor="accent3" w:themeShade="BF"/>
          <w:sz w:val="22"/>
          <w:szCs w:val="22"/>
          <w:lang w:val="en-GB"/>
        </w:rPr>
        <w:t xml:space="preserve"> </w:t>
      </w:r>
      <w:proofErr w:type="spellStart"/>
      <w:r w:rsidR="008313ED">
        <w:rPr>
          <w:rFonts w:ascii="Arial" w:hAnsi="Arial" w:cs="Arial"/>
          <w:i/>
          <w:iCs/>
          <w:color w:val="7B7B7B" w:themeColor="accent3" w:themeShade="BF"/>
          <w:sz w:val="22"/>
          <w:szCs w:val="22"/>
          <w:lang w:val="en-GB"/>
        </w:rPr>
        <w:t>Celulose</w:t>
      </w:r>
      <w:proofErr w:type="spellEnd"/>
      <w:r w:rsidR="008313ED">
        <w:rPr>
          <w:rFonts w:ascii="Arial" w:hAnsi="Arial" w:cs="Arial"/>
          <w:i/>
          <w:iCs/>
          <w:color w:val="7B7B7B" w:themeColor="accent3" w:themeShade="BF"/>
          <w:sz w:val="22"/>
          <w:szCs w:val="22"/>
          <w:lang w:val="en-GB"/>
        </w:rPr>
        <w:t xml:space="preserve"> S/A v. Pan Ocean Co</w:t>
      </w:r>
      <w:r w:rsidR="00133AA5">
        <w:rPr>
          <w:rFonts w:ascii="Arial" w:hAnsi="Arial" w:cs="Arial"/>
          <w:i/>
          <w:iCs/>
          <w:color w:val="7B7B7B" w:themeColor="accent3" w:themeShade="BF"/>
          <w:sz w:val="22"/>
          <w:szCs w:val="22"/>
          <w:lang w:val="en-GB"/>
        </w:rPr>
        <w:t xml:space="preserve"> and the application of the Gibbs Rule </w:t>
      </w:r>
      <w:r w:rsidR="00133AA5">
        <w:rPr>
          <w:rFonts w:ascii="Arial" w:hAnsi="Arial" w:cs="Arial"/>
          <w:color w:val="7B7B7B" w:themeColor="accent3" w:themeShade="BF"/>
          <w:sz w:val="22"/>
          <w:szCs w:val="22"/>
          <w:lang w:val="en-GB"/>
        </w:rPr>
        <w:t xml:space="preserve">provide for some such limitations. </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Global Shipping Company (“GSC”) is a shipping company incorporated under the laws of the Cayman Islands,</w:t>
      </w:r>
      <w:r>
        <w:rPr>
          <w:rStyle w:val="FootnoteReference"/>
          <w:rFonts w:ascii="Arial" w:hAnsi="Arial" w:cs="Arial"/>
          <w:sz w:val="22"/>
          <w:szCs w:val="22"/>
          <w:lang w:val="en-GB"/>
        </w:rPr>
        <w:footnoteReference w:id="2"/>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3"/>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4"/>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Default="002F75A3" w:rsidP="00707FC8">
      <w:pPr>
        <w:jc w:val="both"/>
        <w:rPr>
          <w:rFonts w:ascii="Arial" w:hAnsi="Arial" w:cs="Arial"/>
          <w:sz w:val="22"/>
          <w:szCs w:val="22"/>
          <w:lang w:val="en-GB"/>
        </w:rPr>
      </w:pPr>
    </w:p>
    <w:p w14:paraId="0D37BBBB" w14:textId="25B12AE7" w:rsidR="002F75A3" w:rsidRDefault="005F4DF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answer this question, we need to first </w:t>
      </w:r>
      <w:r w:rsidR="00817052">
        <w:rPr>
          <w:rFonts w:ascii="Arial" w:hAnsi="Arial" w:cs="Arial"/>
          <w:color w:val="7B7B7B" w:themeColor="accent3" w:themeShade="BF"/>
          <w:sz w:val="22"/>
          <w:szCs w:val="22"/>
          <w:lang w:val="en-GB"/>
        </w:rPr>
        <w:t xml:space="preserve">start with the definition of a foreign </w:t>
      </w:r>
      <w:r w:rsidR="00C3070B">
        <w:rPr>
          <w:rFonts w:ascii="Arial" w:hAnsi="Arial" w:cs="Arial"/>
          <w:color w:val="7B7B7B" w:themeColor="accent3" w:themeShade="BF"/>
          <w:sz w:val="22"/>
          <w:szCs w:val="22"/>
          <w:lang w:val="en-GB"/>
        </w:rPr>
        <w:t xml:space="preserve">main </w:t>
      </w:r>
      <w:r w:rsidR="00817052">
        <w:rPr>
          <w:rFonts w:ascii="Arial" w:hAnsi="Arial" w:cs="Arial"/>
          <w:color w:val="7B7B7B" w:themeColor="accent3" w:themeShade="BF"/>
          <w:sz w:val="22"/>
          <w:szCs w:val="22"/>
          <w:lang w:val="en-GB"/>
        </w:rPr>
        <w:t xml:space="preserve">proceeding </w:t>
      </w:r>
      <w:r w:rsidR="005B0A04">
        <w:rPr>
          <w:rFonts w:ascii="Arial" w:hAnsi="Arial" w:cs="Arial"/>
          <w:color w:val="7B7B7B" w:themeColor="accent3" w:themeShade="BF"/>
          <w:sz w:val="22"/>
          <w:szCs w:val="22"/>
          <w:lang w:val="en-GB"/>
        </w:rPr>
        <w:t xml:space="preserve">which includes the term </w:t>
      </w:r>
      <w:r w:rsidR="005B0A04">
        <w:rPr>
          <w:rFonts w:ascii="Arial" w:hAnsi="Arial" w:cs="Arial"/>
          <w:i/>
          <w:iCs/>
          <w:color w:val="7B7B7B" w:themeColor="accent3" w:themeShade="BF"/>
          <w:sz w:val="22"/>
          <w:szCs w:val="22"/>
          <w:lang w:val="en-GB"/>
        </w:rPr>
        <w:t xml:space="preserve">centre of main interest </w:t>
      </w:r>
      <w:r w:rsidR="005B0A04">
        <w:rPr>
          <w:rFonts w:ascii="Arial" w:hAnsi="Arial" w:cs="Arial"/>
          <w:color w:val="7B7B7B" w:themeColor="accent3" w:themeShade="BF"/>
          <w:sz w:val="22"/>
          <w:szCs w:val="22"/>
          <w:lang w:val="en-GB"/>
        </w:rPr>
        <w:t>(COMI). While COMI is not specifically defined under the MLCBI</w:t>
      </w:r>
      <w:r w:rsidR="00F11DC2">
        <w:rPr>
          <w:rFonts w:ascii="Arial" w:hAnsi="Arial" w:cs="Arial"/>
          <w:color w:val="7B7B7B" w:themeColor="accent3" w:themeShade="BF"/>
          <w:sz w:val="22"/>
          <w:szCs w:val="22"/>
          <w:lang w:val="en-GB"/>
        </w:rPr>
        <w:t>, for the determination of a foreign non-</w:t>
      </w:r>
      <w:r w:rsidR="00D86592">
        <w:rPr>
          <w:rFonts w:ascii="Arial" w:hAnsi="Arial" w:cs="Arial"/>
          <w:color w:val="7B7B7B" w:themeColor="accent3" w:themeShade="BF"/>
          <w:sz w:val="22"/>
          <w:szCs w:val="22"/>
          <w:lang w:val="en-GB"/>
        </w:rPr>
        <w:t xml:space="preserve">main proceeding the determination of </w:t>
      </w:r>
      <w:r w:rsidR="00D86592" w:rsidRPr="00D86592">
        <w:rPr>
          <w:rFonts w:ascii="Arial" w:hAnsi="Arial" w:cs="Arial"/>
          <w:i/>
          <w:iCs/>
          <w:color w:val="7B7B7B" w:themeColor="accent3" w:themeShade="BF"/>
          <w:sz w:val="22"/>
          <w:szCs w:val="22"/>
          <w:lang w:val="en-GB"/>
        </w:rPr>
        <w:t>establishment</w:t>
      </w:r>
      <w:r w:rsidR="00A213B5">
        <w:rPr>
          <w:rFonts w:ascii="Arial" w:hAnsi="Arial" w:cs="Arial"/>
          <w:i/>
          <w:iCs/>
          <w:color w:val="7B7B7B" w:themeColor="accent3" w:themeShade="BF"/>
          <w:sz w:val="22"/>
          <w:szCs w:val="22"/>
          <w:lang w:val="en-GB"/>
        </w:rPr>
        <w:t xml:space="preserve">. </w:t>
      </w:r>
      <w:r w:rsidR="00AD5288">
        <w:rPr>
          <w:rFonts w:ascii="Arial" w:hAnsi="Arial" w:cs="Arial"/>
          <w:color w:val="7B7B7B" w:themeColor="accent3" w:themeShade="BF"/>
          <w:sz w:val="22"/>
          <w:szCs w:val="22"/>
          <w:lang w:val="en-GB"/>
        </w:rPr>
        <w:t>Supplemented</w:t>
      </w:r>
      <w:r w:rsidR="003B4288">
        <w:rPr>
          <w:rFonts w:ascii="Arial" w:hAnsi="Arial" w:cs="Arial"/>
          <w:color w:val="7B7B7B" w:themeColor="accent3" w:themeShade="BF"/>
          <w:sz w:val="22"/>
          <w:szCs w:val="22"/>
          <w:lang w:val="en-GB"/>
        </w:rPr>
        <w:t xml:space="preserve"> </w:t>
      </w:r>
      <w:r w:rsidR="00AD5288">
        <w:rPr>
          <w:rFonts w:ascii="Arial" w:hAnsi="Arial" w:cs="Arial"/>
          <w:color w:val="7B7B7B" w:themeColor="accent3" w:themeShade="BF"/>
          <w:sz w:val="22"/>
          <w:szCs w:val="22"/>
          <w:lang w:val="en-GB"/>
        </w:rPr>
        <w:t xml:space="preserve">by </w:t>
      </w:r>
      <w:r w:rsidR="003B4288">
        <w:rPr>
          <w:rFonts w:ascii="Arial" w:hAnsi="Arial" w:cs="Arial"/>
          <w:color w:val="7B7B7B" w:themeColor="accent3" w:themeShade="BF"/>
          <w:sz w:val="22"/>
          <w:szCs w:val="22"/>
          <w:lang w:val="en-GB"/>
        </w:rPr>
        <w:t>the definition</w:t>
      </w:r>
      <w:r w:rsidR="00C43EFE">
        <w:rPr>
          <w:rFonts w:ascii="Arial" w:hAnsi="Arial" w:cs="Arial"/>
          <w:color w:val="7B7B7B" w:themeColor="accent3" w:themeShade="BF"/>
          <w:sz w:val="22"/>
          <w:szCs w:val="22"/>
          <w:lang w:val="en-GB"/>
        </w:rPr>
        <w:t>al interpretation</w:t>
      </w:r>
      <w:r w:rsidR="003B4288">
        <w:rPr>
          <w:rFonts w:ascii="Arial" w:hAnsi="Arial" w:cs="Arial"/>
          <w:color w:val="7B7B7B" w:themeColor="accent3" w:themeShade="BF"/>
          <w:sz w:val="22"/>
          <w:szCs w:val="22"/>
          <w:lang w:val="en-GB"/>
        </w:rPr>
        <w:t xml:space="preserve"> in the</w:t>
      </w:r>
      <w:r w:rsidR="00C43EFE">
        <w:rPr>
          <w:rFonts w:ascii="Arial" w:hAnsi="Arial" w:cs="Arial"/>
          <w:color w:val="7B7B7B" w:themeColor="accent3" w:themeShade="BF"/>
          <w:sz w:val="22"/>
          <w:szCs w:val="22"/>
          <w:lang w:val="en-GB"/>
        </w:rPr>
        <w:t xml:space="preserve"> jurisprudence developed under the</w:t>
      </w:r>
      <w:r w:rsidR="003B4288">
        <w:rPr>
          <w:rFonts w:ascii="Arial" w:hAnsi="Arial" w:cs="Arial"/>
          <w:color w:val="7B7B7B" w:themeColor="accent3" w:themeShade="BF"/>
          <w:sz w:val="22"/>
          <w:szCs w:val="22"/>
          <w:lang w:val="en-GB"/>
        </w:rPr>
        <w:t xml:space="preserve"> European Insolvency Regulation and the </w:t>
      </w:r>
      <w:proofErr w:type="spellStart"/>
      <w:r w:rsidR="003B4288">
        <w:rPr>
          <w:rFonts w:ascii="Arial" w:hAnsi="Arial" w:cs="Arial"/>
          <w:color w:val="7B7B7B" w:themeColor="accent3" w:themeShade="BF"/>
          <w:sz w:val="22"/>
          <w:szCs w:val="22"/>
          <w:lang w:val="en-GB"/>
        </w:rPr>
        <w:t>Viri</w:t>
      </w:r>
      <w:r w:rsidR="00D67E81">
        <w:rPr>
          <w:rFonts w:ascii="Arial" w:hAnsi="Arial" w:cs="Arial"/>
          <w:color w:val="7B7B7B" w:themeColor="accent3" w:themeShade="BF"/>
          <w:sz w:val="22"/>
          <w:szCs w:val="22"/>
          <w:lang w:val="en-GB"/>
        </w:rPr>
        <w:t>gos-Schmit</w:t>
      </w:r>
      <w:proofErr w:type="spellEnd"/>
      <w:r w:rsidR="00D67E81">
        <w:rPr>
          <w:rFonts w:ascii="Arial" w:hAnsi="Arial" w:cs="Arial"/>
          <w:color w:val="7B7B7B" w:themeColor="accent3" w:themeShade="BF"/>
          <w:sz w:val="22"/>
          <w:szCs w:val="22"/>
          <w:lang w:val="en-GB"/>
        </w:rPr>
        <w:t xml:space="preserve"> Report</w:t>
      </w:r>
      <w:r w:rsidR="00C43EFE">
        <w:rPr>
          <w:rFonts w:ascii="Arial" w:hAnsi="Arial" w:cs="Arial"/>
          <w:color w:val="7B7B7B" w:themeColor="accent3" w:themeShade="BF"/>
          <w:sz w:val="22"/>
          <w:szCs w:val="22"/>
          <w:lang w:val="en-GB"/>
        </w:rPr>
        <w:t xml:space="preserve">, term establishment means </w:t>
      </w:r>
      <w:r w:rsidR="00C43EFE">
        <w:rPr>
          <w:rFonts w:ascii="Arial" w:hAnsi="Arial" w:cs="Arial"/>
          <w:i/>
          <w:iCs/>
          <w:color w:val="7B7B7B" w:themeColor="accent3" w:themeShade="BF"/>
          <w:sz w:val="22"/>
          <w:szCs w:val="22"/>
          <w:lang w:val="en-GB"/>
        </w:rPr>
        <w:t>any place of operations where the debtor carries out a non-transitory economic activity with human means and goods or services</w:t>
      </w:r>
      <w:r w:rsidR="00AD5288">
        <w:rPr>
          <w:rFonts w:ascii="Arial" w:hAnsi="Arial" w:cs="Arial"/>
          <w:i/>
          <w:iCs/>
          <w:color w:val="7B7B7B" w:themeColor="accent3" w:themeShade="BF"/>
          <w:sz w:val="22"/>
          <w:szCs w:val="22"/>
          <w:lang w:val="en-GB"/>
        </w:rPr>
        <w:t xml:space="preserve">. </w:t>
      </w:r>
      <w:r w:rsidR="00AD5288">
        <w:rPr>
          <w:rFonts w:ascii="Arial" w:hAnsi="Arial" w:cs="Arial"/>
          <w:color w:val="7B7B7B" w:themeColor="accent3" w:themeShade="BF"/>
          <w:sz w:val="22"/>
          <w:szCs w:val="22"/>
          <w:lang w:val="en-GB"/>
        </w:rPr>
        <w:t xml:space="preserve">The determination of a </w:t>
      </w:r>
      <w:r w:rsidR="00AD5288">
        <w:rPr>
          <w:rFonts w:ascii="Arial" w:hAnsi="Arial" w:cs="Arial"/>
          <w:i/>
          <w:iCs/>
          <w:color w:val="7B7B7B" w:themeColor="accent3" w:themeShade="BF"/>
          <w:sz w:val="22"/>
          <w:szCs w:val="22"/>
          <w:lang w:val="en-GB"/>
        </w:rPr>
        <w:t xml:space="preserve">main </w:t>
      </w:r>
      <w:r w:rsidR="00AD5288">
        <w:rPr>
          <w:rFonts w:ascii="Arial" w:hAnsi="Arial" w:cs="Arial"/>
          <w:color w:val="7B7B7B" w:themeColor="accent3" w:themeShade="BF"/>
          <w:sz w:val="22"/>
          <w:szCs w:val="22"/>
          <w:lang w:val="en-GB"/>
        </w:rPr>
        <w:t>proceeding is also related to the nature of relief to a foreign representative and recognition of the</w:t>
      </w:r>
      <w:r w:rsidR="00DE421A">
        <w:rPr>
          <w:rFonts w:ascii="Arial" w:hAnsi="Arial" w:cs="Arial"/>
          <w:color w:val="7B7B7B" w:themeColor="accent3" w:themeShade="BF"/>
          <w:sz w:val="22"/>
          <w:szCs w:val="22"/>
          <w:lang w:val="en-GB"/>
        </w:rPr>
        <w:t xml:space="preserve"> proceedings. </w:t>
      </w:r>
    </w:p>
    <w:p w14:paraId="18C7A18F" w14:textId="3D8DA2EC" w:rsidR="002B133C" w:rsidRDefault="002B133C" w:rsidP="00707FC8">
      <w:pPr>
        <w:jc w:val="both"/>
        <w:rPr>
          <w:rFonts w:ascii="Arial" w:hAnsi="Arial" w:cs="Arial"/>
          <w:color w:val="7B7B7B" w:themeColor="accent3" w:themeShade="BF"/>
          <w:sz w:val="22"/>
          <w:szCs w:val="22"/>
          <w:lang w:val="en-GB"/>
        </w:rPr>
      </w:pPr>
    </w:p>
    <w:p w14:paraId="58D83D0D" w14:textId="77777777" w:rsidR="00D91133" w:rsidRDefault="002B13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present instance, a deter</w:t>
      </w:r>
      <w:r w:rsidR="00EF4252">
        <w:rPr>
          <w:rFonts w:ascii="Arial" w:hAnsi="Arial" w:cs="Arial"/>
          <w:color w:val="7B7B7B" w:themeColor="accent3" w:themeShade="BF"/>
          <w:sz w:val="22"/>
          <w:szCs w:val="22"/>
          <w:lang w:val="en-GB"/>
        </w:rPr>
        <w:t>mination</w:t>
      </w:r>
      <w:r>
        <w:rPr>
          <w:rFonts w:ascii="Arial" w:hAnsi="Arial" w:cs="Arial"/>
          <w:color w:val="7B7B7B" w:themeColor="accent3" w:themeShade="BF"/>
          <w:sz w:val="22"/>
          <w:szCs w:val="22"/>
          <w:lang w:val="en-GB"/>
        </w:rPr>
        <w:t xml:space="preserve"> of the COMI </w:t>
      </w:r>
      <w:r w:rsidR="00EF4252">
        <w:rPr>
          <w:rFonts w:ascii="Arial" w:hAnsi="Arial" w:cs="Arial"/>
          <w:color w:val="7B7B7B" w:themeColor="accent3" w:themeShade="BF"/>
          <w:sz w:val="22"/>
          <w:szCs w:val="22"/>
          <w:lang w:val="en-GB"/>
        </w:rPr>
        <w:t xml:space="preserve">as set out in the UNCITRAL Guide to Enactment is the </w:t>
      </w:r>
      <w:r w:rsidR="00EF4252">
        <w:rPr>
          <w:rFonts w:ascii="Arial" w:hAnsi="Arial" w:cs="Arial"/>
          <w:i/>
          <w:iCs/>
          <w:color w:val="7B7B7B" w:themeColor="accent3" w:themeShade="BF"/>
          <w:sz w:val="22"/>
          <w:szCs w:val="22"/>
          <w:lang w:val="en-GB"/>
        </w:rPr>
        <w:t xml:space="preserve">location where the central administration of the debtor takes place and which is readily ascertainable as such by the creditors of the debtor. </w:t>
      </w:r>
      <w:r w:rsidR="00EF4252">
        <w:rPr>
          <w:rFonts w:ascii="Arial" w:hAnsi="Arial" w:cs="Arial"/>
          <w:color w:val="7B7B7B" w:themeColor="accent3" w:themeShade="BF"/>
          <w:sz w:val="22"/>
          <w:szCs w:val="22"/>
          <w:lang w:val="en-GB"/>
        </w:rPr>
        <w:t>The circumstance</w:t>
      </w:r>
      <w:r w:rsidR="00C834C1">
        <w:rPr>
          <w:rFonts w:ascii="Arial" w:hAnsi="Arial" w:cs="Arial"/>
          <w:color w:val="7B7B7B" w:themeColor="accent3" w:themeShade="BF"/>
          <w:sz w:val="22"/>
          <w:szCs w:val="22"/>
          <w:lang w:val="en-GB"/>
        </w:rPr>
        <w:t>s to</w:t>
      </w:r>
      <w:r w:rsidR="00EF4252">
        <w:rPr>
          <w:rFonts w:ascii="Arial" w:hAnsi="Arial" w:cs="Arial"/>
          <w:color w:val="7B7B7B" w:themeColor="accent3" w:themeShade="BF"/>
          <w:sz w:val="22"/>
          <w:szCs w:val="22"/>
          <w:lang w:val="en-GB"/>
        </w:rPr>
        <w:t xml:space="preserve"> determine</w:t>
      </w:r>
      <w:r w:rsidR="00C834C1">
        <w:rPr>
          <w:rFonts w:ascii="Arial" w:hAnsi="Arial" w:cs="Arial"/>
          <w:color w:val="7B7B7B" w:themeColor="accent3" w:themeShade="BF"/>
          <w:sz w:val="22"/>
          <w:szCs w:val="22"/>
          <w:lang w:val="en-GB"/>
        </w:rPr>
        <w:t xml:space="preserve"> where the COMI lies would </w:t>
      </w:r>
      <w:r w:rsidR="009D7CE0">
        <w:rPr>
          <w:rFonts w:ascii="Arial" w:hAnsi="Arial" w:cs="Arial"/>
          <w:color w:val="7B7B7B" w:themeColor="accent3" w:themeShade="BF"/>
          <w:sz w:val="22"/>
          <w:szCs w:val="22"/>
          <w:lang w:val="en-GB"/>
        </w:rPr>
        <w:t>require a test of certain factors such as the location (</w:t>
      </w:r>
      <w:proofErr w:type="spellStart"/>
      <w:r w:rsidR="009D7CE0">
        <w:rPr>
          <w:rFonts w:ascii="Arial" w:hAnsi="Arial" w:cs="Arial"/>
          <w:color w:val="7B7B7B" w:themeColor="accent3" w:themeShade="BF"/>
          <w:sz w:val="22"/>
          <w:szCs w:val="22"/>
          <w:lang w:val="en-GB"/>
        </w:rPr>
        <w:t>i</w:t>
      </w:r>
      <w:proofErr w:type="spellEnd"/>
      <w:r w:rsidR="009D7CE0">
        <w:rPr>
          <w:rFonts w:ascii="Arial" w:hAnsi="Arial" w:cs="Arial"/>
          <w:color w:val="7B7B7B" w:themeColor="accent3" w:themeShade="BF"/>
          <w:sz w:val="22"/>
          <w:szCs w:val="22"/>
          <w:lang w:val="en-GB"/>
        </w:rPr>
        <w:t xml:space="preserve">) of the books and records of the debtor, </w:t>
      </w:r>
      <w:r w:rsidR="00EF4252">
        <w:rPr>
          <w:rFonts w:ascii="Arial" w:hAnsi="Arial" w:cs="Arial"/>
          <w:color w:val="7B7B7B" w:themeColor="accent3" w:themeShade="BF"/>
          <w:sz w:val="22"/>
          <w:szCs w:val="22"/>
          <w:lang w:val="en-GB"/>
        </w:rPr>
        <w:t xml:space="preserve"> </w:t>
      </w:r>
      <w:r w:rsidR="009D7CE0">
        <w:rPr>
          <w:rFonts w:ascii="Arial" w:hAnsi="Arial" w:cs="Arial"/>
          <w:color w:val="7B7B7B" w:themeColor="accent3" w:themeShade="BF"/>
          <w:sz w:val="22"/>
          <w:szCs w:val="22"/>
          <w:lang w:val="en-GB"/>
        </w:rPr>
        <w:t>(ii) where financing was organised or authorised, (iii) where the cash management system was run, (iv) which the debtors principal assets or operations are found, (v) debtors primary bank, (vi) location of employees</w:t>
      </w:r>
      <w:r w:rsidR="00154A65">
        <w:rPr>
          <w:rFonts w:ascii="Arial" w:hAnsi="Arial" w:cs="Arial"/>
          <w:color w:val="7B7B7B" w:themeColor="accent3" w:themeShade="BF"/>
          <w:sz w:val="22"/>
          <w:szCs w:val="22"/>
          <w:lang w:val="en-GB"/>
        </w:rPr>
        <w:t>, (vii), commercial policy, (viii) law governing contracts and jurisdiction, (</w:t>
      </w:r>
      <w:r w:rsidR="00073E32">
        <w:rPr>
          <w:rFonts w:ascii="Arial" w:hAnsi="Arial" w:cs="Arial"/>
          <w:color w:val="7B7B7B" w:themeColor="accent3" w:themeShade="BF"/>
          <w:sz w:val="22"/>
          <w:szCs w:val="22"/>
          <w:lang w:val="en-GB"/>
        </w:rPr>
        <w:t xml:space="preserve">ix) from which contracts of supply were organised to name of few. </w:t>
      </w:r>
    </w:p>
    <w:p w14:paraId="0D86F0DF" w14:textId="77777777" w:rsidR="00D91133" w:rsidRDefault="00D91133" w:rsidP="00707FC8">
      <w:pPr>
        <w:jc w:val="both"/>
        <w:rPr>
          <w:rFonts w:ascii="Arial" w:hAnsi="Arial" w:cs="Arial"/>
          <w:color w:val="7B7B7B" w:themeColor="accent3" w:themeShade="BF"/>
          <w:sz w:val="22"/>
          <w:szCs w:val="22"/>
          <w:lang w:val="en-GB"/>
        </w:rPr>
      </w:pPr>
    </w:p>
    <w:p w14:paraId="43255DD1" w14:textId="1E2F954B" w:rsidR="00073E32" w:rsidRPr="00073E32" w:rsidRDefault="00D17B0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present instance, the </w:t>
      </w:r>
      <w:r w:rsidR="00D91133">
        <w:rPr>
          <w:rFonts w:ascii="Arial" w:hAnsi="Arial" w:cs="Arial"/>
          <w:color w:val="7B7B7B" w:themeColor="accent3" w:themeShade="BF"/>
          <w:sz w:val="22"/>
          <w:szCs w:val="22"/>
          <w:lang w:val="en-GB"/>
        </w:rPr>
        <w:t>fact of GSC and its laws of incorporation becomes relevant</w:t>
      </w:r>
      <w:r w:rsidR="004E62F8">
        <w:rPr>
          <w:rFonts w:ascii="Arial" w:hAnsi="Arial" w:cs="Arial"/>
          <w:color w:val="7B7B7B" w:themeColor="accent3" w:themeShade="BF"/>
          <w:sz w:val="22"/>
          <w:szCs w:val="22"/>
          <w:lang w:val="en-GB"/>
        </w:rPr>
        <w:t xml:space="preserve"> and will determine whether COMI or an establishment existed in Cayman Islands</w:t>
      </w:r>
      <w:r w:rsidR="00D91133">
        <w:rPr>
          <w:rFonts w:ascii="Arial" w:hAnsi="Arial" w:cs="Arial"/>
          <w:color w:val="7B7B7B" w:themeColor="accent3" w:themeShade="BF"/>
          <w:sz w:val="22"/>
          <w:szCs w:val="22"/>
          <w:lang w:val="en-GB"/>
        </w:rPr>
        <w:t xml:space="preserve">. </w:t>
      </w:r>
    </w:p>
    <w:p w14:paraId="317DD6E7" w14:textId="76760A65" w:rsidR="00126A4D" w:rsidRDefault="00126A4D" w:rsidP="00707FC8">
      <w:pPr>
        <w:jc w:val="both"/>
        <w:rPr>
          <w:rFonts w:ascii="Arial" w:hAnsi="Arial" w:cs="Arial"/>
          <w:sz w:val="22"/>
          <w:szCs w:val="22"/>
          <w:lang w:val="en-GB"/>
        </w:rPr>
      </w:pPr>
    </w:p>
    <w:p w14:paraId="3852A825" w14:textId="181EB60C" w:rsidR="00D17B0D" w:rsidRDefault="00D17B0D"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5"/>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The GSC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recognised in the US as foreign non-main 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58B53D71" w:rsidR="00565DEE" w:rsidRDefault="00C351C7" w:rsidP="00565D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context of opening of proceedings in Nigeria, the case of </w:t>
      </w:r>
      <w:r>
        <w:rPr>
          <w:rFonts w:ascii="Arial" w:hAnsi="Arial" w:cs="Arial"/>
          <w:i/>
          <w:iCs/>
          <w:color w:val="7B7B7B" w:themeColor="accent3" w:themeShade="BF"/>
          <w:sz w:val="22"/>
          <w:szCs w:val="22"/>
          <w:lang w:val="en-GB"/>
        </w:rPr>
        <w:t xml:space="preserve">Morning Mist Holdings Ltd v. </w:t>
      </w:r>
      <w:proofErr w:type="spellStart"/>
      <w:r>
        <w:rPr>
          <w:rFonts w:ascii="Arial" w:hAnsi="Arial" w:cs="Arial"/>
          <w:i/>
          <w:iCs/>
          <w:color w:val="7B7B7B" w:themeColor="accent3" w:themeShade="BF"/>
          <w:sz w:val="22"/>
          <w:szCs w:val="22"/>
          <w:lang w:val="en-GB"/>
        </w:rPr>
        <w:t>Krys</w:t>
      </w:r>
      <w:proofErr w:type="spellEnd"/>
      <w:r>
        <w:rPr>
          <w:rFonts w:ascii="Arial" w:hAnsi="Arial" w:cs="Arial"/>
          <w:i/>
          <w:iCs/>
          <w:color w:val="7B7B7B" w:themeColor="accent3" w:themeShade="BF"/>
          <w:sz w:val="22"/>
          <w:szCs w:val="22"/>
          <w:lang w:val="en-GB"/>
        </w:rPr>
        <w:t xml:space="preserve"> become relevant to </w:t>
      </w:r>
      <w:r w:rsidR="00CA6C5D">
        <w:rPr>
          <w:rFonts w:ascii="Arial" w:hAnsi="Arial" w:cs="Arial"/>
          <w:i/>
          <w:iCs/>
          <w:color w:val="7B7B7B" w:themeColor="accent3" w:themeShade="BF"/>
          <w:sz w:val="22"/>
          <w:szCs w:val="22"/>
          <w:lang w:val="en-GB"/>
        </w:rPr>
        <w:t xml:space="preserve">determination of the debtors COMI. </w:t>
      </w:r>
      <w:r w:rsidR="00CA6C5D" w:rsidRPr="00CA6C5D">
        <w:rPr>
          <w:rFonts w:ascii="Arial" w:hAnsi="Arial" w:cs="Arial"/>
          <w:color w:val="7B7B7B" w:themeColor="accent3" w:themeShade="BF"/>
          <w:sz w:val="22"/>
          <w:szCs w:val="22"/>
          <w:lang w:val="en-GB"/>
        </w:rPr>
        <w:t xml:space="preserve">The court in this case held that </w:t>
      </w:r>
      <w:r w:rsidR="00CA6C5D">
        <w:rPr>
          <w:rFonts w:ascii="Arial" w:hAnsi="Arial" w:cs="Arial"/>
          <w:color w:val="7B7B7B" w:themeColor="accent3" w:themeShade="BF"/>
          <w:sz w:val="22"/>
          <w:szCs w:val="22"/>
          <w:lang w:val="en-GB"/>
        </w:rPr>
        <w:t xml:space="preserve">“.. </w:t>
      </w:r>
      <w:r w:rsidR="00CA6C5D" w:rsidRPr="00D35D02">
        <w:rPr>
          <w:rFonts w:ascii="Arial" w:hAnsi="Arial" w:cs="Arial"/>
          <w:i/>
          <w:iCs/>
          <w:color w:val="7B7B7B" w:themeColor="accent3" w:themeShade="BF"/>
          <w:sz w:val="22"/>
          <w:szCs w:val="22"/>
          <w:lang w:val="en-GB"/>
        </w:rPr>
        <w:t xml:space="preserve">a debtors COMI should be determine based on the </w:t>
      </w:r>
      <w:r w:rsidR="00F552CF" w:rsidRPr="00D35D02">
        <w:rPr>
          <w:rFonts w:ascii="Arial" w:hAnsi="Arial" w:cs="Arial"/>
          <w:i/>
          <w:iCs/>
          <w:color w:val="7B7B7B" w:themeColor="accent3" w:themeShade="BF"/>
          <w:sz w:val="22"/>
          <w:szCs w:val="22"/>
          <w:lang w:val="en-GB"/>
        </w:rPr>
        <w:t>activities</w:t>
      </w:r>
      <w:r w:rsidR="00CA6C5D" w:rsidRPr="00D35D02">
        <w:rPr>
          <w:rFonts w:ascii="Arial" w:hAnsi="Arial" w:cs="Arial"/>
          <w:i/>
          <w:iCs/>
          <w:color w:val="7B7B7B" w:themeColor="accent3" w:themeShade="BF"/>
          <w:sz w:val="22"/>
          <w:szCs w:val="22"/>
          <w:lang w:val="en-GB"/>
        </w:rPr>
        <w:t xml:space="preserve"> at or around the time the Chapter 15 petition is fined, as the statutory text suggests. But given the EIR and other international interpretations which focus on the regularity and </w:t>
      </w:r>
      <w:r w:rsidR="00F552CF" w:rsidRPr="00D35D02">
        <w:rPr>
          <w:rFonts w:ascii="Arial" w:hAnsi="Arial" w:cs="Arial"/>
          <w:i/>
          <w:iCs/>
          <w:color w:val="7B7B7B" w:themeColor="accent3" w:themeShade="BF"/>
          <w:sz w:val="22"/>
          <w:szCs w:val="22"/>
          <w:lang w:val="en-GB"/>
        </w:rPr>
        <w:t>ascertainably</w:t>
      </w:r>
      <w:r w:rsidR="00CA6C5D" w:rsidRPr="00D35D02">
        <w:rPr>
          <w:rFonts w:ascii="Arial" w:hAnsi="Arial" w:cs="Arial"/>
          <w:i/>
          <w:iCs/>
          <w:color w:val="7B7B7B" w:themeColor="accent3" w:themeShade="BF"/>
          <w:sz w:val="22"/>
          <w:szCs w:val="22"/>
          <w:lang w:val="en-GB"/>
        </w:rPr>
        <w:t xml:space="preserve"> of the </w:t>
      </w:r>
      <w:r w:rsidR="00F552CF" w:rsidRPr="00D35D02">
        <w:rPr>
          <w:rFonts w:ascii="Arial" w:hAnsi="Arial" w:cs="Arial"/>
          <w:i/>
          <w:iCs/>
          <w:color w:val="7B7B7B" w:themeColor="accent3" w:themeShade="BF"/>
          <w:sz w:val="22"/>
          <w:szCs w:val="22"/>
          <w:lang w:val="en-GB"/>
        </w:rPr>
        <w:t>debtor’s</w:t>
      </w:r>
      <w:r w:rsidR="00CA6C5D" w:rsidRPr="00D35D02">
        <w:rPr>
          <w:rFonts w:ascii="Arial" w:hAnsi="Arial" w:cs="Arial"/>
          <w:i/>
          <w:iCs/>
          <w:color w:val="7B7B7B" w:themeColor="accent3" w:themeShade="BF"/>
          <w:sz w:val="22"/>
          <w:szCs w:val="22"/>
          <w:lang w:val="en-GB"/>
        </w:rPr>
        <w:t xml:space="preserve"> COI, a court may consider the period </w:t>
      </w:r>
      <w:r w:rsidR="00F552CF" w:rsidRPr="00D35D02">
        <w:rPr>
          <w:rFonts w:ascii="Arial" w:hAnsi="Arial" w:cs="Arial"/>
          <w:i/>
          <w:iCs/>
          <w:color w:val="7B7B7B" w:themeColor="accent3" w:themeShade="BF"/>
          <w:sz w:val="22"/>
          <w:szCs w:val="22"/>
          <w:lang w:val="en-GB"/>
        </w:rPr>
        <w:t>between</w:t>
      </w:r>
      <w:r w:rsidR="00CA6C5D" w:rsidRPr="00D35D02">
        <w:rPr>
          <w:rFonts w:ascii="Arial" w:hAnsi="Arial" w:cs="Arial"/>
          <w:i/>
          <w:iCs/>
          <w:color w:val="7B7B7B" w:themeColor="accent3" w:themeShade="BF"/>
          <w:sz w:val="22"/>
          <w:szCs w:val="22"/>
          <w:lang w:val="en-GB"/>
        </w:rPr>
        <w:t xml:space="preserve"> the commencement of the foreign proceeding and the </w:t>
      </w:r>
      <w:proofErr w:type="spellStart"/>
      <w:r w:rsidR="00CA6C5D" w:rsidRPr="00D35D02">
        <w:rPr>
          <w:rFonts w:ascii="Arial" w:hAnsi="Arial" w:cs="Arial"/>
          <w:i/>
          <w:iCs/>
          <w:color w:val="7B7B7B" w:themeColor="accent3" w:themeShade="BF"/>
          <w:sz w:val="22"/>
          <w:szCs w:val="22"/>
          <w:lang w:val="en-GB"/>
        </w:rPr>
        <w:t>finling</w:t>
      </w:r>
      <w:proofErr w:type="spellEnd"/>
      <w:r w:rsidR="00CA6C5D" w:rsidRPr="00D35D02">
        <w:rPr>
          <w:rFonts w:ascii="Arial" w:hAnsi="Arial" w:cs="Arial"/>
          <w:i/>
          <w:iCs/>
          <w:color w:val="7B7B7B" w:themeColor="accent3" w:themeShade="BF"/>
          <w:sz w:val="22"/>
          <w:szCs w:val="22"/>
          <w:lang w:val="en-GB"/>
        </w:rPr>
        <w:t xml:space="preserve"> of a Chapter 15 petition to ensure that the debtor </w:t>
      </w:r>
      <w:r w:rsidR="00F552CF" w:rsidRPr="00D35D02">
        <w:rPr>
          <w:rFonts w:ascii="Arial" w:hAnsi="Arial" w:cs="Arial"/>
          <w:i/>
          <w:iCs/>
          <w:color w:val="7B7B7B" w:themeColor="accent3" w:themeShade="BF"/>
          <w:sz w:val="22"/>
          <w:szCs w:val="22"/>
          <w:lang w:val="en-GB"/>
        </w:rPr>
        <w:t>ha</w:t>
      </w:r>
      <w:r w:rsidR="00CA6C5D" w:rsidRPr="00D35D02">
        <w:rPr>
          <w:rFonts w:ascii="Arial" w:hAnsi="Arial" w:cs="Arial"/>
          <w:i/>
          <w:iCs/>
          <w:color w:val="7B7B7B" w:themeColor="accent3" w:themeShade="BF"/>
          <w:sz w:val="22"/>
          <w:szCs w:val="22"/>
          <w:lang w:val="en-GB"/>
        </w:rPr>
        <w:t xml:space="preserve">s not </w:t>
      </w:r>
      <w:r w:rsidR="00F552CF" w:rsidRPr="00D35D02">
        <w:rPr>
          <w:rFonts w:ascii="Arial" w:hAnsi="Arial" w:cs="Arial"/>
          <w:i/>
          <w:iCs/>
          <w:color w:val="7B7B7B" w:themeColor="accent3" w:themeShade="BF"/>
          <w:sz w:val="22"/>
          <w:szCs w:val="22"/>
          <w:lang w:val="en-GB"/>
        </w:rPr>
        <w:t>manipulated its COMI in bad faith….. any relevant activities including liquidation activities and administrative functions may be considered for COMI analysis.</w:t>
      </w:r>
      <w:r w:rsidR="00301E7B">
        <w:rPr>
          <w:rFonts w:ascii="Arial" w:hAnsi="Arial" w:cs="Arial"/>
          <w:i/>
          <w:iCs/>
          <w:color w:val="7B7B7B" w:themeColor="accent3" w:themeShade="BF"/>
          <w:sz w:val="22"/>
          <w:szCs w:val="22"/>
          <w:lang w:val="en-GB"/>
        </w:rPr>
        <w:t xml:space="preserve">” </w:t>
      </w:r>
      <w:r w:rsidR="00301E7B">
        <w:rPr>
          <w:rFonts w:ascii="Arial" w:hAnsi="Arial" w:cs="Arial"/>
          <w:color w:val="7B7B7B" w:themeColor="accent3" w:themeShade="BF"/>
          <w:sz w:val="22"/>
          <w:szCs w:val="22"/>
          <w:lang w:val="en-GB"/>
        </w:rPr>
        <w:t xml:space="preserve">This case was relied on in the UK in </w:t>
      </w:r>
      <w:r w:rsidR="00301E7B">
        <w:rPr>
          <w:rFonts w:ascii="Arial" w:hAnsi="Arial" w:cs="Arial"/>
          <w:i/>
          <w:iCs/>
          <w:color w:val="7B7B7B" w:themeColor="accent3" w:themeShade="BF"/>
          <w:sz w:val="22"/>
          <w:szCs w:val="22"/>
          <w:lang w:val="en-GB"/>
        </w:rPr>
        <w:t xml:space="preserve">Re </w:t>
      </w:r>
      <w:proofErr w:type="spellStart"/>
      <w:r w:rsidR="00301E7B">
        <w:rPr>
          <w:rFonts w:ascii="Arial" w:hAnsi="Arial" w:cs="Arial"/>
          <w:i/>
          <w:iCs/>
          <w:color w:val="7B7B7B" w:themeColor="accent3" w:themeShade="BF"/>
          <w:sz w:val="22"/>
          <w:szCs w:val="22"/>
          <w:lang w:val="en-GB"/>
        </w:rPr>
        <w:t>Toisa</w:t>
      </w:r>
      <w:proofErr w:type="spellEnd"/>
      <w:r w:rsidR="00301E7B">
        <w:rPr>
          <w:rFonts w:ascii="Arial" w:hAnsi="Arial" w:cs="Arial"/>
          <w:i/>
          <w:iCs/>
          <w:color w:val="7B7B7B" w:themeColor="accent3" w:themeShade="BF"/>
          <w:sz w:val="22"/>
          <w:szCs w:val="22"/>
          <w:lang w:val="en-GB"/>
        </w:rPr>
        <w:t xml:space="preserve"> Limited</w:t>
      </w:r>
      <w:r w:rsidR="007A3AF4">
        <w:rPr>
          <w:rFonts w:ascii="Arial" w:hAnsi="Arial" w:cs="Arial"/>
          <w:i/>
          <w:iCs/>
          <w:color w:val="7B7B7B" w:themeColor="accent3" w:themeShade="BF"/>
          <w:sz w:val="22"/>
          <w:szCs w:val="22"/>
          <w:lang w:val="en-GB"/>
        </w:rPr>
        <w:t>.</w:t>
      </w:r>
      <w:r w:rsidR="00F552CF">
        <w:rPr>
          <w:rFonts w:ascii="Arial" w:hAnsi="Arial" w:cs="Arial"/>
          <w:color w:val="7B7B7B" w:themeColor="accent3" w:themeShade="BF"/>
          <w:sz w:val="22"/>
          <w:szCs w:val="22"/>
          <w:lang w:val="en-GB"/>
        </w:rPr>
        <w:t xml:space="preserve"> </w:t>
      </w:r>
    </w:p>
    <w:p w14:paraId="3C02FA95" w14:textId="5953FA7F" w:rsidR="00A24999" w:rsidRDefault="00A24999" w:rsidP="00565DEE">
      <w:pPr>
        <w:jc w:val="both"/>
        <w:rPr>
          <w:rFonts w:ascii="Arial" w:hAnsi="Arial" w:cs="Arial"/>
          <w:color w:val="7B7B7B" w:themeColor="accent3" w:themeShade="BF"/>
          <w:sz w:val="22"/>
          <w:szCs w:val="22"/>
          <w:lang w:val="en-GB"/>
        </w:rPr>
      </w:pPr>
    </w:p>
    <w:p w14:paraId="05BDC836" w14:textId="37391247" w:rsidR="00A24999" w:rsidRPr="00C351C7" w:rsidRDefault="00A24999" w:rsidP="00565DEE">
      <w:pPr>
        <w:jc w:val="both"/>
        <w:rPr>
          <w:rFonts w:ascii="Arial" w:hAnsi="Arial" w:cs="Arial"/>
          <w:i/>
          <w:iCs/>
          <w:sz w:val="22"/>
          <w:szCs w:val="22"/>
          <w:lang w:val="en-GB"/>
        </w:rPr>
      </w:pPr>
      <w:r>
        <w:rPr>
          <w:rFonts w:ascii="Arial" w:hAnsi="Arial" w:cs="Arial"/>
          <w:color w:val="7B7B7B" w:themeColor="accent3" w:themeShade="BF"/>
          <w:sz w:val="22"/>
          <w:szCs w:val="22"/>
          <w:lang w:val="en-GB"/>
        </w:rPr>
        <w:t>Given the purpose of the proceedings is effective administration, the</w:t>
      </w:r>
      <w:r w:rsidR="00FE0110">
        <w:rPr>
          <w:rFonts w:ascii="Arial" w:hAnsi="Arial" w:cs="Arial"/>
          <w:color w:val="7B7B7B" w:themeColor="accent3" w:themeShade="BF"/>
          <w:sz w:val="22"/>
          <w:szCs w:val="22"/>
          <w:lang w:val="en-GB"/>
        </w:rPr>
        <w:t xml:space="preserve"> US courts should likely accept the recognition of proceedings</w:t>
      </w:r>
      <w:r w:rsidR="00582CAA">
        <w:rPr>
          <w:rFonts w:ascii="Arial" w:hAnsi="Arial" w:cs="Arial"/>
          <w:color w:val="7B7B7B" w:themeColor="accent3" w:themeShade="BF"/>
          <w:sz w:val="22"/>
          <w:szCs w:val="22"/>
          <w:lang w:val="en-GB"/>
        </w:rPr>
        <w:t>.</w:t>
      </w:r>
    </w:p>
    <w:p w14:paraId="6E00586B" w14:textId="77777777" w:rsidR="00565DEE" w:rsidRDefault="00565DEE"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26290ECF"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reach  a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w:t>
      </w:r>
      <w:r>
        <w:rPr>
          <w:rFonts w:ascii="Arial" w:hAnsi="Arial" w:cs="Arial"/>
          <w:sz w:val="22"/>
          <w:szCs w:val="22"/>
          <w:lang w:val="en-GB"/>
        </w:rPr>
        <w:lastRenderedPageBreak/>
        <w:t>agreement of GSC. They are hopeful that the so-called “Gibbs Rule” under English law</w:t>
      </w:r>
      <w:r>
        <w:rPr>
          <w:rStyle w:val="FootnoteReference"/>
          <w:rFonts w:ascii="Arial" w:hAnsi="Arial" w:cs="Arial"/>
          <w:sz w:val="22"/>
          <w:szCs w:val="22"/>
          <w:lang w:val="en-GB"/>
        </w:rPr>
        <w:footnoteReference w:id="6"/>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Default="00A153F7" w:rsidP="00707FC8">
      <w:pPr>
        <w:jc w:val="both"/>
        <w:rPr>
          <w:rFonts w:ascii="Arial" w:hAnsi="Arial" w:cs="Arial"/>
          <w:sz w:val="22"/>
          <w:szCs w:val="22"/>
          <w:lang w:val="en-GB"/>
        </w:rPr>
      </w:pPr>
    </w:p>
    <w:p w14:paraId="6E6B9AA4" w14:textId="7C66800F" w:rsidR="00387106" w:rsidRDefault="000D1E7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on </w:t>
      </w:r>
      <w:r w:rsidR="005757B8">
        <w:rPr>
          <w:rFonts w:ascii="Arial" w:hAnsi="Arial" w:cs="Arial"/>
          <w:color w:val="7B7B7B" w:themeColor="accent3" w:themeShade="BF"/>
          <w:sz w:val="22"/>
          <w:szCs w:val="22"/>
          <w:lang w:val="en-GB"/>
        </w:rPr>
        <w:t xml:space="preserve">Insolvency Related Judgments has relevance in relation to answering the question of </w:t>
      </w:r>
      <w:r w:rsidR="005325AD">
        <w:rPr>
          <w:rFonts w:ascii="Arial" w:hAnsi="Arial" w:cs="Arial"/>
          <w:color w:val="7B7B7B" w:themeColor="accent3" w:themeShade="BF"/>
          <w:sz w:val="22"/>
          <w:szCs w:val="22"/>
          <w:lang w:val="en-GB"/>
        </w:rPr>
        <w:t xml:space="preserve">enforcement. </w:t>
      </w:r>
    </w:p>
    <w:p w14:paraId="034BAC79" w14:textId="09245C87" w:rsidR="00C5714E" w:rsidRDefault="00C5714E" w:rsidP="00707FC8">
      <w:pPr>
        <w:jc w:val="both"/>
        <w:rPr>
          <w:rFonts w:ascii="Arial" w:hAnsi="Arial" w:cs="Arial"/>
          <w:color w:val="7B7B7B" w:themeColor="accent3" w:themeShade="BF"/>
          <w:sz w:val="22"/>
          <w:szCs w:val="22"/>
          <w:lang w:val="en-GB"/>
        </w:rPr>
      </w:pPr>
    </w:p>
    <w:p w14:paraId="52FE4DDB" w14:textId="2E9A3AF1" w:rsidR="00C5714E" w:rsidRPr="00B73F3B" w:rsidRDefault="00C5714E"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w:t>
      </w:r>
      <w:r w:rsidR="00B61FD3">
        <w:rPr>
          <w:rFonts w:ascii="Arial" w:hAnsi="Arial" w:cs="Arial"/>
          <w:color w:val="7B7B7B" w:themeColor="accent3" w:themeShade="BF"/>
          <w:sz w:val="22"/>
          <w:szCs w:val="22"/>
          <w:lang w:val="en-GB"/>
        </w:rPr>
        <w:t xml:space="preserve">principle, the Gibbs Rule </w:t>
      </w:r>
      <w:r w:rsidR="00DB172D">
        <w:rPr>
          <w:rFonts w:ascii="Arial" w:hAnsi="Arial" w:cs="Arial"/>
          <w:color w:val="7B7B7B" w:themeColor="accent3" w:themeShade="BF"/>
          <w:sz w:val="22"/>
          <w:szCs w:val="22"/>
          <w:lang w:val="en-GB"/>
        </w:rPr>
        <w:t xml:space="preserve">does not apply if the relevant creditor submits to the foreign insolvency proceeding, the rationale being that the creditor will be taken to have accepted that the law governing the foreign insolvency proceeding should determine the contractual rights that a creditor has elected to claim in that proceeding as set out in the case </w:t>
      </w:r>
      <w:r w:rsidR="00663010">
        <w:rPr>
          <w:rFonts w:ascii="Arial" w:hAnsi="Arial" w:cs="Arial"/>
          <w:color w:val="7B7B7B" w:themeColor="accent3" w:themeShade="BF"/>
          <w:sz w:val="22"/>
          <w:szCs w:val="22"/>
          <w:lang w:val="en-GB"/>
        </w:rPr>
        <w:t xml:space="preserve">of </w:t>
      </w:r>
      <w:proofErr w:type="spellStart"/>
      <w:r w:rsidR="00663010">
        <w:rPr>
          <w:rFonts w:ascii="Arial" w:hAnsi="Arial" w:cs="Arial"/>
          <w:i/>
          <w:iCs/>
          <w:color w:val="7B7B7B" w:themeColor="accent3" w:themeShade="BF"/>
          <w:sz w:val="22"/>
          <w:szCs w:val="22"/>
          <w:lang w:val="en-GB"/>
        </w:rPr>
        <w:t>oJSC</w:t>
      </w:r>
      <w:proofErr w:type="spellEnd"/>
      <w:r w:rsidR="00663010">
        <w:rPr>
          <w:rFonts w:ascii="Arial" w:hAnsi="Arial" w:cs="Arial"/>
          <w:i/>
          <w:iCs/>
          <w:color w:val="7B7B7B" w:themeColor="accent3" w:themeShade="BF"/>
          <w:sz w:val="22"/>
          <w:szCs w:val="22"/>
          <w:lang w:val="en-GB"/>
        </w:rPr>
        <w:t xml:space="preserve"> International Bank of Azerbaijan and the CBIR 2006 – </w:t>
      </w:r>
      <w:proofErr w:type="spellStart"/>
      <w:r w:rsidR="00663010">
        <w:rPr>
          <w:rFonts w:ascii="Arial" w:hAnsi="Arial" w:cs="Arial"/>
          <w:i/>
          <w:iCs/>
          <w:color w:val="7B7B7B" w:themeColor="accent3" w:themeShade="BF"/>
          <w:sz w:val="22"/>
          <w:szCs w:val="22"/>
          <w:lang w:val="en-GB"/>
        </w:rPr>
        <w:t>Bakshiyeva</w:t>
      </w:r>
      <w:proofErr w:type="spellEnd"/>
      <w:r w:rsidR="00663010">
        <w:rPr>
          <w:rFonts w:ascii="Arial" w:hAnsi="Arial" w:cs="Arial"/>
          <w:i/>
          <w:iCs/>
          <w:color w:val="7B7B7B" w:themeColor="accent3" w:themeShade="BF"/>
          <w:sz w:val="22"/>
          <w:szCs w:val="22"/>
          <w:lang w:val="en-GB"/>
        </w:rPr>
        <w:t xml:space="preserve"> v. Sberbank of Russia (IBA Case)</w:t>
      </w:r>
      <w:r w:rsidR="00B73F3B">
        <w:rPr>
          <w:rFonts w:ascii="Arial" w:hAnsi="Arial" w:cs="Arial"/>
          <w:i/>
          <w:iCs/>
          <w:color w:val="7B7B7B" w:themeColor="accent3" w:themeShade="BF"/>
          <w:sz w:val="22"/>
          <w:szCs w:val="22"/>
          <w:lang w:val="en-GB"/>
        </w:rPr>
        <w:t xml:space="preserve">. </w:t>
      </w:r>
      <w:r w:rsidR="00B73F3B">
        <w:rPr>
          <w:rFonts w:ascii="Arial" w:hAnsi="Arial" w:cs="Arial"/>
          <w:color w:val="7B7B7B" w:themeColor="accent3" w:themeShade="BF"/>
          <w:sz w:val="22"/>
          <w:szCs w:val="22"/>
          <w:lang w:val="en-GB"/>
        </w:rPr>
        <w:t xml:space="preserve">As an outcome of this case, instead of new proceedings, a parallel scheme of arrangement would be a better </w:t>
      </w:r>
      <w:r w:rsidR="00506CC3">
        <w:rPr>
          <w:rFonts w:ascii="Arial" w:hAnsi="Arial" w:cs="Arial"/>
          <w:color w:val="7B7B7B" w:themeColor="accent3" w:themeShade="BF"/>
          <w:sz w:val="22"/>
          <w:szCs w:val="22"/>
          <w:lang w:val="en-GB"/>
        </w:rPr>
        <w:t xml:space="preserve">option and create less creditor class issues. </w:t>
      </w:r>
    </w:p>
    <w:p w14:paraId="172B2D0A" w14:textId="5A0B0DB6" w:rsidR="00387106" w:rsidRDefault="00387106" w:rsidP="00707FC8">
      <w:pPr>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D3DD" w14:textId="77777777" w:rsidR="00E84FA7" w:rsidRDefault="00E84FA7" w:rsidP="00241B44">
      <w:r>
        <w:separator/>
      </w:r>
    </w:p>
  </w:endnote>
  <w:endnote w:type="continuationSeparator" w:id="0">
    <w:p w14:paraId="2A60422F" w14:textId="77777777" w:rsidR="00E84FA7" w:rsidRDefault="00E84FA7" w:rsidP="00241B44">
      <w:r>
        <w:continuationSeparator/>
      </w:r>
    </w:p>
  </w:endnote>
  <w:endnote w:type="continuationNotice" w:id="1">
    <w:p w14:paraId="74934219" w14:textId="77777777" w:rsidR="00E84FA7" w:rsidRDefault="00E84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6C1709B" w:rsidR="0036760B" w:rsidRPr="00784B4B" w:rsidRDefault="004674E7" w:rsidP="0036760B">
    <w:pPr>
      <w:pStyle w:val="Footer"/>
      <w:ind w:right="360" w:firstLine="360"/>
      <w:rPr>
        <w:rFonts w:ascii="Arial" w:hAnsi="Arial" w:cs="Arial"/>
        <w:sz w:val="18"/>
        <w:szCs w:val="18"/>
      </w:rPr>
    </w:pPr>
    <w:r w:rsidRPr="004674E7">
      <w:rPr>
        <w:rFonts w:ascii="Arial" w:hAnsi="Arial" w:cs="Arial"/>
        <w:sz w:val="18"/>
        <w:szCs w:val="18"/>
      </w:rPr>
      <w:t>202021FU-306</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20A6" w14:textId="77777777" w:rsidR="00E84FA7" w:rsidRDefault="00E84FA7" w:rsidP="00241B44">
      <w:r>
        <w:separator/>
      </w:r>
    </w:p>
  </w:footnote>
  <w:footnote w:type="continuationSeparator" w:id="0">
    <w:p w14:paraId="5E00463F" w14:textId="77777777" w:rsidR="00E84FA7" w:rsidRDefault="00E84FA7" w:rsidP="00241B44">
      <w:r>
        <w:continuationSeparator/>
      </w:r>
    </w:p>
  </w:footnote>
  <w:footnote w:type="continuationNotice" w:id="1">
    <w:p w14:paraId="007E0294" w14:textId="77777777" w:rsidR="00E84FA7" w:rsidRDefault="00E84FA7"/>
  </w:footnote>
  <w:footnote w:id="2">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3">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4">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5">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6">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B0DD1"/>
    <w:multiLevelType w:val="hybridMultilevel"/>
    <w:tmpl w:val="2960C442"/>
    <w:lvl w:ilvl="0" w:tplc="ECA6401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19"/>
  </w:num>
  <w:num w:numId="4">
    <w:abstractNumId w:val="26"/>
  </w:num>
  <w:num w:numId="5">
    <w:abstractNumId w:val="3"/>
  </w:num>
  <w:num w:numId="6">
    <w:abstractNumId w:val="24"/>
  </w:num>
  <w:num w:numId="7">
    <w:abstractNumId w:val="10"/>
  </w:num>
  <w:num w:numId="8">
    <w:abstractNumId w:val="20"/>
  </w:num>
  <w:num w:numId="9">
    <w:abstractNumId w:val="11"/>
  </w:num>
  <w:num w:numId="10">
    <w:abstractNumId w:val="6"/>
  </w:num>
  <w:num w:numId="11">
    <w:abstractNumId w:val="12"/>
  </w:num>
  <w:num w:numId="12">
    <w:abstractNumId w:val="23"/>
  </w:num>
  <w:num w:numId="13">
    <w:abstractNumId w:val="1"/>
  </w:num>
  <w:num w:numId="14">
    <w:abstractNumId w:val="18"/>
  </w:num>
  <w:num w:numId="15">
    <w:abstractNumId w:val="7"/>
  </w:num>
  <w:num w:numId="16">
    <w:abstractNumId w:val="8"/>
  </w:num>
  <w:num w:numId="17">
    <w:abstractNumId w:val="15"/>
  </w:num>
  <w:num w:numId="18">
    <w:abstractNumId w:val="2"/>
  </w:num>
  <w:num w:numId="19">
    <w:abstractNumId w:val="13"/>
  </w:num>
  <w:num w:numId="20">
    <w:abstractNumId w:val="29"/>
  </w:num>
  <w:num w:numId="21">
    <w:abstractNumId w:val="9"/>
  </w:num>
  <w:num w:numId="22">
    <w:abstractNumId w:val="22"/>
  </w:num>
  <w:num w:numId="23">
    <w:abstractNumId w:val="27"/>
  </w:num>
  <w:num w:numId="24">
    <w:abstractNumId w:val="21"/>
  </w:num>
  <w:num w:numId="25">
    <w:abstractNumId w:val="17"/>
  </w:num>
  <w:num w:numId="26">
    <w:abstractNumId w:val="28"/>
  </w:num>
  <w:num w:numId="27">
    <w:abstractNumId w:val="25"/>
  </w:num>
  <w:num w:numId="28">
    <w:abstractNumId w:val="4"/>
  </w:num>
  <w:num w:numId="29">
    <w:abstractNumId w:val="5"/>
  </w:num>
  <w:num w:numId="30">
    <w:abstractNumId w:val="16"/>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BD4"/>
    <w:rsid w:val="00010BA0"/>
    <w:rsid w:val="00013381"/>
    <w:rsid w:val="00020557"/>
    <w:rsid w:val="000232A1"/>
    <w:rsid w:val="000250C7"/>
    <w:rsid w:val="00025CCF"/>
    <w:rsid w:val="0003114A"/>
    <w:rsid w:val="00031F97"/>
    <w:rsid w:val="00037621"/>
    <w:rsid w:val="00044D46"/>
    <w:rsid w:val="00045088"/>
    <w:rsid w:val="00045904"/>
    <w:rsid w:val="000464F7"/>
    <w:rsid w:val="00047EDC"/>
    <w:rsid w:val="0005141D"/>
    <w:rsid w:val="00052008"/>
    <w:rsid w:val="00056128"/>
    <w:rsid w:val="00065166"/>
    <w:rsid w:val="00067A88"/>
    <w:rsid w:val="00073474"/>
    <w:rsid w:val="00073E32"/>
    <w:rsid w:val="00077D49"/>
    <w:rsid w:val="00077DEF"/>
    <w:rsid w:val="00082609"/>
    <w:rsid w:val="000851CC"/>
    <w:rsid w:val="00093BE8"/>
    <w:rsid w:val="000A68ED"/>
    <w:rsid w:val="000B4FEB"/>
    <w:rsid w:val="000B5FF1"/>
    <w:rsid w:val="000B609F"/>
    <w:rsid w:val="000C147F"/>
    <w:rsid w:val="000C6BB9"/>
    <w:rsid w:val="000D1B99"/>
    <w:rsid w:val="000D1E7A"/>
    <w:rsid w:val="000D55A8"/>
    <w:rsid w:val="000E0998"/>
    <w:rsid w:val="000E4841"/>
    <w:rsid w:val="000E6325"/>
    <w:rsid w:val="000F1677"/>
    <w:rsid w:val="000F3B43"/>
    <w:rsid w:val="000F3D6C"/>
    <w:rsid w:val="000F4EFB"/>
    <w:rsid w:val="00101707"/>
    <w:rsid w:val="00102474"/>
    <w:rsid w:val="00114082"/>
    <w:rsid w:val="0011473D"/>
    <w:rsid w:val="00115C85"/>
    <w:rsid w:val="0012184F"/>
    <w:rsid w:val="00123855"/>
    <w:rsid w:val="00126A4D"/>
    <w:rsid w:val="001311E8"/>
    <w:rsid w:val="00133AA5"/>
    <w:rsid w:val="0013406F"/>
    <w:rsid w:val="00137335"/>
    <w:rsid w:val="00140E0A"/>
    <w:rsid w:val="0014171F"/>
    <w:rsid w:val="0014622C"/>
    <w:rsid w:val="0015161B"/>
    <w:rsid w:val="00151F58"/>
    <w:rsid w:val="00152348"/>
    <w:rsid w:val="0015456D"/>
    <w:rsid w:val="00154A65"/>
    <w:rsid w:val="00155FA2"/>
    <w:rsid w:val="001578CB"/>
    <w:rsid w:val="00161F1B"/>
    <w:rsid w:val="00162829"/>
    <w:rsid w:val="00167C32"/>
    <w:rsid w:val="00176079"/>
    <w:rsid w:val="0017652E"/>
    <w:rsid w:val="001772FD"/>
    <w:rsid w:val="00180548"/>
    <w:rsid w:val="00180AC4"/>
    <w:rsid w:val="00180CCE"/>
    <w:rsid w:val="0018267A"/>
    <w:rsid w:val="00182779"/>
    <w:rsid w:val="001830DF"/>
    <w:rsid w:val="00190FD2"/>
    <w:rsid w:val="001966D9"/>
    <w:rsid w:val="001A24E7"/>
    <w:rsid w:val="001A2B78"/>
    <w:rsid w:val="001A7E9A"/>
    <w:rsid w:val="001B0F70"/>
    <w:rsid w:val="001B267E"/>
    <w:rsid w:val="001B5016"/>
    <w:rsid w:val="001C45FC"/>
    <w:rsid w:val="001D02C5"/>
    <w:rsid w:val="001D4862"/>
    <w:rsid w:val="001E0E7D"/>
    <w:rsid w:val="001E25B9"/>
    <w:rsid w:val="001E49E0"/>
    <w:rsid w:val="001E718B"/>
    <w:rsid w:val="001E7B5A"/>
    <w:rsid w:val="001F7412"/>
    <w:rsid w:val="00202133"/>
    <w:rsid w:val="00202478"/>
    <w:rsid w:val="0020529D"/>
    <w:rsid w:val="0020725B"/>
    <w:rsid w:val="00212B41"/>
    <w:rsid w:val="002175BA"/>
    <w:rsid w:val="002305E8"/>
    <w:rsid w:val="0023198D"/>
    <w:rsid w:val="0023317E"/>
    <w:rsid w:val="00234A34"/>
    <w:rsid w:val="00234F2C"/>
    <w:rsid w:val="0024068D"/>
    <w:rsid w:val="00240B0E"/>
    <w:rsid w:val="0024116D"/>
    <w:rsid w:val="00241B44"/>
    <w:rsid w:val="00245EFB"/>
    <w:rsid w:val="0025386E"/>
    <w:rsid w:val="00263127"/>
    <w:rsid w:val="002638B0"/>
    <w:rsid w:val="00264FFF"/>
    <w:rsid w:val="002650D7"/>
    <w:rsid w:val="002657A6"/>
    <w:rsid w:val="0026647A"/>
    <w:rsid w:val="002668D3"/>
    <w:rsid w:val="002675BE"/>
    <w:rsid w:val="0027299F"/>
    <w:rsid w:val="00276913"/>
    <w:rsid w:val="00282480"/>
    <w:rsid w:val="00284EBE"/>
    <w:rsid w:val="002864A6"/>
    <w:rsid w:val="0029433F"/>
    <w:rsid w:val="00294829"/>
    <w:rsid w:val="00294F3B"/>
    <w:rsid w:val="0029690F"/>
    <w:rsid w:val="0029736E"/>
    <w:rsid w:val="002A2A60"/>
    <w:rsid w:val="002B133C"/>
    <w:rsid w:val="002B1C45"/>
    <w:rsid w:val="002C13C8"/>
    <w:rsid w:val="002C2BE6"/>
    <w:rsid w:val="002C3547"/>
    <w:rsid w:val="002D0021"/>
    <w:rsid w:val="002D0424"/>
    <w:rsid w:val="002D3473"/>
    <w:rsid w:val="002D5C95"/>
    <w:rsid w:val="002E00F8"/>
    <w:rsid w:val="002E2322"/>
    <w:rsid w:val="002E38E2"/>
    <w:rsid w:val="002F1956"/>
    <w:rsid w:val="002F3440"/>
    <w:rsid w:val="002F4EC0"/>
    <w:rsid w:val="002F71BE"/>
    <w:rsid w:val="002F75A3"/>
    <w:rsid w:val="00301E7B"/>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50CED"/>
    <w:rsid w:val="003579E8"/>
    <w:rsid w:val="00361A0A"/>
    <w:rsid w:val="0036565C"/>
    <w:rsid w:val="0036625E"/>
    <w:rsid w:val="0036760B"/>
    <w:rsid w:val="0037465A"/>
    <w:rsid w:val="00380BAB"/>
    <w:rsid w:val="00382C98"/>
    <w:rsid w:val="0038533C"/>
    <w:rsid w:val="00386568"/>
    <w:rsid w:val="00387106"/>
    <w:rsid w:val="00391F3E"/>
    <w:rsid w:val="003948D5"/>
    <w:rsid w:val="00394F9B"/>
    <w:rsid w:val="00396821"/>
    <w:rsid w:val="00397D3A"/>
    <w:rsid w:val="003A051E"/>
    <w:rsid w:val="003A2FEE"/>
    <w:rsid w:val="003A7056"/>
    <w:rsid w:val="003B170F"/>
    <w:rsid w:val="003B3C5F"/>
    <w:rsid w:val="003B4288"/>
    <w:rsid w:val="003C4471"/>
    <w:rsid w:val="003C66B1"/>
    <w:rsid w:val="003D0A6D"/>
    <w:rsid w:val="003E0B16"/>
    <w:rsid w:val="003E67D1"/>
    <w:rsid w:val="00404E2A"/>
    <w:rsid w:val="00405DC1"/>
    <w:rsid w:val="0041139B"/>
    <w:rsid w:val="00415F1F"/>
    <w:rsid w:val="0042108F"/>
    <w:rsid w:val="00422242"/>
    <w:rsid w:val="00430FED"/>
    <w:rsid w:val="00433886"/>
    <w:rsid w:val="00434A8C"/>
    <w:rsid w:val="00435583"/>
    <w:rsid w:val="00437297"/>
    <w:rsid w:val="00443403"/>
    <w:rsid w:val="00444284"/>
    <w:rsid w:val="00445CE6"/>
    <w:rsid w:val="004534C2"/>
    <w:rsid w:val="0045446F"/>
    <w:rsid w:val="0045683E"/>
    <w:rsid w:val="004674E7"/>
    <w:rsid w:val="0047025B"/>
    <w:rsid w:val="004758A9"/>
    <w:rsid w:val="004810AC"/>
    <w:rsid w:val="00491675"/>
    <w:rsid w:val="00493855"/>
    <w:rsid w:val="0049508F"/>
    <w:rsid w:val="004A171E"/>
    <w:rsid w:val="004A57DD"/>
    <w:rsid w:val="004A6607"/>
    <w:rsid w:val="004A7B51"/>
    <w:rsid w:val="004A7D71"/>
    <w:rsid w:val="004A7EF3"/>
    <w:rsid w:val="004B11FD"/>
    <w:rsid w:val="004B23A2"/>
    <w:rsid w:val="004D1A5A"/>
    <w:rsid w:val="004D2FFF"/>
    <w:rsid w:val="004D3721"/>
    <w:rsid w:val="004D64F9"/>
    <w:rsid w:val="004E0549"/>
    <w:rsid w:val="004E2E92"/>
    <w:rsid w:val="004E30B0"/>
    <w:rsid w:val="004E622C"/>
    <w:rsid w:val="004E62F8"/>
    <w:rsid w:val="004F5FDF"/>
    <w:rsid w:val="0050157D"/>
    <w:rsid w:val="00506803"/>
    <w:rsid w:val="00506CC3"/>
    <w:rsid w:val="005177FE"/>
    <w:rsid w:val="0052263B"/>
    <w:rsid w:val="00524728"/>
    <w:rsid w:val="00530003"/>
    <w:rsid w:val="005325AD"/>
    <w:rsid w:val="005331CA"/>
    <w:rsid w:val="0053353F"/>
    <w:rsid w:val="00537970"/>
    <w:rsid w:val="00540E3A"/>
    <w:rsid w:val="00544127"/>
    <w:rsid w:val="00544273"/>
    <w:rsid w:val="005463A9"/>
    <w:rsid w:val="00553EB2"/>
    <w:rsid w:val="00560534"/>
    <w:rsid w:val="005628E8"/>
    <w:rsid w:val="00562A44"/>
    <w:rsid w:val="0056391B"/>
    <w:rsid w:val="005650E2"/>
    <w:rsid w:val="00565292"/>
    <w:rsid w:val="00565DEE"/>
    <w:rsid w:val="00567AD7"/>
    <w:rsid w:val="005720D6"/>
    <w:rsid w:val="00573E73"/>
    <w:rsid w:val="005757B8"/>
    <w:rsid w:val="00575B2D"/>
    <w:rsid w:val="00582CAA"/>
    <w:rsid w:val="005833D0"/>
    <w:rsid w:val="005846F3"/>
    <w:rsid w:val="0058622F"/>
    <w:rsid w:val="00587461"/>
    <w:rsid w:val="00592F82"/>
    <w:rsid w:val="005A0CCA"/>
    <w:rsid w:val="005A726D"/>
    <w:rsid w:val="005B0A04"/>
    <w:rsid w:val="005B67AC"/>
    <w:rsid w:val="005C2C94"/>
    <w:rsid w:val="005C4865"/>
    <w:rsid w:val="005D040C"/>
    <w:rsid w:val="005D43E0"/>
    <w:rsid w:val="005D58A3"/>
    <w:rsid w:val="005E1B79"/>
    <w:rsid w:val="005E5C28"/>
    <w:rsid w:val="005E665D"/>
    <w:rsid w:val="005F026D"/>
    <w:rsid w:val="005F21F4"/>
    <w:rsid w:val="005F2D0B"/>
    <w:rsid w:val="005F4B31"/>
    <w:rsid w:val="005F4DFA"/>
    <w:rsid w:val="0060073B"/>
    <w:rsid w:val="00610388"/>
    <w:rsid w:val="00612CA5"/>
    <w:rsid w:val="006153EC"/>
    <w:rsid w:val="00617A7C"/>
    <w:rsid w:val="00621A17"/>
    <w:rsid w:val="00622586"/>
    <w:rsid w:val="00622C2B"/>
    <w:rsid w:val="00622DCB"/>
    <w:rsid w:val="00627CC9"/>
    <w:rsid w:val="00627E7B"/>
    <w:rsid w:val="00630542"/>
    <w:rsid w:val="00632E44"/>
    <w:rsid w:val="00634622"/>
    <w:rsid w:val="00636808"/>
    <w:rsid w:val="00641002"/>
    <w:rsid w:val="00641515"/>
    <w:rsid w:val="00651774"/>
    <w:rsid w:val="00651AE3"/>
    <w:rsid w:val="00654C2F"/>
    <w:rsid w:val="00657087"/>
    <w:rsid w:val="00663010"/>
    <w:rsid w:val="006661EF"/>
    <w:rsid w:val="0067294B"/>
    <w:rsid w:val="00677736"/>
    <w:rsid w:val="00677AEB"/>
    <w:rsid w:val="00677F9A"/>
    <w:rsid w:val="00680EF2"/>
    <w:rsid w:val="006839C2"/>
    <w:rsid w:val="00687A1D"/>
    <w:rsid w:val="006920CC"/>
    <w:rsid w:val="00697EA1"/>
    <w:rsid w:val="006A1850"/>
    <w:rsid w:val="006A2646"/>
    <w:rsid w:val="006A4683"/>
    <w:rsid w:val="006A6530"/>
    <w:rsid w:val="006B26BD"/>
    <w:rsid w:val="006B435A"/>
    <w:rsid w:val="006B4C64"/>
    <w:rsid w:val="006D6BD5"/>
    <w:rsid w:val="006E2940"/>
    <w:rsid w:val="006E481A"/>
    <w:rsid w:val="006E5298"/>
    <w:rsid w:val="006F2CE3"/>
    <w:rsid w:val="006F734A"/>
    <w:rsid w:val="00700D83"/>
    <w:rsid w:val="00701E5D"/>
    <w:rsid w:val="00704852"/>
    <w:rsid w:val="00706297"/>
    <w:rsid w:val="00706AD5"/>
    <w:rsid w:val="007074E9"/>
    <w:rsid w:val="00707FC8"/>
    <w:rsid w:val="00713DA4"/>
    <w:rsid w:val="00714BF1"/>
    <w:rsid w:val="00721383"/>
    <w:rsid w:val="00724C4B"/>
    <w:rsid w:val="0072554C"/>
    <w:rsid w:val="007256FB"/>
    <w:rsid w:val="00725911"/>
    <w:rsid w:val="00731DBD"/>
    <w:rsid w:val="007333CC"/>
    <w:rsid w:val="0073399A"/>
    <w:rsid w:val="00757BC1"/>
    <w:rsid w:val="007603F5"/>
    <w:rsid w:val="00764DB0"/>
    <w:rsid w:val="0076764D"/>
    <w:rsid w:val="0077498C"/>
    <w:rsid w:val="00784128"/>
    <w:rsid w:val="00784B4B"/>
    <w:rsid w:val="007854ED"/>
    <w:rsid w:val="00793173"/>
    <w:rsid w:val="007A3AF4"/>
    <w:rsid w:val="007A7EEE"/>
    <w:rsid w:val="007B3AC7"/>
    <w:rsid w:val="007C1FCC"/>
    <w:rsid w:val="007C32A8"/>
    <w:rsid w:val="007C6201"/>
    <w:rsid w:val="007C6988"/>
    <w:rsid w:val="007C733C"/>
    <w:rsid w:val="007D28A1"/>
    <w:rsid w:val="007D3A2A"/>
    <w:rsid w:val="007D7C92"/>
    <w:rsid w:val="007E1154"/>
    <w:rsid w:val="007E1D39"/>
    <w:rsid w:val="007E6BA4"/>
    <w:rsid w:val="007E7678"/>
    <w:rsid w:val="007F41F8"/>
    <w:rsid w:val="007F466A"/>
    <w:rsid w:val="0080454E"/>
    <w:rsid w:val="00804C32"/>
    <w:rsid w:val="00806302"/>
    <w:rsid w:val="00807119"/>
    <w:rsid w:val="00817052"/>
    <w:rsid w:val="00817D57"/>
    <w:rsid w:val="00822764"/>
    <w:rsid w:val="0082483F"/>
    <w:rsid w:val="00825FDD"/>
    <w:rsid w:val="008264CB"/>
    <w:rsid w:val="00826563"/>
    <w:rsid w:val="008279C0"/>
    <w:rsid w:val="008313ED"/>
    <w:rsid w:val="00832C61"/>
    <w:rsid w:val="00835FD1"/>
    <w:rsid w:val="0084286F"/>
    <w:rsid w:val="0084683C"/>
    <w:rsid w:val="00853A74"/>
    <w:rsid w:val="008723F3"/>
    <w:rsid w:val="00881DE6"/>
    <w:rsid w:val="008825E8"/>
    <w:rsid w:val="008837A6"/>
    <w:rsid w:val="0089145D"/>
    <w:rsid w:val="00893C63"/>
    <w:rsid w:val="00894369"/>
    <w:rsid w:val="008955A6"/>
    <w:rsid w:val="008A0C6E"/>
    <w:rsid w:val="008A4DF2"/>
    <w:rsid w:val="008A6CFE"/>
    <w:rsid w:val="008B0B64"/>
    <w:rsid w:val="008B1A08"/>
    <w:rsid w:val="008B2DE3"/>
    <w:rsid w:val="008B5333"/>
    <w:rsid w:val="008B6223"/>
    <w:rsid w:val="008C66E0"/>
    <w:rsid w:val="008E3339"/>
    <w:rsid w:val="008E549B"/>
    <w:rsid w:val="008F18EF"/>
    <w:rsid w:val="008F20FC"/>
    <w:rsid w:val="008F5FFE"/>
    <w:rsid w:val="0090421A"/>
    <w:rsid w:val="00905A43"/>
    <w:rsid w:val="00912C79"/>
    <w:rsid w:val="009253D3"/>
    <w:rsid w:val="009260A2"/>
    <w:rsid w:val="00942123"/>
    <w:rsid w:val="0095207B"/>
    <w:rsid w:val="009538CB"/>
    <w:rsid w:val="00962045"/>
    <w:rsid w:val="00964EFC"/>
    <w:rsid w:val="00965648"/>
    <w:rsid w:val="00967EDA"/>
    <w:rsid w:val="00970897"/>
    <w:rsid w:val="00991428"/>
    <w:rsid w:val="00992676"/>
    <w:rsid w:val="00996691"/>
    <w:rsid w:val="009A4880"/>
    <w:rsid w:val="009A7865"/>
    <w:rsid w:val="009B0723"/>
    <w:rsid w:val="009B07AD"/>
    <w:rsid w:val="009B0883"/>
    <w:rsid w:val="009B15E2"/>
    <w:rsid w:val="009B6312"/>
    <w:rsid w:val="009C0850"/>
    <w:rsid w:val="009C0B8E"/>
    <w:rsid w:val="009C1BC8"/>
    <w:rsid w:val="009C2442"/>
    <w:rsid w:val="009D0811"/>
    <w:rsid w:val="009D0EE1"/>
    <w:rsid w:val="009D30BB"/>
    <w:rsid w:val="009D7CE0"/>
    <w:rsid w:val="009D7FAA"/>
    <w:rsid w:val="009E2AEB"/>
    <w:rsid w:val="009E2E27"/>
    <w:rsid w:val="009E4DE3"/>
    <w:rsid w:val="009F5740"/>
    <w:rsid w:val="00A047EE"/>
    <w:rsid w:val="00A075B6"/>
    <w:rsid w:val="00A114EA"/>
    <w:rsid w:val="00A153F7"/>
    <w:rsid w:val="00A213B5"/>
    <w:rsid w:val="00A2274A"/>
    <w:rsid w:val="00A235B7"/>
    <w:rsid w:val="00A2383A"/>
    <w:rsid w:val="00A24999"/>
    <w:rsid w:val="00A27A7A"/>
    <w:rsid w:val="00A363CD"/>
    <w:rsid w:val="00A407EF"/>
    <w:rsid w:val="00A4530C"/>
    <w:rsid w:val="00A46B4C"/>
    <w:rsid w:val="00A5117B"/>
    <w:rsid w:val="00A54689"/>
    <w:rsid w:val="00A56C65"/>
    <w:rsid w:val="00A60074"/>
    <w:rsid w:val="00A6627C"/>
    <w:rsid w:val="00A71019"/>
    <w:rsid w:val="00A726E7"/>
    <w:rsid w:val="00A76F00"/>
    <w:rsid w:val="00A81029"/>
    <w:rsid w:val="00A83CB5"/>
    <w:rsid w:val="00A87B5B"/>
    <w:rsid w:val="00A96489"/>
    <w:rsid w:val="00AA3A42"/>
    <w:rsid w:val="00AA5311"/>
    <w:rsid w:val="00AB0154"/>
    <w:rsid w:val="00AB07F7"/>
    <w:rsid w:val="00AB685C"/>
    <w:rsid w:val="00AB6C2D"/>
    <w:rsid w:val="00AB7359"/>
    <w:rsid w:val="00AC08F7"/>
    <w:rsid w:val="00AC342D"/>
    <w:rsid w:val="00AC3839"/>
    <w:rsid w:val="00AC7082"/>
    <w:rsid w:val="00AD3FEA"/>
    <w:rsid w:val="00AD5288"/>
    <w:rsid w:val="00AD7BBD"/>
    <w:rsid w:val="00AE4C33"/>
    <w:rsid w:val="00AE6054"/>
    <w:rsid w:val="00AF228E"/>
    <w:rsid w:val="00B04137"/>
    <w:rsid w:val="00B0456D"/>
    <w:rsid w:val="00B11D19"/>
    <w:rsid w:val="00B12936"/>
    <w:rsid w:val="00B14819"/>
    <w:rsid w:val="00B168FF"/>
    <w:rsid w:val="00B17AA9"/>
    <w:rsid w:val="00B24E34"/>
    <w:rsid w:val="00B32DE4"/>
    <w:rsid w:val="00B33578"/>
    <w:rsid w:val="00B35392"/>
    <w:rsid w:val="00B370C3"/>
    <w:rsid w:val="00B411AE"/>
    <w:rsid w:val="00B60190"/>
    <w:rsid w:val="00B61419"/>
    <w:rsid w:val="00B61FD3"/>
    <w:rsid w:val="00B64DA0"/>
    <w:rsid w:val="00B65446"/>
    <w:rsid w:val="00B676D3"/>
    <w:rsid w:val="00B72F5F"/>
    <w:rsid w:val="00B736DF"/>
    <w:rsid w:val="00B7370C"/>
    <w:rsid w:val="00B73F3B"/>
    <w:rsid w:val="00B74FBD"/>
    <w:rsid w:val="00B82586"/>
    <w:rsid w:val="00B829A3"/>
    <w:rsid w:val="00B86DB1"/>
    <w:rsid w:val="00B87869"/>
    <w:rsid w:val="00B87977"/>
    <w:rsid w:val="00BA0E44"/>
    <w:rsid w:val="00BA47C5"/>
    <w:rsid w:val="00BB0F2B"/>
    <w:rsid w:val="00BC18AF"/>
    <w:rsid w:val="00BC4901"/>
    <w:rsid w:val="00BF50F7"/>
    <w:rsid w:val="00C02F29"/>
    <w:rsid w:val="00C10C13"/>
    <w:rsid w:val="00C16823"/>
    <w:rsid w:val="00C17111"/>
    <w:rsid w:val="00C20747"/>
    <w:rsid w:val="00C20AFE"/>
    <w:rsid w:val="00C22A25"/>
    <w:rsid w:val="00C2396A"/>
    <w:rsid w:val="00C23B79"/>
    <w:rsid w:val="00C27FF2"/>
    <w:rsid w:val="00C3070B"/>
    <w:rsid w:val="00C351C7"/>
    <w:rsid w:val="00C35671"/>
    <w:rsid w:val="00C35B77"/>
    <w:rsid w:val="00C376EB"/>
    <w:rsid w:val="00C4003A"/>
    <w:rsid w:val="00C43EFE"/>
    <w:rsid w:val="00C46EC1"/>
    <w:rsid w:val="00C504E5"/>
    <w:rsid w:val="00C53A17"/>
    <w:rsid w:val="00C53E2C"/>
    <w:rsid w:val="00C54C2E"/>
    <w:rsid w:val="00C550C8"/>
    <w:rsid w:val="00C56B61"/>
    <w:rsid w:val="00C5714E"/>
    <w:rsid w:val="00C606C3"/>
    <w:rsid w:val="00C620F4"/>
    <w:rsid w:val="00C67ECE"/>
    <w:rsid w:val="00C72848"/>
    <w:rsid w:val="00C735D6"/>
    <w:rsid w:val="00C7736C"/>
    <w:rsid w:val="00C82D87"/>
    <w:rsid w:val="00C834C1"/>
    <w:rsid w:val="00C83F3F"/>
    <w:rsid w:val="00C841ED"/>
    <w:rsid w:val="00C84888"/>
    <w:rsid w:val="00C85F17"/>
    <w:rsid w:val="00C8712A"/>
    <w:rsid w:val="00C90EF4"/>
    <w:rsid w:val="00C963D3"/>
    <w:rsid w:val="00C97619"/>
    <w:rsid w:val="00CA6C5D"/>
    <w:rsid w:val="00CA6E0D"/>
    <w:rsid w:val="00CB0FB1"/>
    <w:rsid w:val="00CB1634"/>
    <w:rsid w:val="00CB2CBB"/>
    <w:rsid w:val="00CB7CAC"/>
    <w:rsid w:val="00CC0EA0"/>
    <w:rsid w:val="00CC5335"/>
    <w:rsid w:val="00CC5BA4"/>
    <w:rsid w:val="00CC70BB"/>
    <w:rsid w:val="00CD4998"/>
    <w:rsid w:val="00CE1035"/>
    <w:rsid w:val="00CF2819"/>
    <w:rsid w:val="00CF4F9D"/>
    <w:rsid w:val="00CF70DC"/>
    <w:rsid w:val="00D120A2"/>
    <w:rsid w:val="00D148DC"/>
    <w:rsid w:val="00D17B0D"/>
    <w:rsid w:val="00D17FDC"/>
    <w:rsid w:val="00D35D02"/>
    <w:rsid w:val="00D444C5"/>
    <w:rsid w:val="00D45AEA"/>
    <w:rsid w:val="00D56A37"/>
    <w:rsid w:val="00D63EFD"/>
    <w:rsid w:val="00D64826"/>
    <w:rsid w:val="00D67E81"/>
    <w:rsid w:val="00D73CEC"/>
    <w:rsid w:val="00D84752"/>
    <w:rsid w:val="00D85AB0"/>
    <w:rsid w:val="00D86592"/>
    <w:rsid w:val="00D86B3B"/>
    <w:rsid w:val="00D8748A"/>
    <w:rsid w:val="00D91133"/>
    <w:rsid w:val="00D93196"/>
    <w:rsid w:val="00DA1083"/>
    <w:rsid w:val="00DA26C8"/>
    <w:rsid w:val="00DB0DA1"/>
    <w:rsid w:val="00DB172D"/>
    <w:rsid w:val="00DB243C"/>
    <w:rsid w:val="00DB2980"/>
    <w:rsid w:val="00DB482A"/>
    <w:rsid w:val="00DB56F2"/>
    <w:rsid w:val="00DB6EF5"/>
    <w:rsid w:val="00DC3089"/>
    <w:rsid w:val="00DC4420"/>
    <w:rsid w:val="00DD0802"/>
    <w:rsid w:val="00DD0A50"/>
    <w:rsid w:val="00DD2E11"/>
    <w:rsid w:val="00DE03AF"/>
    <w:rsid w:val="00DE121C"/>
    <w:rsid w:val="00DE2A27"/>
    <w:rsid w:val="00DE3705"/>
    <w:rsid w:val="00DE421A"/>
    <w:rsid w:val="00DE6633"/>
    <w:rsid w:val="00DF2859"/>
    <w:rsid w:val="00DF2F65"/>
    <w:rsid w:val="00DF75F8"/>
    <w:rsid w:val="00DF7A3A"/>
    <w:rsid w:val="00E00C00"/>
    <w:rsid w:val="00E04A7C"/>
    <w:rsid w:val="00E069C4"/>
    <w:rsid w:val="00E07275"/>
    <w:rsid w:val="00E07866"/>
    <w:rsid w:val="00E07C5A"/>
    <w:rsid w:val="00E15BA9"/>
    <w:rsid w:val="00E26E19"/>
    <w:rsid w:val="00E30653"/>
    <w:rsid w:val="00E31DF3"/>
    <w:rsid w:val="00E32814"/>
    <w:rsid w:val="00E33486"/>
    <w:rsid w:val="00E450A4"/>
    <w:rsid w:val="00E4589A"/>
    <w:rsid w:val="00E506BE"/>
    <w:rsid w:val="00E55547"/>
    <w:rsid w:val="00E57410"/>
    <w:rsid w:val="00E6302B"/>
    <w:rsid w:val="00E6452F"/>
    <w:rsid w:val="00E64619"/>
    <w:rsid w:val="00E64F45"/>
    <w:rsid w:val="00E6742D"/>
    <w:rsid w:val="00E71CB0"/>
    <w:rsid w:val="00E73529"/>
    <w:rsid w:val="00E74A59"/>
    <w:rsid w:val="00E77C3D"/>
    <w:rsid w:val="00E84FA7"/>
    <w:rsid w:val="00E850FE"/>
    <w:rsid w:val="00E909F0"/>
    <w:rsid w:val="00E90D47"/>
    <w:rsid w:val="00E91F86"/>
    <w:rsid w:val="00E92D13"/>
    <w:rsid w:val="00E93993"/>
    <w:rsid w:val="00E9597C"/>
    <w:rsid w:val="00EA0913"/>
    <w:rsid w:val="00EA0A2F"/>
    <w:rsid w:val="00EB146B"/>
    <w:rsid w:val="00EB45AC"/>
    <w:rsid w:val="00EC1507"/>
    <w:rsid w:val="00EC2AEA"/>
    <w:rsid w:val="00EC7B11"/>
    <w:rsid w:val="00ED0BC4"/>
    <w:rsid w:val="00ED2B3D"/>
    <w:rsid w:val="00ED3771"/>
    <w:rsid w:val="00ED6A32"/>
    <w:rsid w:val="00EE03D3"/>
    <w:rsid w:val="00EE4971"/>
    <w:rsid w:val="00EF090E"/>
    <w:rsid w:val="00EF4252"/>
    <w:rsid w:val="00F033DA"/>
    <w:rsid w:val="00F11AAB"/>
    <w:rsid w:val="00F11DC2"/>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552CF"/>
    <w:rsid w:val="00F60538"/>
    <w:rsid w:val="00F61DD2"/>
    <w:rsid w:val="00F66AFF"/>
    <w:rsid w:val="00F6735F"/>
    <w:rsid w:val="00F71433"/>
    <w:rsid w:val="00F7241A"/>
    <w:rsid w:val="00F83E76"/>
    <w:rsid w:val="00F85824"/>
    <w:rsid w:val="00F862B7"/>
    <w:rsid w:val="00F90A57"/>
    <w:rsid w:val="00F97C5B"/>
    <w:rsid w:val="00FA05D2"/>
    <w:rsid w:val="00FA26EC"/>
    <w:rsid w:val="00FA359A"/>
    <w:rsid w:val="00FA3BEA"/>
    <w:rsid w:val="00FA3D50"/>
    <w:rsid w:val="00FB009F"/>
    <w:rsid w:val="00FB25B0"/>
    <w:rsid w:val="00FB27A3"/>
    <w:rsid w:val="00FB6136"/>
    <w:rsid w:val="00FC374A"/>
    <w:rsid w:val="00FC7B47"/>
    <w:rsid w:val="00FD035C"/>
    <w:rsid w:val="00FD1A35"/>
    <w:rsid w:val="00FD1FE6"/>
    <w:rsid w:val="00FD36C5"/>
    <w:rsid w:val="00FD428C"/>
    <w:rsid w:val="00FD6310"/>
    <w:rsid w:val="00FD7C7B"/>
    <w:rsid w:val="00FE0110"/>
    <w:rsid w:val="00FE1D12"/>
    <w:rsid w:val="00FE2122"/>
    <w:rsid w:val="00FE2A86"/>
    <w:rsid w:val="00FE56A5"/>
    <w:rsid w:val="00FF296F"/>
    <w:rsid w:val="00FF490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12</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Ishana Tripathi</cp:lastModifiedBy>
  <cp:revision>254</cp:revision>
  <cp:lastPrinted>2019-08-27T05:42:00Z</cp:lastPrinted>
  <dcterms:created xsi:type="dcterms:W3CDTF">2020-08-30T12:49:00Z</dcterms:created>
  <dcterms:modified xsi:type="dcterms:W3CDTF">2021-07-28T19:39:00Z</dcterms:modified>
</cp:coreProperties>
</file>