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61016CF2"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E02D1A7" w:rsidR="0011473D" w:rsidRDefault="00C56B6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2A</w:t>
      </w:r>
    </w:p>
    <w:p w14:paraId="1DCE41A2" w14:textId="0CB8A9C3" w:rsidR="002638B0" w:rsidRDefault="002638B0"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72B5525" w:rsidR="002638B0" w:rsidRPr="00996691" w:rsidRDefault="00996691"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THE UNCITRAL MODEL LAW</w:t>
      </w:r>
      <w:r w:rsidR="00EA0A2F">
        <w:rPr>
          <w:rFonts w:ascii="Arial" w:hAnsi="Arial" w:cs="Arial"/>
          <w:b/>
          <w:color w:val="000000" w:themeColor="text1"/>
          <w:sz w:val="24"/>
          <w:lang w:val="en-GB"/>
        </w:rPr>
        <w:t xml:space="preserve">S RELATING TO </w:t>
      </w:r>
      <w:r w:rsidRPr="00996691">
        <w:rPr>
          <w:rFonts w:ascii="Arial" w:hAnsi="Arial" w:cs="Arial"/>
          <w:b/>
          <w:color w:val="000000" w:themeColor="text1"/>
          <w:sz w:val="24"/>
          <w:lang w:val="en-GB"/>
        </w:rPr>
        <w:t>INSOLVENCY</w:t>
      </w:r>
    </w:p>
    <w:p w14:paraId="5E119630" w14:textId="77777777" w:rsidR="00434A8C" w:rsidRPr="007C6201" w:rsidRDefault="00434A8C" w:rsidP="008B2DE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0BEDAE55"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9A4880">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3C497A8F" w14:textId="77777777" w:rsidR="00E850FE" w:rsidRPr="00BF1C6F" w:rsidRDefault="00E850FE" w:rsidP="00E850FE">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BF1C6F" w:rsidRDefault="00E850FE" w:rsidP="00E850FE">
      <w:pPr>
        <w:jc w:val="both"/>
        <w:rPr>
          <w:rFonts w:ascii="Arial" w:hAnsi="Arial" w:cs="Arial"/>
          <w:b/>
          <w:sz w:val="22"/>
          <w:szCs w:val="22"/>
          <w:lang w:val="en-GB"/>
        </w:rPr>
      </w:pPr>
    </w:p>
    <w:p w14:paraId="27F5BBA4"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BF1C6F" w:rsidRDefault="00E850FE" w:rsidP="00E850FE">
      <w:pPr>
        <w:ind w:left="720" w:hanging="720"/>
        <w:jc w:val="both"/>
        <w:rPr>
          <w:rFonts w:ascii="Arial" w:hAnsi="Arial" w:cs="Arial"/>
          <w:sz w:val="22"/>
          <w:szCs w:val="22"/>
          <w:lang w:val="en-GB"/>
        </w:rPr>
      </w:pPr>
    </w:p>
    <w:p w14:paraId="542D5A33"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6AEA3C81" w14:textId="77777777" w:rsidR="00E850FE" w:rsidRPr="00BF1C6F" w:rsidRDefault="00E850FE" w:rsidP="00E850FE">
      <w:pPr>
        <w:ind w:left="720" w:hanging="720"/>
        <w:jc w:val="both"/>
        <w:rPr>
          <w:rFonts w:ascii="Arial" w:hAnsi="Arial" w:cs="Arial"/>
          <w:sz w:val="22"/>
          <w:szCs w:val="22"/>
          <w:lang w:val="en-GB"/>
        </w:rPr>
      </w:pPr>
    </w:p>
    <w:p w14:paraId="372002DF" w14:textId="77777777" w:rsidR="00E850FE" w:rsidRPr="00BF1C6F" w:rsidRDefault="00E850FE" w:rsidP="00E850FE">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BF1C6F" w:rsidRDefault="00E850FE" w:rsidP="00E850FE">
      <w:pPr>
        <w:ind w:left="720" w:hanging="720"/>
        <w:jc w:val="both"/>
        <w:rPr>
          <w:rFonts w:ascii="Arial" w:hAnsi="Arial" w:cs="Arial"/>
          <w:sz w:val="22"/>
          <w:szCs w:val="22"/>
          <w:lang w:val="en-GB"/>
        </w:rPr>
      </w:pPr>
    </w:p>
    <w:p w14:paraId="3E4E5E49" w14:textId="64384973" w:rsidR="00E850FE" w:rsidRPr="00BF1C6F"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2</w:t>
      </w:r>
      <w:r w:rsidR="00EA0A2F">
        <w:rPr>
          <w:rFonts w:ascii="Arial" w:hAnsi="Arial" w:cs="Arial"/>
          <w:b/>
          <w:bCs/>
          <w:sz w:val="22"/>
          <w:szCs w:val="22"/>
          <w:lang w:val="en-GB" w:eastAsia="en-GB"/>
        </w:rPr>
        <w:t>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2</w:t>
      </w:r>
      <w:r w:rsidR="00EA0A2F">
        <w:rPr>
          <w:rFonts w:ascii="Arial" w:hAnsi="Arial" w:cs="Arial"/>
          <w:sz w:val="22"/>
          <w:szCs w:val="22"/>
          <w:lang w:val="en-GB" w:eastAsia="en-GB"/>
        </w:rPr>
        <w:t>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5F83E737" w14:textId="77777777" w:rsidR="00E850FE" w:rsidRPr="00BF1C6F" w:rsidRDefault="00E850FE" w:rsidP="00E850FE">
      <w:pPr>
        <w:ind w:left="720" w:hanging="720"/>
        <w:jc w:val="both"/>
        <w:rPr>
          <w:rFonts w:ascii="Arial" w:hAnsi="Arial" w:cs="Arial"/>
          <w:sz w:val="22"/>
          <w:szCs w:val="22"/>
          <w:lang w:val="en-GB"/>
        </w:rPr>
      </w:pPr>
    </w:p>
    <w:p w14:paraId="624A1ADF" w14:textId="77777777" w:rsidR="00E850FE" w:rsidRPr="00592F82" w:rsidRDefault="00E850FE" w:rsidP="00E850FE">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4FF5BA72" w14:textId="77777777" w:rsidR="00E850FE" w:rsidRPr="00592F82" w:rsidRDefault="00E850FE" w:rsidP="00E850FE">
      <w:pPr>
        <w:ind w:left="720" w:hanging="720"/>
        <w:jc w:val="both"/>
        <w:rPr>
          <w:rFonts w:ascii="Arial" w:hAnsi="Arial" w:cs="Arial"/>
          <w:sz w:val="22"/>
          <w:szCs w:val="22"/>
          <w:lang w:val="en-GB"/>
        </w:rPr>
      </w:pPr>
    </w:p>
    <w:p w14:paraId="20FE94A9" w14:textId="709953CC" w:rsidR="00E850FE" w:rsidRDefault="00E850FE" w:rsidP="00E850FE">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EA0A2F">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Default="00E850FE" w:rsidP="00E850FE">
      <w:pPr>
        <w:ind w:left="720" w:hanging="720"/>
        <w:jc w:val="both"/>
        <w:rPr>
          <w:rFonts w:ascii="Arial" w:hAnsi="Arial" w:cs="Arial"/>
          <w:sz w:val="22"/>
          <w:szCs w:val="22"/>
          <w:lang w:val="en-GB"/>
        </w:rPr>
      </w:pPr>
    </w:p>
    <w:p w14:paraId="68D12797" w14:textId="54C256E0" w:rsidR="00E850FE" w:rsidRDefault="00E850FE" w:rsidP="00E850FE">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D56A37">
        <w:rPr>
          <w:rFonts w:ascii="Arial" w:hAnsi="Arial" w:cs="Arial"/>
          <w:sz w:val="22"/>
          <w:szCs w:val="22"/>
          <w:lang w:val="en-GB"/>
        </w:rPr>
        <w:t>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3AE8AE63" w14:textId="77777777" w:rsidR="00E850FE" w:rsidRDefault="00E850FE" w:rsidP="00E850FE">
      <w:pPr>
        <w:ind w:left="720" w:hanging="720"/>
        <w:jc w:val="both"/>
        <w:rPr>
          <w:rFonts w:ascii="Arial" w:hAnsi="Arial" w:cs="Arial"/>
          <w:sz w:val="22"/>
          <w:szCs w:val="22"/>
          <w:lang w:val="en-GB"/>
        </w:rPr>
      </w:pPr>
    </w:p>
    <w:p w14:paraId="40E8BCD6" w14:textId="0B76E056" w:rsidR="0018267A" w:rsidRPr="00592F82" w:rsidRDefault="00E850FE" w:rsidP="00E850F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1F93C230" w14:textId="77777777" w:rsidR="0050157D" w:rsidRDefault="0050157D" w:rsidP="0050157D">
      <w:pPr>
        <w:ind w:left="1440" w:hanging="1440"/>
        <w:jc w:val="both"/>
        <w:rPr>
          <w:rFonts w:ascii="Arial" w:hAnsi="Arial" w:cs="Arial"/>
          <w:sz w:val="22"/>
          <w:szCs w:val="22"/>
          <w:lang w:val="en-GB"/>
        </w:rPr>
      </w:pPr>
      <w:r>
        <w:rPr>
          <w:rFonts w:ascii="Arial" w:hAnsi="Arial" w:cs="Arial"/>
          <w:sz w:val="22"/>
          <w:szCs w:val="22"/>
          <w:lang w:val="en-GB"/>
        </w:rPr>
        <w:t xml:space="preserve">Which of the following statements </w:t>
      </w:r>
      <w:r w:rsidRPr="0023317E">
        <w:rPr>
          <w:rFonts w:ascii="Arial" w:hAnsi="Arial" w:cs="Arial"/>
          <w:b/>
          <w:bCs/>
          <w:sz w:val="22"/>
          <w:szCs w:val="22"/>
          <w:u w:val="single"/>
          <w:lang w:val="en-GB"/>
        </w:rPr>
        <w:t>incorrectly</w:t>
      </w:r>
      <w:r>
        <w:rPr>
          <w:rFonts w:ascii="Arial" w:hAnsi="Arial" w:cs="Arial"/>
          <w:sz w:val="22"/>
          <w:szCs w:val="22"/>
          <w:lang w:val="en-GB"/>
        </w:rPr>
        <w:t xml:space="preserve"> reflects the main purpose of the Model Law?</w:t>
      </w:r>
    </w:p>
    <w:p w14:paraId="028D65BD" w14:textId="77777777" w:rsidR="0050157D" w:rsidRDefault="0050157D" w:rsidP="0050157D">
      <w:pPr>
        <w:ind w:left="1440" w:hanging="1440"/>
        <w:jc w:val="both"/>
        <w:rPr>
          <w:rFonts w:ascii="Arial" w:hAnsi="Arial" w:cs="Arial"/>
          <w:sz w:val="22"/>
          <w:szCs w:val="22"/>
          <w:lang w:val="en-GB"/>
        </w:rPr>
      </w:pPr>
    </w:p>
    <w:p w14:paraId="0584B3EB" w14:textId="5DD9F8B2" w:rsidR="0050157D"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D45AEA">
        <w:rPr>
          <w:rFonts w:ascii="Arial" w:hAnsi="Arial" w:cs="Arial"/>
          <w:sz w:val="22"/>
          <w:szCs w:val="22"/>
          <w:lang w:val="en-GB"/>
        </w:rPr>
        <w:t>The Model Law provides effective mechanisms for dealing with cases of cross-border insolvency so as to promote a number of objectives</w:t>
      </w:r>
      <w:r w:rsidR="00A83CB5">
        <w:rPr>
          <w:rFonts w:ascii="Arial" w:hAnsi="Arial" w:cs="Arial"/>
          <w:sz w:val="22"/>
          <w:szCs w:val="22"/>
          <w:lang w:val="en-GB"/>
        </w:rPr>
        <w:t>,</w:t>
      </w:r>
      <w:r w:rsidRPr="00D45AEA">
        <w:rPr>
          <w:rFonts w:ascii="Arial" w:hAnsi="Arial" w:cs="Arial"/>
          <w:sz w:val="22"/>
          <w:szCs w:val="22"/>
          <w:lang w:val="en-GB"/>
        </w:rPr>
        <w:t xml:space="preserve"> including the protection and maximisation of trade and investment. </w:t>
      </w:r>
    </w:p>
    <w:p w14:paraId="4AD6E3C9" w14:textId="77777777" w:rsidR="00D45AEA" w:rsidRPr="00D45AEA" w:rsidRDefault="00D45AEA" w:rsidP="00D45AEA">
      <w:pPr>
        <w:jc w:val="both"/>
        <w:rPr>
          <w:rFonts w:ascii="Arial" w:hAnsi="Arial" w:cs="Arial"/>
          <w:sz w:val="22"/>
          <w:szCs w:val="22"/>
          <w:lang w:val="en-GB"/>
        </w:rPr>
      </w:pPr>
    </w:p>
    <w:bookmarkEnd w:id="0"/>
    <w:p w14:paraId="4EF6F0F3" w14:textId="2BA514EA"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provides effective mechanisms for dealing with cases of cross-border insolvency so as to promote a number of objectives</w:t>
      </w:r>
      <w:r w:rsidR="00B61419">
        <w:rPr>
          <w:rFonts w:ascii="Arial" w:hAnsi="Arial" w:cs="Arial"/>
          <w:sz w:val="22"/>
          <w:szCs w:val="22"/>
          <w:lang w:val="en-GB"/>
        </w:rPr>
        <w:t>,</w:t>
      </w:r>
      <w:r w:rsidRPr="00D45AEA">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D45AEA" w:rsidRDefault="00D45AEA" w:rsidP="00D45AEA">
      <w:pPr>
        <w:jc w:val="both"/>
        <w:rPr>
          <w:rFonts w:ascii="Arial" w:hAnsi="Arial" w:cs="Arial"/>
          <w:sz w:val="22"/>
          <w:szCs w:val="22"/>
          <w:lang w:val="en-GB"/>
        </w:rPr>
      </w:pPr>
    </w:p>
    <w:p w14:paraId="72867C0C" w14:textId="7720210F" w:rsidR="0050157D" w:rsidRDefault="0050157D" w:rsidP="00D45AEA">
      <w:pPr>
        <w:pStyle w:val="ListParagraph"/>
        <w:numPr>
          <w:ilvl w:val="0"/>
          <w:numId w:val="12"/>
        </w:numPr>
        <w:ind w:left="426"/>
        <w:jc w:val="both"/>
        <w:rPr>
          <w:rFonts w:ascii="Arial" w:hAnsi="Arial" w:cs="Arial"/>
          <w:sz w:val="22"/>
          <w:szCs w:val="22"/>
          <w:lang w:val="en-GB"/>
        </w:rPr>
      </w:pPr>
      <w:r w:rsidRPr="00D45AEA">
        <w:rPr>
          <w:rFonts w:ascii="Arial" w:hAnsi="Arial" w:cs="Arial"/>
          <w:sz w:val="22"/>
          <w:szCs w:val="22"/>
          <w:lang w:val="en-GB"/>
        </w:rPr>
        <w:t>The Model Law is a substantive unification of insolvency law so as to promote co</w:t>
      </w:r>
      <w:r w:rsidR="00B61419">
        <w:rPr>
          <w:rFonts w:ascii="Arial" w:hAnsi="Arial" w:cs="Arial"/>
          <w:sz w:val="22"/>
          <w:szCs w:val="22"/>
          <w:lang w:val="en-GB"/>
        </w:rPr>
        <w:t>-</w:t>
      </w:r>
      <w:r w:rsidRPr="00D45AEA">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D45AEA" w:rsidRDefault="00D45AEA" w:rsidP="00D45AEA">
      <w:pPr>
        <w:jc w:val="both"/>
        <w:rPr>
          <w:rFonts w:ascii="Arial" w:hAnsi="Arial" w:cs="Arial"/>
          <w:sz w:val="22"/>
          <w:szCs w:val="22"/>
          <w:lang w:val="en-GB"/>
        </w:rPr>
      </w:pPr>
    </w:p>
    <w:p w14:paraId="2C51CADA" w14:textId="77777777" w:rsidR="0050157D" w:rsidRPr="00EA5AA3"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EA5AA3">
        <w:rPr>
          <w:rFonts w:ascii="Arial" w:hAnsi="Arial" w:cs="Arial"/>
          <w:sz w:val="22"/>
          <w:szCs w:val="22"/>
          <w:highlight w:val="yellow"/>
          <w:lang w:val="en-GB"/>
        </w:rPr>
        <w:t xml:space="preserve">All of the above. </w:t>
      </w:r>
      <w:bookmarkEnd w:id="1"/>
      <w:r w:rsidRPr="00EA5AA3">
        <w:rPr>
          <w:rFonts w:ascii="Arial" w:hAnsi="Arial" w:cs="Arial"/>
          <w:sz w:val="22"/>
          <w:szCs w:val="22"/>
          <w:highlight w:val="yellow"/>
          <w:lang w:val="en-GB"/>
        </w:rPr>
        <w:t xml:space="preserve"> </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063A1589" w14:textId="77777777" w:rsidR="005F21F4" w:rsidRPr="00553EB2" w:rsidRDefault="005F21F4" w:rsidP="005F21F4">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5F21F4">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r w:rsidRPr="00553EB2">
        <w:rPr>
          <w:rFonts w:ascii="Arial" w:hAnsi="Arial" w:cs="Arial"/>
          <w:sz w:val="22"/>
          <w:szCs w:val="22"/>
          <w:lang w:val="en-GB"/>
        </w:rPr>
        <w:tab/>
      </w:r>
    </w:p>
    <w:p w14:paraId="7D58ED8D" w14:textId="77777777" w:rsidR="005F21F4" w:rsidRDefault="005F21F4" w:rsidP="005F21F4">
      <w:pPr>
        <w:ind w:left="720" w:hanging="720"/>
        <w:jc w:val="both"/>
        <w:rPr>
          <w:rFonts w:ascii="Arial" w:hAnsi="Arial" w:cs="Arial"/>
          <w:sz w:val="22"/>
          <w:szCs w:val="22"/>
          <w:lang w:val="en-GB"/>
        </w:rPr>
      </w:pPr>
    </w:p>
    <w:p w14:paraId="579E30AF" w14:textId="0EFA6E86"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existence of a statutory basis in national (insolvency) laws for co</w:t>
      </w:r>
      <w:r w:rsidR="00B61419">
        <w:rPr>
          <w:rFonts w:ascii="Arial" w:hAnsi="Arial" w:cs="Arial"/>
          <w:sz w:val="22"/>
          <w:szCs w:val="22"/>
          <w:lang w:val="en-GB"/>
        </w:rPr>
        <w:t>-</w:t>
      </w:r>
      <w:r w:rsidRPr="005F21F4">
        <w:rPr>
          <w:rFonts w:ascii="Arial" w:hAnsi="Arial" w:cs="Arial"/>
          <w:sz w:val="22"/>
          <w:szCs w:val="22"/>
          <w:lang w:val="en-GB"/>
        </w:rPr>
        <w:t>operation and co</w:t>
      </w:r>
      <w:r w:rsidR="00B61419">
        <w:rPr>
          <w:rFonts w:ascii="Arial" w:hAnsi="Arial" w:cs="Arial"/>
          <w:sz w:val="22"/>
          <w:szCs w:val="22"/>
          <w:lang w:val="en-GB"/>
        </w:rPr>
        <w:t>-</w:t>
      </w:r>
      <w:r w:rsidRPr="005F21F4">
        <w:rPr>
          <w:rFonts w:ascii="Arial" w:hAnsi="Arial" w:cs="Arial"/>
          <w:sz w:val="22"/>
          <w:szCs w:val="22"/>
          <w:lang w:val="en-GB"/>
        </w:rPr>
        <w:t>ordination of domestic courts with foreign courts or foreign representatives.</w:t>
      </w:r>
    </w:p>
    <w:p w14:paraId="30D6527E" w14:textId="77777777" w:rsidR="005F21F4" w:rsidRPr="005F21F4" w:rsidRDefault="005F21F4" w:rsidP="005F21F4">
      <w:pPr>
        <w:jc w:val="both"/>
        <w:rPr>
          <w:rFonts w:ascii="Arial" w:hAnsi="Arial" w:cs="Arial"/>
          <w:sz w:val="22"/>
          <w:szCs w:val="22"/>
          <w:lang w:val="en-GB"/>
        </w:rPr>
      </w:pPr>
    </w:p>
    <w:p w14:paraId="6ABE8A28" w14:textId="2927786D" w:rsidR="005F21F4" w:rsidRDefault="005F21F4" w:rsidP="005F21F4">
      <w:pPr>
        <w:pStyle w:val="ListParagraph"/>
        <w:numPr>
          <w:ilvl w:val="0"/>
          <w:numId w:val="14"/>
        </w:numPr>
        <w:ind w:left="426"/>
        <w:jc w:val="both"/>
        <w:rPr>
          <w:rFonts w:ascii="Arial" w:hAnsi="Arial" w:cs="Arial"/>
          <w:sz w:val="22"/>
          <w:szCs w:val="22"/>
          <w:lang w:val="en-GB"/>
        </w:rPr>
      </w:pPr>
      <w:r w:rsidRPr="005F21F4">
        <w:rPr>
          <w:rFonts w:ascii="Arial" w:hAnsi="Arial" w:cs="Arial"/>
          <w:sz w:val="22"/>
          <w:szCs w:val="22"/>
          <w:lang w:val="en-GB"/>
        </w:rPr>
        <w:t>The difficulty of agreeing multilateral treaties dealing with insolvency law.</w:t>
      </w:r>
    </w:p>
    <w:p w14:paraId="6A43C077" w14:textId="77777777" w:rsidR="005F21F4" w:rsidRPr="005F21F4" w:rsidRDefault="005F21F4" w:rsidP="005F21F4">
      <w:pPr>
        <w:jc w:val="both"/>
        <w:rPr>
          <w:rFonts w:ascii="Arial" w:hAnsi="Arial" w:cs="Arial"/>
          <w:sz w:val="22"/>
          <w:szCs w:val="22"/>
          <w:lang w:val="en-GB"/>
        </w:rPr>
      </w:pPr>
    </w:p>
    <w:p w14:paraId="2AC6FF8B" w14:textId="36020BE7" w:rsidR="005F21F4" w:rsidRPr="007B73BC" w:rsidRDefault="005F21F4" w:rsidP="005F21F4">
      <w:pPr>
        <w:pStyle w:val="ListParagraph"/>
        <w:numPr>
          <w:ilvl w:val="0"/>
          <w:numId w:val="14"/>
        </w:numPr>
        <w:ind w:left="426"/>
        <w:jc w:val="both"/>
        <w:rPr>
          <w:rFonts w:ascii="Arial" w:hAnsi="Arial" w:cs="Arial"/>
          <w:sz w:val="22"/>
          <w:szCs w:val="22"/>
          <w:highlight w:val="yellow"/>
          <w:lang w:val="en-GB"/>
        </w:rPr>
      </w:pPr>
      <w:r w:rsidRPr="007B73BC">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5F21F4" w:rsidRDefault="005F21F4" w:rsidP="005F21F4">
      <w:pPr>
        <w:jc w:val="both"/>
        <w:rPr>
          <w:rFonts w:ascii="Arial" w:hAnsi="Arial" w:cs="Arial"/>
          <w:sz w:val="22"/>
          <w:szCs w:val="22"/>
          <w:lang w:val="en-GB"/>
        </w:rPr>
      </w:pPr>
    </w:p>
    <w:p w14:paraId="2F463743" w14:textId="77777777" w:rsidR="005F21F4" w:rsidRPr="005F21F4"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F21F4">
        <w:rPr>
          <w:rFonts w:ascii="Arial" w:hAnsi="Arial" w:cs="Arial"/>
          <w:sz w:val="22"/>
          <w:szCs w:val="22"/>
          <w:lang w:val="en-GB"/>
        </w:rPr>
        <w:t xml:space="preserve">None of the above. </w:t>
      </w:r>
      <w:bookmarkEnd w:id="2"/>
    </w:p>
    <w:p w14:paraId="06CBC028" w14:textId="77777777" w:rsidR="00E9597C" w:rsidRPr="00E9597C" w:rsidRDefault="00E9597C"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1.3</w:t>
      </w:r>
    </w:p>
    <w:p w14:paraId="3CB02A2A" w14:textId="77777777" w:rsidR="00E9597C" w:rsidRDefault="00E9597C" w:rsidP="00707FC8">
      <w:pPr>
        <w:jc w:val="both"/>
        <w:rPr>
          <w:rFonts w:ascii="Arial" w:hAnsi="Arial" w:cs="Arial"/>
          <w:b/>
          <w:bCs/>
          <w:sz w:val="22"/>
          <w:szCs w:val="22"/>
        </w:rPr>
      </w:pPr>
    </w:p>
    <w:p w14:paraId="284547D6" w14:textId="75FE8860" w:rsidR="00853A74" w:rsidRPr="00553EB2" w:rsidRDefault="00853A74" w:rsidP="00853A74">
      <w:pPr>
        <w:jc w:val="both"/>
        <w:rPr>
          <w:rFonts w:ascii="Arial" w:hAnsi="Arial" w:cs="Arial"/>
          <w:sz w:val="22"/>
          <w:szCs w:val="22"/>
          <w:lang w:val="en-GB"/>
        </w:rPr>
      </w:pPr>
      <w:r>
        <w:rPr>
          <w:rFonts w:ascii="Arial" w:hAnsi="Arial" w:cs="Arial"/>
          <w:sz w:val="22"/>
          <w:szCs w:val="22"/>
          <w:lang w:val="en-GB"/>
        </w:rPr>
        <w:t xml:space="preserve">Which of the following challenges </w:t>
      </w:r>
      <w:r w:rsidR="00CC0EA0">
        <w:rPr>
          <w:rFonts w:ascii="Arial" w:hAnsi="Arial" w:cs="Arial"/>
          <w:sz w:val="22"/>
          <w:szCs w:val="22"/>
          <w:lang w:val="en-GB"/>
        </w:rPr>
        <w:t>to</w:t>
      </w:r>
      <w:r>
        <w:rPr>
          <w:rFonts w:ascii="Arial" w:hAnsi="Arial" w:cs="Arial"/>
          <w:sz w:val="22"/>
          <w:szCs w:val="22"/>
          <w:lang w:val="en-GB"/>
        </w:rPr>
        <w:t xml:space="preserve"> a recognition application under the Model Law </w:t>
      </w:r>
      <w:r w:rsidRPr="00853A74">
        <w:rPr>
          <w:rFonts w:ascii="Arial" w:hAnsi="Arial" w:cs="Arial"/>
          <w:b/>
          <w:bCs/>
          <w:sz w:val="22"/>
          <w:szCs w:val="22"/>
          <w:u w:val="single"/>
          <w:lang w:val="en-GB"/>
        </w:rPr>
        <w:t>is most likely to be successful</w:t>
      </w:r>
      <w:r>
        <w:rPr>
          <w:rFonts w:ascii="Arial" w:hAnsi="Arial" w:cs="Arial"/>
          <w:sz w:val="22"/>
          <w:szCs w:val="22"/>
          <w:lang w:val="en-GB"/>
        </w:rPr>
        <w:t xml:space="preserve">? </w:t>
      </w:r>
      <w:r w:rsidRPr="00553EB2">
        <w:rPr>
          <w:rFonts w:ascii="Arial" w:hAnsi="Arial" w:cs="Arial"/>
          <w:sz w:val="22"/>
          <w:szCs w:val="22"/>
          <w:lang w:val="en-GB"/>
        </w:rPr>
        <w:tab/>
      </w:r>
    </w:p>
    <w:p w14:paraId="04E1B23D" w14:textId="77777777" w:rsidR="00853A74" w:rsidRDefault="00853A74" w:rsidP="00853A74">
      <w:pPr>
        <w:ind w:left="720" w:hanging="720"/>
        <w:jc w:val="both"/>
        <w:rPr>
          <w:rFonts w:ascii="Arial" w:hAnsi="Arial" w:cs="Arial"/>
          <w:sz w:val="22"/>
          <w:szCs w:val="22"/>
          <w:lang w:val="en-GB"/>
        </w:rPr>
      </w:pPr>
    </w:p>
    <w:p w14:paraId="617F8B4D"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853A74" w:rsidRDefault="00853A74" w:rsidP="00853A74">
      <w:pPr>
        <w:jc w:val="both"/>
        <w:rPr>
          <w:rFonts w:ascii="Arial" w:hAnsi="Arial" w:cs="Arial"/>
          <w:sz w:val="22"/>
          <w:szCs w:val="22"/>
          <w:lang w:val="en-GB"/>
        </w:rPr>
      </w:pPr>
    </w:p>
    <w:p w14:paraId="7EBF08BF" w14:textId="0CD8988B" w:rsidR="00853A74" w:rsidRPr="00BD2A69" w:rsidRDefault="00853A74" w:rsidP="00853A74">
      <w:pPr>
        <w:pStyle w:val="ListParagraph"/>
        <w:numPr>
          <w:ilvl w:val="0"/>
          <w:numId w:val="16"/>
        </w:numPr>
        <w:ind w:left="426"/>
        <w:jc w:val="both"/>
        <w:rPr>
          <w:rFonts w:ascii="Arial" w:hAnsi="Arial" w:cs="Arial"/>
          <w:sz w:val="22"/>
          <w:szCs w:val="22"/>
          <w:highlight w:val="yellow"/>
          <w:lang w:val="en-GB"/>
        </w:rPr>
      </w:pPr>
      <w:r w:rsidRPr="00BD2A69">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853A74" w:rsidRDefault="00853A74" w:rsidP="00853A74">
      <w:pPr>
        <w:jc w:val="both"/>
        <w:rPr>
          <w:rFonts w:ascii="Arial" w:hAnsi="Arial" w:cs="Arial"/>
          <w:sz w:val="22"/>
          <w:szCs w:val="22"/>
          <w:lang w:val="en-GB"/>
        </w:rPr>
      </w:pPr>
    </w:p>
    <w:p w14:paraId="01BF8618" w14:textId="77777777" w:rsidR="00853A74" w:rsidRPr="00853A74" w:rsidRDefault="00853A74" w:rsidP="00853A74">
      <w:pPr>
        <w:pStyle w:val="ListParagraph"/>
        <w:numPr>
          <w:ilvl w:val="0"/>
          <w:numId w:val="16"/>
        </w:numPr>
        <w:ind w:left="426"/>
        <w:jc w:val="both"/>
        <w:rPr>
          <w:rFonts w:ascii="Arial" w:hAnsi="Arial" w:cs="Arial"/>
          <w:sz w:val="22"/>
          <w:szCs w:val="22"/>
          <w:lang w:val="en-GB"/>
        </w:rPr>
      </w:pPr>
      <w:r w:rsidRPr="00853A74">
        <w:rPr>
          <w:rFonts w:ascii="Arial" w:hAnsi="Arial" w:cs="Arial"/>
          <w:sz w:val="22"/>
          <w:szCs w:val="22"/>
          <w:lang w:val="en-GB"/>
        </w:rPr>
        <w:t xml:space="preserve">The debtor has neither its COMI nor an establishment in the jurisdiction of the enacting State.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7A339DB6" w14:textId="77777777" w:rsidR="00E57410" w:rsidRDefault="00E57410" w:rsidP="00E57410">
      <w:pPr>
        <w:jc w:val="both"/>
        <w:rPr>
          <w:rFonts w:ascii="Arial" w:hAnsi="Arial" w:cs="Arial"/>
          <w:sz w:val="22"/>
          <w:szCs w:val="22"/>
          <w:lang w:val="en-GB"/>
        </w:rPr>
      </w:pPr>
      <w:r>
        <w:rPr>
          <w:rFonts w:ascii="Arial" w:hAnsi="Arial" w:cs="Arial"/>
          <w:sz w:val="22"/>
          <w:szCs w:val="22"/>
          <w:lang w:val="en-GB"/>
        </w:rPr>
        <w:t xml:space="preserve">“Cross-border insolvencies are inherently chaotic and value evaporates quickly with the passage of time”. Which of the following rules or concepts set forth in the Model Law </w:t>
      </w:r>
      <w:r w:rsidRPr="007C6988">
        <w:rPr>
          <w:rFonts w:ascii="Arial" w:hAnsi="Arial" w:cs="Arial"/>
          <w:b/>
          <w:bCs/>
          <w:sz w:val="22"/>
          <w:szCs w:val="22"/>
          <w:u w:val="single"/>
          <w:lang w:val="en-GB"/>
        </w:rPr>
        <w:t>best addresses</w:t>
      </w:r>
      <w:r>
        <w:rPr>
          <w:rFonts w:ascii="Arial" w:hAnsi="Arial" w:cs="Arial"/>
          <w:sz w:val="22"/>
          <w:szCs w:val="22"/>
          <w:lang w:val="en-GB"/>
        </w:rPr>
        <w:t xml:space="preserve"> this feature of cross-border insolvencies?</w:t>
      </w:r>
    </w:p>
    <w:p w14:paraId="293655D7" w14:textId="77777777" w:rsidR="00E57410" w:rsidRDefault="00E57410" w:rsidP="00E57410">
      <w:pPr>
        <w:ind w:left="720" w:hanging="720"/>
        <w:jc w:val="both"/>
        <w:rPr>
          <w:rFonts w:ascii="Arial" w:hAnsi="Arial" w:cs="Arial"/>
          <w:sz w:val="22"/>
          <w:szCs w:val="22"/>
          <w:lang w:val="en-GB"/>
        </w:rPr>
      </w:pPr>
    </w:p>
    <w:p w14:paraId="2487E35D" w14:textId="6F8D46E6" w:rsidR="00E57410" w:rsidRPr="00421AEE" w:rsidRDefault="00E57410" w:rsidP="00322F3B">
      <w:pPr>
        <w:pStyle w:val="ListParagraph"/>
        <w:numPr>
          <w:ilvl w:val="0"/>
          <w:numId w:val="18"/>
        </w:numPr>
        <w:ind w:left="426"/>
        <w:jc w:val="both"/>
        <w:rPr>
          <w:rFonts w:ascii="Arial" w:hAnsi="Arial" w:cs="Arial"/>
          <w:sz w:val="22"/>
          <w:szCs w:val="22"/>
          <w:lang w:val="en-GB"/>
        </w:rPr>
      </w:pPr>
      <w:r w:rsidRPr="00421AEE">
        <w:rPr>
          <w:rFonts w:ascii="Arial" w:hAnsi="Arial" w:cs="Arial"/>
          <w:sz w:val="22"/>
          <w:szCs w:val="22"/>
          <w:lang w:val="en-GB"/>
        </w:rPr>
        <w:t xml:space="preserve">The </w:t>
      </w:r>
      <w:r w:rsidRPr="00421AEE">
        <w:rPr>
          <w:rFonts w:ascii="Arial" w:hAnsi="Arial" w:cs="Arial"/>
          <w:i/>
          <w:iCs/>
          <w:sz w:val="22"/>
          <w:szCs w:val="22"/>
          <w:lang w:val="en-GB"/>
        </w:rPr>
        <w:t>locus standi</w:t>
      </w:r>
      <w:r w:rsidRPr="00421AEE">
        <w:rPr>
          <w:rFonts w:ascii="Arial" w:hAnsi="Arial" w:cs="Arial"/>
          <w:sz w:val="22"/>
          <w:szCs w:val="22"/>
          <w:lang w:val="en-GB"/>
        </w:rPr>
        <w:t xml:space="preserve"> access rules.</w:t>
      </w:r>
    </w:p>
    <w:p w14:paraId="19E5DE57" w14:textId="77777777" w:rsidR="00322F3B" w:rsidRPr="00322F3B" w:rsidRDefault="00322F3B" w:rsidP="00322F3B">
      <w:pPr>
        <w:jc w:val="both"/>
        <w:rPr>
          <w:rFonts w:ascii="Arial" w:hAnsi="Arial" w:cs="Arial"/>
          <w:sz w:val="22"/>
          <w:szCs w:val="22"/>
          <w:lang w:val="en-GB"/>
        </w:rPr>
      </w:pPr>
    </w:p>
    <w:p w14:paraId="0C2A1A7D" w14:textId="228F81F4" w:rsidR="00E57410"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public policy exception.</w:t>
      </w:r>
    </w:p>
    <w:p w14:paraId="76793904" w14:textId="77777777" w:rsidR="00322F3B" w:rsidRPr="00322F3B" w:rsidRDefault="00322F3B" w:rsidP="00322F3B">
      <w:pPr>
        <w:jc w:val="both"/>
        <w:rPr>
          <w:rFonts w:ascii="Arial" w:hAnsi="Arial" w:cs="Arial"/>
          <w:sz w:val="22"/>
          <w:szCs w:val="22"/>
          <w:lang w:val="en-GB"/>
        </w:rPr>
      </w:pPr>
    </w:p>
    <w:p w14:paraId="4646EDA0" w14:textId="238D4451" w:rsidR="00E57410" w:rsidRPr="00421AEE" w:rsidRDefault="00E57410" w:rsidP="00322F3B">
      <w:pPr>
        <w:pStyle w:val="ListParagraph"/>
        <w:numPr>
          <w:ilvl w:val="0"/>
          <w:numId w:val="18"/>
        </w:numPr>
        <w:ind w:left="426"/>
        <w:jc w:val="both"/>
        <w:rPr>
          <w:rFonts w:ascii="Arial" w:hAnsi="Arial" w:cs="Arial"/>
          <w:sz w:val="22"/>
          <w:szCs w:val="22"/>
          <w:highlight w:val="yellow"/>
          <w:lang w:val="en-GB"/>
        </w:rPr>
      </w:pPr>
      <w:r w:rsidRPr="00421AEE">
        <w:rPr>
          <w:rFonts w:ascii="Arial" w:hAnsi="Arial" w:cs="Arial"/>
          <w:sz w:val="22"/>
          <w:szCs w:val="22"/>
          <w:highlight w:val="yellow"/>
          <w:lang w:val="en-GB"/>
        </w:rPr>
        <w:t>The safe conduct rule.</w:t>
      </w:r>
    </w:p>
    <w:p w14:paraId="7D82A69F" w14:textId="77777777" w:rsidR="00322F3B" w:rsidRPr="00322F3B" w:rsidRDefault="00322F3B" w:rsidP="00322F3B">
      <w:pPr>
        <w:jc w:val="both"/>
        <w:rPr>
          <w:rFonts w:ascii="Arial" w:hAnsi="Arial" w:cs="Arial"/>
          <w:sz w:val="22"/>
          <w:szCs w:val="22"/>
          <w:lang w:val="en-GB"/>
        </w:rPr>
      </w:pPr>
    </w:p>
    <w:p w14:paraId="2A16E027" w14:textId="77777777" w:rsidR="00E57410" w:rsidRPr="00322F3B" w:rsidRDefault="00E57410" w:rsidP="00322F3B">
      <w:pPr>
        <w:pStyle w:val="ListParagraph"/>
        <w:numPr>
          <w:ilvl w:val="0"/>
          <w:numId w:val="18"/>
        </w:numPr>
        <w:ind w:left="426"/>
        <w:jc w:val="both"/>
        <w:rPr>
          <w:rFonts w:ascii="Arial" w:hAnsi="Arial" w:cs="Arial"/>
          <w:sz w:val="22"/>
          <w:szCs w:val="22"/>
          <w:lang w:val="en-GB"/>
        </w:rPr>
      </w:pPr>
      <w:r w:rsidRPr="00322F3B">
        <w:rPr>
          <w:rFonts w:ascii="Arial" w:hAnsi="Arial" w:cs="Arial"/>
          <w:sz w:val="22"/>
          <w:szCs w:val="22"/>
          <w:lang w:val="en-GB"/>
        </w:rPr>
        <w:t>The “hotchpot” rule.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0BC3A6CF" w14:textId="77777777" w:rsidR="00C504E5" w:rsidRDefault="00C504E5" w:rsidP="00C504E5">
      <w:pPr>
        <w:jc w:val="both"/>
        <w:rPr>
          <w:rFonts w:ascii="Arial" w:hAnsi="Arial" w:cs="Arial"/>
          <w:sz w:val="22"/>
          <w:szCs w:val="22"/>
          <w:lang w:val="en-GB"/>
        </w:rPr>
      </w:pPr>
      <w:r>
        <w:rPr>
          <w:rFonts w:ascii="Arial" w:hAnsi="Arial" w:cs="Arial"/>
          <w:sz w:val="22"/>
          <w:szCs w:val="22"/>
          <w:lang w:val="en-GB"/>
        </w:rPr>
        <w:t>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w:t>
      </w:r>
      <w:r w:rsidRPr="00C94225">
        <w:rPr>
          <w:rFonts w:ascii="Arial" w:hAnsi="Arial" w:cs="Arial"/>
          <w:sz w:val="22"/>
          <w:szCs w:val="22"/>
          <w:lang w:val="en-GB"/>
        </w:rPr>
        <w:t xml:space="preserve"> </w:t>
      </w:r>
      <w:r>
        <w:rPr>
          <w:rFonts w:ascii="Arial" w:hAnsi="Arial" w:cs="Arial"/>
          <w:sz w:val="22"/>
          <w:szCs w:val="22"/>
          <w:lang w:val="en-GB"/>
        </w:rPr>
        <w:t xml:space="preserve">subject to the so-called principle of reciprocity (based on country designation), Brazil has not implemented the Model Law and the UK has implemented the Model Law </w:t>
      </w:r>
      <w:bookmarkStart w:id="3" w:name="_Hlk47083487"/>
      <w:r>
        <w:rPr>
          <w:rFonts w:ascii="Arial" w:hAnsi="Arial" w:cs="Arial"/>
          <w:sz w:val="22"/>
          <w:szCs w:val="22"/>
          <w:lang w:val="en-GB"/>
        </w:rPr>
        <w:t>without any so-called principle of reciprocity</w:t>
      </w:r>
      <w:bookmarkEnd w:id="3"/>
      <w:r>
        <w:rPr>
          <w:rFonts w:ascii="Arial" w:hAnsi="Arial" w:cs="Arial"/>
          <w:sz w:val="22"/>
          <w:szCs w:val="22"/>
          <w:lang w:val="en-GB"/>
        </w:rPr>
        <w:t xml:space="preserve">. In this scenario, </w:t>
      </w:r>
      <w:r w:rsidRPr="00C504E5">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BE30759" w14:textId="77777777" w:rsidR="00C504E5" w:rsidRDefault="00C504E5" w:rsidP="00C504E5">
      <w:pPr>
        <w:ind w:left="720" w:hanging="720"/>
        <w:jc w:val="both"/>
        <w:rPr>
          <w:rFonts w:ascii="Arial" w:hAnsi="Arial" w:cs="Arial"/>
          <w:sz w:val="22"/>
          <w:szCs w:val="22"/>
          <w:lang w:val="en-GB"/>
        </w:rPr>
      </w:pPr>
    </w:p>
    <w:p w14:paraId="7F9DCB5A" w14:textId="5A120E5F"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The foreign main proceedings in South Africa will not be recognised in the UK because the UK is not a designated country under South Africa’s principle of reciprocity, but the foreign non-main proceedings in Brazil will be recognised in the UK despite Brazil not having implemented the Model Law.</w:t>
      </w:r>
    </w:p>
    <w:p w14:paraId="01BE46BB" w14:textId="77777777" w:rsidR="00C504E5" w:rsidRPr="00C504E5" w:rsidRDefault="00C504E5" w:rsidP="00C504E5">
      <w:pPr>
        <w:jc w:val="both"/>
        <w:rPr>
          <w:rFonts w:ascii="Arial" w:hAnsi="Arial" w:cs="Arial"/>
          <w:sz w:val="22"/>
          <w:szCs w:val="22"/>
          <w:lang w:val="en-GB"/>
        </w:rPr>
      </w:pPr>
    </w:p>
    <w:p w14:paraId="638F3CCB" w14:textId="7BAC1CD7" w:rsid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C504E5" w:rsidRDefault="00C504E5" w:rsidP="00C504E5">
      <w:pPr>
        <w:jc w:val="both"/>
        <w:rPr>
          <w:rFonts w:ascii="Arial" w:hAnsi="Arial" w:cs="Arial"/>
          <w:sz w:val="22"/>
          <w:szCs w:val="22"/>
          <w:lang w:val="en-GB"/>
        </w:rPr>
      </w:pPr>
    </w:p>
    <w:p w14:paraId="091C36C1" w14:textId="40A6C7BC" w:rsidR="00C504E5" w:rsidRPr="00BD2A69" w:rsidRDefault="00C504E5" w:rsidP="00C504E5">
      <w:pPr>
        <w:pStyle w:val="ListParagraph"/>
        <w:numPr>
          <w:ilvl w:val="0"/>
          <w:numId w:val="20"/>
        </w:numPr>
        <w:ind w:left="426"/>
        <w:jc w:val="both"/>
        <w:rPr>
          <w:rFonts w:ascii="Arial" w:hAnsi="Arial" w:cs="Arial"/>
          <w:sz w:val="22"/>
          <w:szCs w:val="22"/>
          <w:highlight w:val="yellow"/>
          <w:lang w:val="en-GB"/>
        </w:rPr>
      </w:pPr>
      <w:r w:rsidRPr="00BD2A69">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C504E5" w:rsidRDefault="00C504E5" w:rsidP="00C504E5">
      <w:pPr>
        <w:jc w:val="both"/>
        <w:rPr>
          <w:rFonts w:ascii="Arial" w:hAnsi="Arial" w:cs="Arial"/>
          <w:sz w:val="22"/>
          <w:szCs w:val="22"/>
          <w:lang w:val="en-GB"/>
        </w:rPr>
      </w:pPr>
    </w:p>
    <w:p w14:paraId="1A6D3905" w14:textId="52E8649E" w:rsidR="00C504E5" w:rsidRPr="00C504E5" w:rsidRDefault="00C504E5" w:rsidP="00C504E5">
      <w:pPr>
        <w:pStyle w:val="ListParagraph"/>
        <w:numPr>
          <w:ilvl w:val="0"/>
          <w:numId w:val="20"/>
        </w:numPr>
        <w:ind w:left="426"/>
        <w:jc w:val="both"/>
        <w:rPr>
          <w:rFonts w:ascii="Arial" w:hAnsi="Arial" w:cs="Arial"/>
          <w:sz w:val="22"/>
          <w:szCs w:val="22"/>
          <w:lang w:val="en-GB"/>
        </w:rPr>
      </w:pPr>
      <w:r w:rsidRPr="00C504E5">
        <w:rPr>
          <w:rFonts w:ascii="Arial" w:hAnsi="Arial" w:cs="Arial"/>
          <w:sz w:val="22"/>
          <w:szCs w:val="22"/>
          <w:lang w:val="en-GB"/>
        </w:rPr>
        <w:t xml:space="preserve">None of the statements in </w:t>
      </w:r>
      <w:r>
        <w:rPr>
          <w:rFonts w:ascii="Arial" w:hAnsi="Arial" w:cs="Arial"/>
          <w:sz w:val="22"/>
          <w:szCs w:val="22"/>
          <w:lang w:val="en-GB"/>
        </w:rPr>
        <w:t>(</w:t>
      </w:r>
      <w:r w:rsidRPr="00C504E5">
        <w:rPr>
          <w:rFonts w:ascii="Arial" w:hAnsi="Arial" w:cs="Arial"/>
          <w:sz w:val="22"/>
          <w:szCs w:val="22"/>
          <w:lang w:val="en-GB"/>
        </w:rPr>
        <w:t>a</w:t>
      </w:r>
      <w:r>
        <w:rPr>
          <w:rFonts w:ascii="Arial" w:hAnsi="Arial" w:cs="Arial"/>
          <w:sz w:val="22"/>
          <w:szCs w:val="22"/>
          <w:lang w:val="en-GB"/>
        </w:rPr>
        <w:t>)</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b</w:t>
      </w:r>
      <w:r>
        <w:rPr>
          <w:rFonts w:ascii="Arial" w:hAnsi="Arial" w:cs="Arial"/>
          <w:sz w:val="22"/>
          <w:szCs w:val="22"/>
          <w:lang w:val="en-GB"/>
        </w:rPr>
        <w:t>)</w:t>
      </w:r>
      <w:r w:rsidRPr="00C504E5">
        <w:rPr>
          <w:rFonts w:ascii="Arial" w:hAnsi="Arial" w:cs="Arial"/>
          <w:sz w:val="22"/>
          <w:szCs w:val="22"/>
          <w:lang w:val="en-GB"/>
        </w:rPr>
        <w:t xml:space="preserve"> </w:t>
      </w:r>
      <w:r w:rsidR="002E00F8">
        <w:rPr>
          <w:rFonts w:ascii="Arial" w:hAnsi="Arial" w:cs="Arial"/>
          <w:sz w:val="22"/>
          <w:szCs w:val="22"/>
          <w:lang w:val="en-GB"/>
        </w:rPr>
        <w:t>or</w:t>
      </w:r>
      <w:r w:rsidRPr="00C504E5">
        <w:rPr>
          <w:rFonts w:ascii="Arial" w:hAnsi="Arial" w:cs="Arial"/>
          <w:sz w:val="22"/>
          <w:szCs w:val="22"/>
          <w:lang w:val="en-GB"/>
        </w:rPr>
        <w:t xml:space="preserve"> </w:t>
      </w:r>
      <w:r>
        <w:rPr>
          <w:rFonts w:ascii="Arial" w:hAnsi="Arial" w:cs="Arial"/>
          <w:sz w:val="22"/>
          <w:szCs w:val="22"/>
          <w:lang w:val="en-GB"/>
        </w:rPr>
        <w:t>(</w:t>
      </w:r>
      <w:r w:rsidRPr="00C504E5">
        <w:rPr>
          <w:rFonts w:ascii="Arial" w:hAnsi="Arial" w:cs="Arial"/>
          <w:sz w:val="22"/>
          <w:szCs w:val="22"/>
          <w:lang w:val="en-GB"/>
        </w:rPr>
        <w:t>c</w:t>
      </w:r>
      <w:r>
        <w:rPr>
          <w:rFonts w:ascii="Arial" w:hAnsi="Arial" w:cs="Arial"/>
          <w:sz w:val="22"/>
          <w:szCs w:val="22"/>
          <w:lang w:val="en-GB"/>
        </w:rPr>
        <w:t>)</w:t>
      </w:r>
      <w:r w:rsidRPr="00C504E5">
        <w:rPr>
          <w:rFonts w:ascii="Arial" w:hAnsi="Arial" w:cs="Arial"/>
          <w:sz w:val="22"/>
          <w:szCs w:val="22"/>
          <w:lang w:val="en-GB"/>
        </w:rPr>
        <w:t xml:space="preserve"> are correct.  </w:t>
      </w:r>
    </w:p>
    <w:p w14:paraId="5B33AE50" w14:textId="3868DF36" w:rsidR="00622586" w:rsidRDefault="00622586" w:rsidP="00707FC8">
      <w:pPr>
        <w:autoSpaceDE w:val="0"/>
        <w:autoSpaceDN w:val="0"/>
        <w:adjustRightInd w:val="0"/>
        <w:spacing w:line="276" w:lineRule="auto"/>
        <w:jc w:val="both"/>
        <w:rPr>
          <w:rFonts w:ascii="Arial" w:hAnsi="Arial" w:cs="Arial"/>
          <w:sz w:val="22"/>
          <w:szCs w:val="22"/>
        </w:rPr>
      </w:pPr>
    </w:p>
    <w:p w14:paraId="2A47DDFB" w14:textId="221BA4FA" w:rsidR="002E00F8" w:rsidRDefault="002E00F8" w:rsidP="00707FC8">
      <w:pPr>
        <w:autoSpaceDE w:val="0"/>
        <w:autoSpaceDN w:val="0"/>
        <w:adjustRightInd w:val="0"/>
        <w:spacing w:line="276" w:lineRule="auto"/>
        <w:jc w:val="both"/>
        <w:rPr>
          <w:rFonts w:ascii="Arial" w:hAnsi="Arial" w:cs="Arial"/>
          <w:sz w:val="22"/>
          <w:szCs w:val="22"/>
        </w:rPr>
      </w:pPr>
    </w:p>
    <w:p w14:paraId="1994C68A" w14:textId="7B916D0D" w:rsidR="002E00F8" w:rsidRDefault="002E00F8" w:rsidP="00707FC8">
      <w:pPr>
        <w:autoSpaceDE w:val="0"/>
        <w:autoSpaceDN w:val="0"/>
        <w:adjustRightInd w:val="0"/>
        <w:spacing w:line="276" w:lineRule="auto"/>
        <w:jc w:val="both"/>
        <w:rPr>
          <w:rFonts w:ascii="Arial" w:hAnsi="Arial" w:cs="Arial"/>
          <w:sz w:val="22"/>
          <w:szCs w:val="22"/>
        </w:rPr>
      </w:pPr>
    </w:p>
    <w:p w14:paraId="15119286" w14:textId="5E2EC976" w:rsidR="002E00F8" w:rsidRDefault="002E00F8" w:rsidP="00707FC8">
      <w:pPr>
        <w:autoSpaceDE w:val="0"/>
        <w:autoSpaceDN w:val="0"/>
        <w:adjustRightInd w:val="0"/>
        <w:spacing w:line="276" w:lineRule="auto"/>
        <w:jc w:val="both"/>
        <w:rPr>
          <w:rFonts w:ascii="Arial" w:hAnsi="Arial" w:cs="Arial"/>
          <w:sz w:val="22"/>
          <w:szCs w:val="22"/>
        </w:rPr>
      </w:pPr>
    </w:p>
    <w:p w14:paraId="43F3A934" w14:textId="75AF1AF6" w:rsidR="002E00F8" w:rsidRDefault="002E00F8" w:rsidP="00707FC8">
      <w:pPr>
        <w:autoSpaceDE w:val="0"/>
        <w:autoSpaceDN w:val="0"/>
        <w:adjustRightInd w:val="0"/>
        <w:spacing w:line="276" w:lineRule="auto"/>
        <w:jc w:val="both"/>
        <w:rPr>
          <w:rFonts w:ascii="Arial" w:hAnsi="Arial" w:cs="Arial"/>
          <w:sz w:val="22"/>
          <w:szCs w:val="22"/>
        </w:rPr>
      </w:pPr>
    </w:p>
    <w:p w14:paraId="59AA3EDC" w14:textId="77777777" w:rsidR="002E00F8" w:rsidRPr="00D203D8" w:rsidRDefault="002E00F8"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lastRenderedPageBreak/>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5982CE3A" w14:textId="77777777" w:rsidR="00B72F5F" w:rsidRDefault="00B72F5F" w:rsidP="00114082">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w:t>
      </w:r>
      <w:r w:rsidRPr="00114082">
        <w:rPr>
          <w:rFonts w:ascii="Arial" w:hAnsi="Arial" w:cs="Arial"/>
          <w:b/>
          <w:bCs/>
          <w:sz w:val="22"/>
          <w:szCs w:val="22"/>
          <w:u w:val="single"/>
          <w:lang w:val="en-GB"/>
        </w:rPr>
        <w:t>is true</w:t>
      </w:r>
      <w:r>
        <w:rPr>
          <w:rFonts w:ascii="Arial" w:hAnsi="Arial" w:cs="Arial"/>
          <w:sz w:val="22"/>
          <w:szCs w:val="22"/>
          <w:lang w:val="en-GB"/>
        </w:rPr>
        <w:t>?</w:t>
      </w:r>
    </w:p>
    <w:p w14:paraId="0A2E63C3" w14:textId="77777777" w:rsidR="00B72F5F" w:rsidRDefault="00B72F5F" w:rsidP="00B72F5F">
      <w:pPr>
        <w:ind w:left="720" w:hanging="720"/>
        <w:jc w:val="both"/>
        <w:rPr>
          <w:rFonts w:ascii="Arial" w:hAnsi="Arial" w:cs="Arial"/>
          <w:sz w:val="22"/>
          <w:szCs w:val="22"/>
          <w:lang w:val="en-GB"/>
        </w:rPr>
      </w:pPr>
    </w:p>
    <w:p w14:paraId="30B5D767" w14:textId="6D38CB74"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114082" w:rsidRDefault="00114082" w:rsidP="00114082">
      <w:pPr>
        <w:jc w:val="both"/>
        <w:rPr>
          <w:rFonts w:ascii="Arial" w:hAnsi="Arial" w:cs="Arial"/>
          <w:sz w:val="22"/>
          <w:szCs w:val="22"/>
          <w:lang w:val="en-GB"/>
        </w:rPr>
      </w:pPr>
    </w:p>
    <w:p w14:paraId="4B1560A9" w14:textId="1C87BA52"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114082" w:rsidRDefault="00114082" w:rsidP="00114082">
      <w:pPr>
        <w:jc w:val="both"/>
        <w:rPr>
          <w:rFonts w:ascii="Arial" w:hAnsi="Arial" w:cs="Arial"/>
          <w:sz w:val="22"/>
          <w:szCs w:val="22"/>
          <w:lang w:val="en-GB"/>
        </w:rPr>
      </w:pPr>
    </w:p>
    <w:p w14:paraId="0E2A0FDC" w14:textId="0C95B31B" w:rsidR="00B72F5F" w:rsidRDefault="00B72F5F" w:rsidP="00114082">
      <w:pPr>
        <w:pStyle w:val="ListParagraph"/>
        <w:numPr>
          <w:ilvl w:val="0"/>
          <w:numId w:val="26"/>
        </w:numPr>
        <w:ind w:left="426"/>
        <w:jc w:val="both"/>
        <w:rPr>
          <w:rFonts w:ascii="Arial" w:hAnsi="Arial" w:cs="Arial"/>
          <w:sz w:val="22"/>
          <w:szCs w:val="22"/>
          <w:lang w:val="en-GB"/>
        </w:rPr>
      </w:pPr>
      <w:r w:rsidRPr="0011408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114082" w:rsidRDefault="00114082" w:rsidP="00114082">
      <w:pPr>
        <w:jc w:val="both"/>
        <w:rPr>
          <w:rFonts w:ascii="Arial" w:hAnsi="Arial" w:cs="Arial"/>
          <w:sz w:val="22"/>
          <w:szCs w:val="22"/>
          <w:lang w:val="en-GB"/>
        </w:rPr>
      </w:pPr>
    </w:p>
    <w:p w14:paraId="7EAF23F0" w14:textId="0AF2DDD5" w:rsidR="00B72F5F" w:rsidRPr="00BD2A69" w:rsidRDefault="00B72F5F" w:rsidP="00114082">
      <w:pPr>
        <w:pStyle w:val="ListParagraph"/>
        <w:numPr>
          <w:ilvl w:val="0"/>
          <w:numId w:val="26"/>
        </w:numPr>
        <w:ind w:left="426"/>
        <w:jc w:val="both"/>
        <w:rPr>
          <w:rFonts w:ascii="Arial" w:hAnsi="Arial" w:cs="Arial"/>
          <w:sz w:val="22"/>
          <w:szCs w:val="22"/>
          <w:highlight w:val="yellow"/>
          <w:lang w:val="en-GB"/>
        </w:rPr>
      </w:pPr>
      <w:r w:rsidRPr="00BD2A6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D2A69">
        <w:rPr>
          <w:rFonts w:ascii="Arial" w:hAnsi="Arial" w:cs="Arial"/>
          <w:sz w:val="22"/>
          <w:szCs w:val="22"/>
          <w:highlight w:val="yellow"/>
          <w:lang w:val="en-GB"/>
        </w:rPr>
        <w:t>will</w:t>
      </w:r>
      <w:r w:rsidRPr="00BD2A6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49E43BB7" w14:textId="77777777" w:rsidR="0067294B" w:rsidRDefault="0067294B" w:rsidP="00114082">
      <w:pPr>
        <w:jc w:val="both"/>
        <w:rPr>
          <w:rFonts w:ascii="Arial" w:hAnsi="Arial" w:cs="Arial"/>
          <w:sz w:val="22"/>
          <w:szCs w:val="22"/>
          <w:lang w:val="en-GB"/>
        </w:rPr>
      </w:pPr>
      <w:r>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Default="0067294B" w:rsidP="0067294B">
      <w:pPr>
        <w:ind w:left="720" w:hanging="720"/>
        <w:jc w:val="both"/>
        <w:rPr>
          <w:rFonts w:ascii="Arial" w:hAnsi="Arial" w:cs="Arial"/>
          <w:sz w:val="22"/>
          <w:szCs w:val="22"/>
          <w:lang w:val="en-GB"/>
        </w:rPr>
      </w:pPr>
    </w:p>
    <w:p w14:paraId="7BA65F0B" w14:textId="5C7FCC12"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114082" w:rsidRDefault="00114082" w:rsidP="00114082">
      <w:pPr>
        <w:jc w:val="both"/>
        <w:rPr>
          <w:rFonts w:ascii="Arial" w:hAnsi="Arial" w:cs="Arial"/>
          <w:sz w:val="22"/>
          <w:szCs w:val="22"/>
          <w:lang w:val="en-GB"/>
        </w:rPr>
      </w:pPr>
    </w:p>
    <w:p w14:paraId="38992E72" w14:textId="3720B41F" w:rsidR="0067294B"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114082" w:rsidRDefault="00114082" w:rsidP="00114082">
      <w:pPr>
        <w:jc w:val="both"/>
        <w:rPr>
          <w:rFonts w:ascii="Arial" w:hAnsi="Arial" w:cs="Arial"/>
          <w:sz w:val="22"/>
          <w:szCs w:val="22"/>
          <w:lang w:val="en-GB"/>
        </w:rPr>
      </w:pPr>
    </w:p>
    <w:p w14:paraId="67979238" w14:textId="41F62CC4" w:rsidR="0067294B" w:rsidRPr="00E8614F" w:rsidRDefault="0067294B" w:rsidP="00114082">
      <w:pPr>
        <w:pStyle w:val="ListParagraph"/>
        <w:numPr>
          <w:ilvl w:val="0"/>
          <w:numId w:val="27"/>
        </w:numPr>
        <w:ind w:left="426"/>
        <w:jc w:val="both"/>
        <w:rPr>
          <w:rFonts w:ascii="Arial" w:hAnsi="Arial" w:cs="Arial"/>
          <w:sz w:val="22"/>
          <w:szCs w:val="22"/>
          <w:highlight w:val="yellow"/>
          <w:lang w:val="en-GB"/>
        </w:rPr>
      </w:pPr>
      <w:r w:rsidRPr="00E8614F">
        <w:rPr>
          <w:rFonts w:ascii="Arial" w:hAnsi="Arial" w:cs="Arial"/>
          <w:sz w:val="22"/>
          <w:szCs w:val="22"/>
          <w:highlight w:val="yellow"/>
          <w:lang w:val="en-GB"/>
        </w:rPr>
        <w:t xml:space="preserve">The court should consider both </w:t>
      </w:r>
      <w:r w:rsidR="00E73529" w:rsidRPr="00E8614F">
        <w:rPr>
          <w:rFonts w:ascii="Arial" w:hAnsi="Arial" w:cs="Arial"/>
          <w:sz w:val="22"/>
          <w:szCs w:val="22"/>
          <w:highlight w:val="yellow"/>
          <w:lang w:val="en-GB"/>
        </w:rPr>
        <w:t>(</w:t>
      </w:r>
      <w:r w:rsidRPr="00E8614F">
        <w:rPr>
          <w:rFonts w:ascii="Arial" w:hAnsi="Arial" w:cs="Arial"/>
          <w:sz w:val="22"/>
          <w:szCs w:val="22"/>
          <w:highlight w:val="yellow"/>
          <w:lang w:val="en-GB"/>
        </w:rPr>
        <w:t>a</w:t>
      </w:r>
      <w:r w:rsidR="00E73529" w:rsidRPr="00E8614F">
        <w:rPr>
          <w:rFonts w:ascii="Arial" w:hAnsi="Arial" w:cs="Arial"/>
          <w:sz w:val="22"/>
          <w:szCs w:val="22"/>
          <w:highlight w:val="yellow"/>
          <w:lang w:val="en-GB"/>
        </w:rPr>
        <w:t>)</w:t>
      </w:r>
      <w:r w:rsidRPr="00E8614F">
        <w:rPr>
          <w:rFonts w:ascii="Arial" w:hAnsi="Arial" w:cs="Arial"/>
          <w:sz w:val="22"/>
          <w:szCs w:val="22"/>
          <w:highlight w:val="yellow"/>
          <w:lang w:val="en-GB"/>
        </w:rPr>
        <w:t xml:space="preserve"> and </w:t>
      </w:r>
      <w:r w:rsidR="00E73529" w:rsidRPr="00E8614F">
        <w:rPr>
          <w:rFonts w:ascii="Arial" w:hAnsi="Arial" w:cs="Arial"/>
          <w:sz w:val="22"/>
          <w:szCs w:val="22"/>
          <w:highlight w:val="yellow"/>
          <w:lang w:val="en-GB"/>
        </w:rPr>
        <w:t>(</w:t>
      </w:r>
      <w:r w:rsidRPr="00E8614F">
        <w:rPr>
          <w:rFonts w:ascii="Arial" w:hAnsi="Arial" w:cs="Arial"/>
          <w:sz w:val="22"/>
          <w:szCs w:val="22"/>
          <w:highlight w:val="yellow"/>
          <w:lang w:val="en-GB"/>
        </w:rPr>
        <w:t>b</w:t>
      </w:r>
      <w:r w:rsidR="00E73529" w:rsidRPr="00E8614F">
        <w:rPr>
          <w:rFonts w:ascii="Arial" w:hAnsi="Arial" w:cs="Arial"/>
          <w:sz w:val="22"/>
          <w:szCs w:val="22"/>
          <w:highlight w:val="yellow"/>
          <w:lang w:val="en-GB"/>
        </w:rPr>
        <w:t>)</w:t>
      </w:r>
      <w:r w:rsidRPr="00E8614F">
        <w:rPr>
          <w:rFonts w:ascii="Arial" w:hAnsi="Arial" w:cs="Arial"/>
          <w:sz w:val="22"/>
          <w:szCs w:val="22"/>
          <w:highlight w:val="yellow"/>
          <w:lang w:val="en-GB"/>
        </w:rPr>
        <w:t>.</w:t>
      </w:r>
    </w:p>
    <w:p w14:paraId="47402F5F" w14:textId="77777777" w:rsidR="00114082" w:rsidRPr="00114082" w:rsidRDefault="00114082" w:rsidP="00114082">
      <w:pPr>
        <w:jc w:val="both"/>
        <w:rPr>
          <w:rFonts w:ascii="Arial" w:hAnsi="Arial" w:cs="Arial"/>
          <w:sz w:val="22"/>
          <w:szCs w:val="22"/>
          <w:lang w:val="en-GB"/>
        </w:rPr>
      </w:pPr>
    </w:p>
    <w:p w14:paraId="3CD16122" w14:textId="1F5071E8" w:rsidR="0067294B" w:rsidRPr="00114082" w:rsidRDefault="0067294B" w:rsidP="00114082">
      <w:pPr>
        <w:pStyle w:val="ListParagraph"/>
        <w:numPr>
          <w:ilvl w:val="0"/>
          <w:numId w:val="27"/>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E73529">
        <w:rPr>
          <w:rFonts w:ascii="Arial" w:hAnsi="Arial" w:cs="Arial"/>
          <w:sz w:val="22"/>
          <w:szCs w:val="22"/>
          <w:lang w:val="en-GB"/>
        </w:rPr>
        <w:t>(</w:t>
      </w:r>
      <w:r w:rsidRPr="00114082">
        <w:rPr>
          <w:rFonts w:ascii="Arial" w:hAnsi="Arial" w:cs="Arial"/>
          <w:sz w:val="22"/>
          <w:szCs w:val="22"/>
          <w:lang w:val="en-GB"/>
        </w:rPr>
        <w:t>a</w:t>
      </w:r>
      <w:r w:rsidR="00E73529">
        <w:rPr>
          <w:rFonts w:ascii="Arial" w:hAnsi="Arial" w:cs="Arial"/>
          <w:sz w:val="22"/>
          <w:szCs w:val="22"/>
          <w:lang w:val="en-GB"/>
        </w:rPr>
        <w:t>)</w:t>
      </w:r>
      <w:r w:rsidRPr="00114082">
        <w:rPr>
          <w:rFonts w:ascii="Arial" w:hAnsi="Arial" w:cs="Arial"/>
          <w:sz w:val="22"/>
          <w:szCs w:val="22"/>
          <w:lang w:val="en-GB"/>
        </w:rPr>
        <w:t xml:space="preserve"> nor </w:t>
      </w:r>
      <w:r w:rsidR="00E73529">
        <w:rPr>
          <w:rFonts w:ascii="Arial" w:hAnsi="Arial" w:cs="Arial"/>
          <w:sz w:val="22"/>
          <w:szCs w:val="22"/>
          <w:lang w:val="en-GB"/>
        </w:rPr>
        <w:t>(</w:t>
      </w:r>
      <w:r w:rsidRPr="00114082">
        <w:rPr>
          <w:rFonts w:ascii="Arial" w:hAnsi="Arial" w:cs="Arial"/>
          <w:sz w:val="22"/>
          <w:szCs w:val="22"/>
          <w:lang w:val="en-GB"/>
        </w:rPr>
        <w:t>b</w:t>
      </w:r>
      <w:r w:rsidR="00E73529">
        <w:rPr>
          <w:rFonts w:ascii="Arial" w:hAnsi="Arial" w:cs="Arial"/>
          <w:sz w:val="22"/>
          <w:szCs w:val="22"/>
          <w:lang w:val="en-GB"/>
        </w:rPr>
        <w:t>)</w:t>
      </w:r>
      <w:r w:rsidRPr="00114082">
        <w:rPr>
          <w:rFonts w:ascii="Arial" w:hAnsi="Arial" w:cs="Arial"/>
          <w:sz w:val="22"/>
          <w:szCs w:val="22"/>
          <w:lang w:val="en-GB"/>
        </w:rPr>
        <w:t xml:space="preserve"> must be considered by the court.</w:t>
      </w:r>
      <w:r w:rsidRPr="00114082">
        <w:rPr>
          <w:rFonts w:ascii="Arial" w:hAnsi="Arial" w:cs="Arial"/>
          <w:sz w:val="22"/>
          <w:szCs w:val="22"/>
          <w:lang w:val="en-GB"/>
        </w:rPr>
        <w:tab/>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54FF4A9D" w14:textId="77777777" w:rsidR="004E0549" w:rsidRDefault="004E0549" w:rsidP="00114082">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(or COMI) and the Model Law </w:t>
      </w:r>
      <w:r w:rsidRPr="00114082">
        <w:rPr>
          <w:rFonts w:ascii="Arial" w:hAnsi="Arial" w:cs="Arial"/>
          <w:b/>
          <w:bCs/>
          <w:sz w:val="22"/>
          <w:szCs w:val="22"/>
          <w:u w:val="single"/>
          <w:lang w:val="en-GB"/>
        </w:rPr>
        <w:t>is incorrect</w:t>
      </w:r>
      <w:r>
        <w:rPr>
          <w:rFonts w:ascii="Arial" w:hAnsi="Arial" w:cs="Arial"/>
          <w:sz w:val="22"/>
          <w:szCs w:val="22"/>
          <w:lang w:val="en-GB"/>
        </w:rPr>
        <w:t>?</w:t>
      </w:r>
    </w:p>
    <w:p w14:paraId="60DE3D2E" w14:textId="77777777" w:rsidR="004E0549" w:rsidRDefault="004E0549" w:rsidP="004E0549">
      <w:pPr>
        <w:ind w:left="720" w:hanging="720"/>
        <w:jc w:val="both"/>
        <w:rPr>
          <w:rFonts w:ascii="Arial" w:hAnsi="Arial" w:cs="Arial"/>
          <w:sz w:val="22"/>
          <w:szCs w:val="22"/>
          <w:lang w:val="en-GB"/>
        </w:rPr>
      </w:pPr>
    </w:p>
    <w:p w14:paraId="48DDE6E0" w14:textId="7B2B3116" w:rsidR="004E0549" w:rsidRPr="00BD2A69" w:rsidRDefault="004E0549" w:rsidP="00114082">
      <w:pPr>
        <w:pStyle w:val="ListParagraph"/>
        <w:numPr>
          <w:ilvl w:val="0"/>
          <w:numId w:val="28"/>
        </w:numPr>
        <w:ind w:left="426"/>
        <w:jc w:val="both"/>
        <w:rPr>
          <w:rFonts w:ascii="Arial" w:hAnsi="Arial" w:cs="Arial"/>
          <w:sz w:val="22"/>
          <w:szCs w:val="22"/>
          <w:highlight w:val="yellow"/>
          <w:lang w:val="en-GB"/>
        </w:rPr>
      </w:pPr>
      <w:r w:rsidRPr="00BD2A69">
        <w:rPr>
          <w:rFonts w:ascii="Arial" w:hAnsi="Arial" w:cs="Arial"/>
          <w:sz w:val="22"/>
          <w:szCs w:val="22"/>
          <w:highlight w:val="yellow"/>
          <w:lang w:val="en-GB"/>
        </w:rPr>
        <w:t>COMI is a defined term in the Model Law.</w:t>
      </w:r>
    </w:p>
    <w:p w14:paraId="430725B5" w14:textId="77777777" w:rsidR="00114082" w:rsidRPr="00114082" w:rsidRDefault="00114082" w:rsidP="00114082">
      <w:pPr>
        <w:jc w:val="both"/>
        <w:rPr>
          <w:rFonts w:ascii="Arial" w:hAnsi="Arial" w:cs="Arial"/>
          <w:sz w:val="22"/>
          <w:szCs w:val="22"/>
          <w:lang w:val="en-GB"/>
        </w:rPr>
      </w:pPr>
    </w:p>
    <w:p w14:paraId="03EEFF10" w14:textId="043E6F64"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For a corporate debtor, the Model Law does contain a rebuttable presumption that the debtor’s registered office is its COMI.</w:t>
      </w:r>
    </w:p>
    <w:p w14:paraId="6A44129D" w14:textId="77777777" w:rsidR="00114082" w:rsidRPr="00114082" w:rsidRDefault="00114082" w:rsidP="00114082">
      <w:pPr>
        <w:jc w:val="both"/>
        <w:rPr>
          <w:rFonts w:ascii="Arial" w:hAnsi="Arial" w:cs="Arial"/>
          <w:sz w:val="22"/>
          <w:szCs w:val="22"/>
          <w:lang w:val="en-GB"/>
        </w:rPr>
      </w:pPr>
    </w:p>
    <w:p w14:paraId="02BBBA92" w14:textId="2F98928D" w:rsidR="004E0549"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 xml:space="preserve">While </w:t>
      </w:r>
      <w:r w:rsidR="000C147F">
        <w:rPr>
          <w:rFonts w:ascii="Arial" w:hAnsi="Arial" w:cs="Arial"/>
          <w:sz w:val="22"/>
          <w:szCs w:val="22"/>
          <w:lang w:val="en-GB"/>
        </w:rPr>
        <w:t>(</w:t>
      </w:r>
      <w:r w:rsidRPr="00114082">
        <w:rPr>
          <w:rFonts w:ascii="Arial" w:hAnsi="Arial" w:cs="Arial"/>
          <w:sz w:val="22"/>
          <w:szCs w:val="22"/>
          <w:lang w:val="en-GB"/>
        </w:rPr>
        <w:t>for purposes of the Model Law</w:t>
      </w:r>
      <w:r w:rsidR="000C147F">
        <w:rPr>
          <w:rFonts w:ascii="Arial" w:hAnsi="Arial" w:cs="Arial"/>
          <w:sz w:val="22"/>
          <w:szCs w:val="22"/>
          <w:lang w:val="en-GB"/>
        </w:rPr>
        <w:t>)</w:t>
      </w:r>
      <w:r w:rsidRPr="00114082">
        <w:rPr>
          <w:rFonts w:ascii="Arial" w:hAnsi="Arial" w:cs="Arial"/>
          <w:sz w:val="22"/>
          <w:szCs w:val="22"/>
          <w:lang w:val="en-GB"/>
        </w:rPr>
        <w:t xml:space="preserve"> the COMI </w:t>
      </w:r>
      <w:r w:rsidR="000C147F">
        <w:rPr>
          <w:rFonts w:ascii="Arial" w:hAnsi="Arial" w:cs="Arial"/>
          <w:sz w:val="22"/>
          <w:szCs w:val="22"/>
          <w:lang w:val="en-GB"/>
        </w:rPr>
        <w:t xml:space="preserve">of a debtor </w:t>
      </w:r>
      <w:r w:rsidRPr="00114082">
        <w:rPr>
          <w:rFonts w:ascii="Arial" w:hAnsi="Arial" w:cs="Arial"/>
          <w:sz w:val="22"/>
          <w:szCs w:val="22"/>
          <w:lang w:val="en-GB"/>
        </w:rPr>
        <w:t>can move, the closer such COMI shift is to the commencement of foreign proceedings, the harder it will be to establish that the move was “ascertainable by third parties”.</w:t>
      </w:r>
    </w:p>
    <w:p w14:paraId="7D081D8B" w14:textId="77777777" w:rsidR="00114082" w:rsidRPr="00114082" w:rsidRDefault="00114082" w:rsidP="00114082">
      <w:pPr>
        <w:jc w:val="both"/>
        <w:rPr>
          <w:rFonts w:ascii="Arial" w:hAnsi="Arial" w:cs="Arial"/>
          <w:sz w:val="22"/>
          <w:szCs w:val="22"/>
          <w:lang w:val="en-GB"/>
        </w:rPr>
      </w:pPr>
    </w:p>
    <w:p w14:paraId="76F11787" w14:textId="77777777" w:rsidR="004E0549" w:rsidRPr="00114082" w:rsidRDefault="004E0549" w:rsidP="00114082">
      <w:pPr>
        <w:pStyle w:val="ListParagraph"/>
        <w:numPr>
          <w:ilvl w:val="0"/>
          <w:numId w:val="28"/>
        </w:numPr>
        <w:ind w:left="426"/>
        <w:jc w:val="both"/>
        <w:rPr>
          <w:rFonts w:ascii="Arial" w:hAnsi="Arial" w:cs="Arial"/>
          <w:sz w:val="22"/>
          <w:szCs w:val="22"/>
          <w:lang w:val="en-GB"/>
        </w:rPr>
      </w:pPr>
      <w:r w:rsidRPr="00114082">
        <w:rPr>
          <w:rFonts w:ascii="Arial" w:hAnsi="Arial" w:cs="Arial"/>
          <w:sz w:val="22"/>
          <w:szCs w:val="22"/>
          <w:lang w:val="en-GB"/>
        </w:rPr>
        <w:t>None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lastRenderedPageBreak/>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57970C00" w14:textId="268EA105" w:rsidR="00573E73" w:rsidRDefault="00573E73" w:rsidP="00114082">
      <w:pPr>
        <w:jc w:val="both"/>
        <w:rPr>
          <w:rFonts w:ascii="Arial" w:hAnsi="Arial" w:cs="Arial"/>
          <w:sz w:val="22"/>
          <w:szCs w:val="22"/>
          <w:lang w:val="en-GB"/>
        </w:rPr>
      </w:pPr>
      <w:r>
        <w:rPr>
          <w:rFonts w:ascii="Arial" w:hAnsi="Arial" w:cs="Arial"/>
          <w:sz w:val="22"/>
          <w:szCs w:val="22"/>
          <w:lang w:val="en-GB"/>
        </w:rPr>
        <w:t>Which of the following types of relief have, prior to the adoption of the Model Law on Recognition and Enforcement of Insolvency</w:t>
      </w:r>
      <w:r w:rsidR="00C17111">
        <w:rPr>
          <w:rFonts w:ascii="Arial" w:hAnsi="Arial" w:cs="Arial"/>
          <w:sz w:val="22"/>
          <w:szCs w:val="22"/>
          <w:lang w:val="en-GB"/>
        </w:rPr>
        <w:t>-</w:t>
      </w:r>
      <w:r>
        <w:rPr>
          <w:rFonts w:ascii="Arial" w:hAnsi="Arial" w:cs="Arial"/>
          <w:sz w:val="22"/>
          <w:szCs w:val="22"/>
          <w:lang w:val="en-GB"/>
        </w:rPr>
        <w:t>Related Judgments, been declared beyond the limits of the Model Law?</w:t>
      </w:r>
    </w:p>
    <w:p w14:paraId="58B44E7D" w14:textId="77777777" w:rsidR="00573E73" w:rsidRDefault="00573E73" w:rsidP="00573E73">
      <w:pPr>
        <w:ind w:left="720" w:hanging="720"/>
        <w:jc w:val="both"/>
        <w:rPr>
          <w:rFonts w:ascii="Arial" w:hAnsi="Arial" w:cs="Arial"/>
          <w:sz w:val="22"/>
          <w:szCs w:val="22"/>
          <w:lang w:val="en-GB"/>
        </w:rPr>
      </w:pPr>
    </w:p>
    <w:p w14:paraId="1834003B" w14:textId="53DC44E7"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Enforcement of insolvency-related judgments.</w:t>
      </w:r>
    </w:p>
    <w:p w14:paraId="444C3F9D" w14:textId="77777777" w:rsidR="00114082" w:rsidRPr="00114082" w:rsidRDefault="00114082" w:rsidP="00114082">
      <w:pPr>
        <w:jc w:val="both"/>
        <w:rPr>
          <w:rFonts w:ascii="Arial" w:hAnsi="Arial" w:cs="Arial"/>
          <w:sz w:val="22"/>
          <w:szCs w:val="22"/>
          <w:lang w:val="en-GB"/>
        </w:rPr>
      </w:pPr>
    </w:p>
    <w:p w14:paraId="1DF9A3B7" w14:textId="3C3140E1" w:rsidR="00573E73"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An indefinite moratorium continuation.  </w:t>
      </w:r>
    </w:p>
    <w:p w14:paraId="4892BF38" w14:textId="77777777" w:rsidR="00114082" w:rsidRPr="00114082" w:rsidRDefault="00114082" w:rsidP="00114082">
      <w:pPr>
        <w:jc w:val="both"/>
        <w:rPr>
          <w:rFonts w:ascii="Arial" w:hAnsi="Arial" w:cs="Arial"/>
          <w:sz w:val="22"/>
          <w:szCs w:val="22"/>
          <w:lang w:val="en-GB"/>
        </w:rPr>
      </w:pPr>
    </w:p>
    <w:p w14:paraId="0D0A5383" w14:textId="68643E35" w:rsidR="00573E73" w:rsidRPr="00E8614F" w:rsidRDefault="00573E73" w:rsidP="00114082">
      <w:pPr>
        <w:pStyle w:val="ListParagraph"/>
        <w:numPr>
          <w:ilvl w:val="0"/>
          <w:numId w:val="29"/>
        </w:numPr>
        <w:ind w:left="426"/>
        <w:jc w:val="both"/>
        <w:rPr>
          <w:rFonts w:ascii="Arial" w:hAnsi="Arial" w:cs="Arial"/>
          <w:sz w:val="22"/>
          <w:szCs w:val="22"/>
          <w:highlight w:val="yellow"/>
          <w:lang w:val="en-GB"/>
        </w:rPr>
      </w:pPr>
      <w:r w:rsidRPr="00E8614F">
        <w:rPr>
          <w:rFonts w:ascii="Arial" w:hAnsi="Arial" w:cs="Arial"/>
          <w:sz w:val="22"/>
          <w:szCs w:val="22"/>
          <w:highlight w:val="yellow"/>
          <w:lang w:val="en-GB"/>
        </w:rPr>
        <w:t xml:space="preserve">Both </w:t>
      </w:r>
      <w:r w:rsidR="00114082" w:rsidRPr="00E8614F">
        <w:rPr>
          <w:rFonts w:ascii="Arial" w:hAnsi="Arial" w:cs="Arial"/>
          <w:sz w:val="22"/>
          <w:szCs w:val="22"/>
          <w:highlight w:val="yellow"/>
          <w:lang w:val="en-GB"/>
        </w:rPr>
        <w:t>(</w:t>
      </w:r>
      <w:r w:rsidRPr="00E8614F">
        <w:rPr>
          <w:rFonts w:ascii="Arial" w:hAnsi="Arial" w:cs="Arial"/>
          <w:sz w:val="22"/>
          <w:szCs w:val="22"/>
          <w:highlight w:val="yellow"/>
          <w:lang w:val="en-GB"/>
        </w:rPr>
        <w:t>a</w:t>
      </w:r>
      <w:r w:rsidR="00114082" w:rsidRPr="00E8614F">
        <w:rPr>
          <w:rFonts w:ascii="Arial" w:hAnsi="Arial" w:cs="Arial"/>
          <w:sz w:val="22"/>
          <w:szCs w:val="22"/>
          <w:highlight w:val="yellow"/>
          <w:lang w:val="en-GB"/>
        </w:rPr>
        <w:t>)</w:t>
      </w:r>
      <w:r w:rsidRPr="00E8614F">
        <w:rPr>
          <w:rFonts w:ascii="Arial" w:hAnsi="Arial" w:cs="Arial"/>
          <w:sz w:val="22"/>
          <w:szCs w:val="22"/>
          <w:highlight w:val="yellow"/>
          <w:lang w:val="en-GB"/>
        </w:rPr>
        <w:t xml:space="preserve"> and </w:t>
      </w:r>
      <w:r w:rsidR="00114082" w:rsidRPr="00E8614F">
        <w:rPr>
          <w:rFonts w:ascii="Arial" w:hAnsi="Arial" w:cs="Arial"/>
          <w:sz w:val="22"/>
          <w:szCs w:val="22"/>
          <w:highlight w:val="yellow"/>
          <w:lang w:val="en-GB"/>
        </w:rPr>
        <w:t>(</w:t>
      </w:r>
      <w:r w:rsidRPr="00E8614F">
        <w:rPr>
          <w:rFonts w:ascii="Arial" w:hAnsi="Arial" w:cs="Arial"/>
          <w:sz w:val="22"/>
          <w:szCs w:val="22"/>
          <w:highlight w:val="yellow"/>
          <w:lang w:val="en-GB"/>
        </w:rPr>
        <w:t>b</w:t>
      </w:r>
      <w:r w:rsidR="00114082" w:rsidRPr="00E8614F">
        <w:rPr>
          <w:rFonts w:ascii="Arial" w:hAnsi="Arial" w:cs="Arial"/>
          <w:sz w:val="22"/>
          <w:szCs w:val="22"/>
          <w:highlight w:val="yellow"/>
          <w:lang w:val="en-GB"/>
        </w:rPr>
        <w:t>)</w:t>
      </w:r>
      <w:r w:rsidRPr="00E8614F">
        <w:rPr>
          <w:rFonts w:ascii="Arial" w:hAnsi="Arial" w:cs="Arial"/>
          <w:sz w:val="22"/>
          <w:szCs w:val="22"/>
          <w:highlight w:val="yellow"/>
          <w:lang w:val="en-GB"/>
        </w:rPr>
        <w:t>.</w:t>
      </w:r>
    </w:p>
    <w:p w14:paraId="6DDE06DD" w14:textId="77777777" w:rsidR="00114082" w:rsidRPr="00114082" w:rsidRDefault="00114082" w:rsidP="00114082">
      <w:pPr>
        <w:jc w:val="both"/>
        <w:rPr>
          <w:rFonts w:ascii="Arial" w:hAnsi="Arial" w:cs="Arial"/>
          <w:sz w:val="22"/>
          <w:szCs w:val="22"/>
          <w:lang w:val="en-GB"/>
        </w:rPr>
      </w:pPr>
    </w:p>
    <w:p w14:paraId="60328CA0" w14:textId="53ABF5A4" w:rsidR="00573E73" w:rsidRPr="00114082" w:rsidRDefault="00573E73" w:rsidP="00114082">
      <w:pPr>
        <w:pStyle w:val="ListParagraph"/>
        <w:numPr>
          <w:ilvl w:val="0"/>
          <w:numId w:val="29"/>
        </w:numPr>
        <w:ind w:left="426"/>
        <w:jc w:val="both"/>
        <w:rPr>
          <w:rFonts w:ascii="Arial" w:hAnsi="Arial" w:cs="Arial"/>
          <w:sz w:val="22"/>
          <w:szCs w:val="22"/>
          <w:lang w:val="en-GB"/>
        </w:rPr>
      </w:pPr>
      <w:r w:rsidRPr="00114082">
        <w:rPr>
          <w:rFonts w:ascii="Arial" w:hAnsi="Arial" w:cs="Arial"/>
          <w:sz w:val="22"/>
          <w:szCs w:val="22"/>
          <w:lang w:val="en-GB"/>
        </w:rPr>
        <w:t xml:space="preserve">Neither </w:t>
      </w:r>
      <w:r w:rsidR="00114082">
        <w:rPr>
          <w:rFonts w:ascii="Arial" w:hAnsi="Arial" w:cs="Arial"/>
          <w:sz w:val="22"/>
          <w:szCs w:val="22"/>
          <w:lang w:val="en-GB"/>
        </w:rPr>
        <w:t>(</w:t>
      </w:r>
      <w:r w:rsidRPr="00114082">
        <w:rPr>
          <w:rFonts w:ascii="Arial" w:hAnsi="Arial" w:cs="Arial"/>
          <w:sz w:val="22"/>
          <w:szCs w:val="22"/>
          <w:lang w:val="en-GB"/>
        </w:rPr>
        <w:t>a</w:t>
      </w:r>
      <w:r w:rsidR="00114082">
        <w:rPr>
          <w:rFonts w:ascii="Arial" w:hAnsi="Arial" w:cs="Arial"/>
          <w:sz w:val="22"/>
          <w:szCs w:val="22"/>
          <w:lang w:val="en-GB"/>
        </w:rPr>
        <w:t>)</w:t>
      </w:r>
      <w:r w:rsidRPr="00114082">
        <w:rPr>
          <w:rFonts w:ascii="Arial" w:hAnsi="Arial" w:cs="Arial"/>
          <w:sz w:val="22"/>
          <w:szCs w:val="22"/>
          <w:lang w:val="en-GB"/>
        </w:rPr>
        <w:t xml:space="preserve"> nor </w:t>
      </w:r>
      <w:r w:rsidR="00114082">
        <w:rPr>
          <w:rFonts w:ascii="Arial" w:hAnsi="Arial" w:cs="Arial"/>
          <w:sz w:val="22"/>
          <w:szCs w:val="22"/>
          <w:lang w:val="en-GB"/>
        </w:rPr>
        <w:t>(</w:t>
      </w:r>
      <w:r w:rsidRPr="00114082">
        <w:rPr>
          <w:rFonts w:ascii="Arial" w:hAnsi="Arial" w:cs="Arial"/>
          <w:sz w:val="22"/>
          <w:szCs w:val="22"/>
          <w:lang w:val="en-GB"/>
        </w:rPr>
        <w:t>b</w:t>
      </w:r>
      <w:r w:rsidR="00114082">
        <w:rPr>
          <w:rFonts w:ascii="Arial" w:hAnsi="Arial" w:cs="Arial"/>
          <w:sz w:val="22"/>
          <w:szCs w:val="22"/>
          <w:lang w:val="en-GB"/>
        </w:rPr>
        <w:t>)</w:t>
      </w:r>
      <w:r w:rsidRPr="00114082">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50081C50" w14:textId="48C3FB3B" w:rsidR="00114082" w:rsidRDefault="00114082" w:rsidP="00114082">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in accordance with article 8 of the Model Law, which of the following texts is likely to be of relevance?  </w:t>
      </w:r>
    </w:p>
    <w:p w14:paraId="62330AB1" w14:textId="77777777" w:rsidR="00114082" w:rsidRDefault="00114082" w:rsidP="00114082">
      <w:pPr>
        <w:ind w:left="720" w:hanging="720"/>
        <w:jc w:val="both"/>
        <w:rPr>
          <w:rFonts w:ascii="Arial" w:hAnsi="Arial" w:cs="Arial"/>
          <w:sz w:val="22"/>
          <w:szCs w:val="22"/>
          <w:lang w:val="en-GB"/>
        </w:rPr>
      </w:pPr>
    </w:p>
    <w:p w14:paraId="5B2E1C23" w14:textId="0F4B49F0"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Practice Guide</w:t>
      </w:r>
      <w:r w:rsidR="00835FD1">
        <w:rPr>
          <w:rFonts w:ascii="Arial" w:hAnsi="Arial" w:cs="Arial"/>
          <w:sz w:val="22"/>
          <w:szCs w:val="22"/>
          <w:lang w:val="en-GB"/>
        </w:rPr>
        <w:t>.</w:t>
      </w:r>
    </w:p>
    <w:p w14:paraId="56603A60" w14:textId="77777777" w:rsidR="00835FD1" w:rsidRPr="00835FD1" w:rsidRDefault="00835FD1" w:rsidP="00835FD1">
      <w:pPr>
        <w:jc w:val="both"/>
        <w:rPr>
          <w:rFonts w:ascii="Arial" w:hAnsi="Arial" w:cs="Arial"/>
          <w:sz w:val="22"/>
          <w:szCs w:val="22"/>
          <w:lang w:val="en-GB"/>
        </w:rPr>
      </w:pPr>
    </w:p>
    <w:p w14:paraId="12FA63E1" w14:textId="25B5A1B8" w:rsidR="00114082" w:rsidRDefault="00114082" w:rsidP="00114082">
      <w:pPr>
        <w:pStyle w:val="ListParagraph"/>
        <w:numPr>
          <w:ilvl w:val="0"/>
          <w:numId w:val="30"/>
        </w:numPr>
        <w:ind w:left="426"/>
        <w:jc w:val="both"/>
        <w:rPr>
          <w:rFonts w:ascii="Arial" w:hAnsi="Arial" w:cs="Arial"/>
          <w:sz w:val="22"/>
          <w:szCs w:val="22"/>
          <w:lang w:val="en-GB"/>
        </w:rPr>
      </w:pPr>
      <w:r w:rsidRPr="00114082">
        <w:rPr>
          <w:rFonts w:ascii="Arial" w:hAnsi="Arial" w:cs="Arial"/>
          <w:sz w:val="22"/>
          <w:szCs w:val="22"/>
          <w:lang w:val="en-GB"/>
        </w:rPr>
        <w:t>The UNCITRAL Guide of Enactment and the Legislative Guide – Parts One, Two, Three and Four</w:t>
      </w:r>
      <w:r w:rsidR="00835FD1">
        <w:rPr>
          <w:rFonts w:ascii="Arial" w:hAnsi="Arial" w:cs="Arial"/>
          <w:sz w:val="22"/>
          <w:szCs w:val="22"/>
          <w:lang w:val="en-GB"/>
        </w:rPr>
        <w:t>.</w:t>
      </w:r>
    </w:p>
    <w:p w14:paraId="4409C6EB" w14:textId="77777777" w:rsidR="00835FD1" w:rsidRPr="00835FD1" w:rsidRDefault="00835FD1" w:rsidP="00835FD1">
      <w:pPr>
        <w:jc w:val="both"/>
        <w:rPr>
          <w:rFonts w:ascii="Arial" w:hAnsi="Arial" w:cs="Arial"/>
          <w:sz w:val="22"/>
          <w:szCs w:val="22"/>
          <w:lang w:val="en-GB"/>
        </w:rPr>
      </w:pPr>
    </w:p>
    <w:p w14:paraId="7AA8D402" w14:textId="3DDB25EF" w:rsidR="00114082" w:rsidRPr="00835FD1" w:rsidRDefault="00114082" w:rsidP="00114082">
      <w:pPr>
        <w:pStyle w:val="ListParagraph"/>
        <w:numPr>
          <w:ilvl w:val="0"/>
          <w:numId w:val="30"/>
        </w:numPr>
        <w:spacing w:line="276" w:lineRule="auto"/>
        <w:ind w:left="426"/>
        <w:jc w:val="both"/>
        <w:rPr>
          <w:rFonts w:ascii="Arial" w:hAnsi="Arial" w:cs="Arial"/>
          <w:b/>
          <w:sz w:val="22"/>
          <w:szCs w:val="22"/>
          <w:lang w:val="en-GB"/>
        </w:rPr>
      </w:pPr>
      <w:r w:rsidRPr="00114082">
        <w:rPr>
          <w:rFonts w:ascii="Arial" w:hAnsi="Arial" w:cs="Arial"/>
          <w:sz w:val="22"/>
          <w:szCs w:val="22"/>
          <w:lang w:val="en-GB"/>
        </w:rPr>
        <w:t>The UNCITRAL Guide of Enactment and the Judicial Perspective</w:t>
      </w:r>
      <w:r w:rsidR="00835FD1">
        <w:rPr>
          <w:rFonts w:ascii="Arial" w:hAnsi="Arial" w:cs="Arial"/>
          <w:sz w:val="22"/>
          <w:szCs w:val="22"/>
          <w:lang w:val="en-GB"/>
        </w:rPr>
        <w:t>.</w:t>
      </w:r>
    </w:p>
    <w:p w14:paraId="1B4B245C" w14:textId="77777777" w:rsidR="00835FD1" w:rsidRPr="00835FD1" w:rsidRDefault="00835FD1" w:rsidP="00835FD1">
      <w:pPr>
        <w:spacing w:line="276" w:lineRule="auto"/>
        <w:jc w:val="both"/>
        <w:rPr>
          <w:rFonts w:ascii="Arial" w:hAnsi="Arial" w:cs="Arial"/>
          <w:b/>
          <w:sz w:val="22"/>
          <w:szCs w:val="22"/>
          <w:lang w:val="en-GB"/>
        </w:rPr>
      </w:pPr>
    </w:p>
    <w:p w14:paraId="4F16EEC7" w14:textId="6C5E59D3" w:rsidR="00D17FDC" w:rsidRPr="00064DBE"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064DBE">
        <w:rPr>
          <w:rFonts w:ascii="Arial" w:hAnsi="Arial" w:cs="Arial"/>
          <w:sz w:val="22"/>
          <w:szCs w:val="22"/>
          <w:highlight w:val="yellow"/>
          <w:lang w:val="en-GB"/>
        </w:rPr>
        <w:t>All of the above.</w:t>
      </w:r>
    </w:p>
    <w:p w14:paraId="6C39006D" w14:textId="77777777" w:rsidR="005C2C94" w:rsidRPr="00592F82" w:rsidRDefault="005C2C94"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71FB1E7A"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DD0A50">
        <w:rPr>
          <w:rFonts w:ascii="Arial" w:hAnsi="Arial" w:cs="Arial"/>
          <w:b/>
          <w:bCs/>
          <w:sz w:val="22"/>
          <w:szCs w:val="22"/>
          <w:lang w:val="en-GB"/>
        </w:rPr>
        <w:t>3</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3FF4CE00" w14:textId="7517E4F0" w:rsidR="00AD3FEA" w:rsidRPr="00553EB2" w:rsidRDefault="00AD3FEA" w:rsidP="00AD3FEA">
      <w:pPr>
        <w:jc w:val="both"/>
        <w:rPr>
          <w:rFonts w:ascii="Arial" w:hAnsi="Arial" w:cs="Arial"/>
          <w:sz w:val="22"/>
          <w:szCs w:val="22"/>
          <w:lang w:val="en-GB"/>
        </w:rPr>
      </w:pPr>
      <w:r>
        <w:rPr>
          <w:rFonts w:ascii="Arial" w:hAnsi="Arial" w:cs="Arial"/>
          <w:sz w:val="22"/>
          <w:szCs w:val="22"/>
          <w:lang w:val="en-GB"/>
        </w:rPr>
        <w:t xml:space="preserve">One of the elements of the definition </w:t>
      </w:r>
      <w:r w:rsidR="007854ED">
        <w:rPr>
          <w:rFonts w:ascii="Arial" w:hAnsi="Arial" w:cs="Arial"/>
          <w:sz w:val="22"/>
          <w:szCs w:val="22"/>
          <w:lang w:val="en-GB"/>
        </w:rPr>
        <w:t xml:space="preserve">of </w:t>
      </w:r>
      <w:r>
        <w:rPr>
          <w:rFonts w:ascii="Arial" w:hAnsi="Arial" w:cs="Arial"/>
          <w:sz w:val="22"/>
          <w:szCs w:val="22"/>
          <w:lang w:val="en-GB"/>
        </w:rPr>
        <w:t xml:space="preserve">“foreign proceeding” as set </w:t>
      </w:r>
      <w:r w:rsidR="007854ED">
        <w:rPr>
          <w:rFonts w:ascii="Arial" w:hAnsi="Arial" w:cs="Arial"/>
          <w:sz w:val="22"/>
          <w:szCs w:val="22"/>
          <w:lang w:val="en-GB"/>
        </w:rPr>
        <w:t>out</w:t>
      </w:r>
      <w:r>
        <w:rPr>
          <w:rFonts w:ascii="Arial" w:hAnsi="Arial" w:cs="Arial"/>
          <w:sz w:val="22"/>
          <w:szCs w:val="22"/>
          <w:lang w:val="en-GB"/>
        </w:rPr>
        <w:t xml:space="preserve"> in article 2(a) of the MLCBI</w:t>
      </w:r>
      <w:r w:rsidR="007854ED">
        <w:rPr>
          <w:rFonts w:ascii="Arial" w:hAnsi="Arial" w:cs="Arial"/>
          <w:sz w:val="22"/>
          <w:szCs w:val="22"/>
          <w:lang w:val="en-GB"/>
        </w:rPr>
        <w:t>,</w:t>
      </w:r>
      <w:r>
        <w:rPr>
          <w:rFonts w:ascii="Arial" w:hAnsi="Arial" w:cs="Arial"/>
          <w:sz w:val="22"/>
          <w:szCs w:val="22"/>
          <w:lang w:val="en-GB"/>
        </w:rPr>
        <w:t xml:space="preserve"> is that the proceeding is “authorised or conducted under a law relating to insolvency”</w:t>
      </w:r>
      <w:r w:rsidR="005E5C28">
        <w:rPr>
          <w:rFonts w:ascii="Arial" w:hAnsi="Arial" w:cs="Arial"/>
          <w:sz w:val="22"/>
          <w:szCs w:val="22"/>
          <w:lang w:val="en-GB"/>
        </w:rPr>
        <w:t>.</w:t>
      </w:r>
      <w:r>
        <w:rPr>
          <w:rFonts w:ascii="Arial" w:hAnsi="Arial" w:cs="Arial"/>
          <w:sz w:val="22"/>
          <w:szCs w:val="22"/>
          <w:lang w:val="en-GB"/>
        </w:rPr>
        <w:t xml:space="preserve"> </w:t>
      </w:r>
      <w:r w:rsidR="005E5C28">
        <w:rPr>
          <w:rFonts w:ascii="Arial" w:hAnsi="Arial" w:cs="Arial"/>
          <w:sz w:val="22"/>
          <w:szCs w:val="22"/>
          <w:lang w:val="en-GB"/>
        </w:rPr>
        <w:t>D</w:t>
      </w:r>
      <w:r>
        <w:rPr>
          <w:rFonts w:ascii="Arial" w:hAnsi="Arial" w:cs="Arial"/>
          <w:sz w:val="22"/>
          <w:szCs w:val="22"/>
          <w:lang w:val="en-GB"/>
        </w:rPr>
        <w:t xml:space="preserve">iscuss </w:t>
      </w:r>
      <w:r w:rsidR="005E5C28">
        <w:rPr>
          <w:rFonts w:ascii="Arial" w:hAnsi="Arial" w:cs="Arial"/>
          <w:sz w:val="22"/>
          <w:szCs w:val="22"/>
          <w:lang w:val="en-GB"/>
        </w:rPr>
        <w:t>whether</w:t>
      </w:r>
      <w:r>
        <w:rPr>
          <w:rFonts w:ascii="Arial" w:hAnsi="Arial" w:cs="Arial"/>
          <w:sz w:val="22"/>
          <w:szCs w:val="22"/>
          <w:lang w:val="en-GB"/>
        </w:rPr>
        <w:t xml:space="preserve"> a “foreign solvent winding-up proceeding of a debtor on just and equitable grounds” is likely to meet this element.</w:t>
      </w:r>
    </w:p>
    <w:p w14:paraId="76C585E6" w14:textId="5C1C2CF0" w:rsidR="009B07AD" w:rsidRDefault="009B07AD" w:rsidP="00707FC8">
      <w:pPr>
        <w:jc w:val="both"/>
        <w:rPr>
          <w:rFonts w:ascii="Arial" w:hAnsi="Arial" w:cs="Arial"/>
          <w:sz w:val="22"/>
          <w:szCs w:val="22"/>
          <w:lang w:val="en-GB"/>
        </w:rPr>
      </w:pPr>
    </w:p>
    <w:p w14:paraId="57BCFC30" w14:textId="079FA1E4" w:rsidR="009B07AD" w:rsidRPr="00FD3AE3" w:rsidRDefault="00C7768D" w:rsidP="00C7768D">
      <w:pPr>
        <w:jc w:val="both"/>
        <w:rPr>
          <w:rFonts w:ascii="Arial" w:hAnsi="Arial" w:cs="Arial"/>
          <w:i/>
          <w:iCs/>
          <w:sz w:val="22"/>
          <w:szCs w:val="22"/>
          <w:lang w:val="en-GB"/>
        </w:rPr>
      </w:pPr>
      <w:r>
        <w:rPr>
          <w:rFonts w:ascii="Arial" w:hAnsi="Arial" w:cs="Arial"/>
          <w:color w:val="7B7B7B" w:themeColor="accent3" w:themeShade="BF"/>
          <w:sz w:val="22"/>
          <w:szCs w:val="22"/>
          <w:lang w:val="en-GB"/>
        </w:rPr>
        <w:t>A foreign proceeding, with relation to a solvent entity that is being wound up on just and equitable grounds is unlikely to meet the element under the Model Law. Firstly, the Guide to Enactment and Interpretation of the Model Law specifically indicates that the terms of ‘law relating to insolvency’ has been used in the Model Law to ensure that the Model Law can be applied in circumstances where a debtor is in severe financial distress, or is insolvent.</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It is unlikely that any company seeking to be wound up on just and equitable grounds falls within the definition of financial distress or insolvency, or under relevant law, rather it is more likely because of other issues within the Company.  </w:t>
      </w:r>
      <w:r w:rsidR="00FD3AE3">
        <w:rPr>
          <w:rFonts w:ascii="Arial" w:hAnsi="Arial" w:cs="Arial"/>
          <w:color w:val="7B7B7B" w:themeColor="accent3" w:themeShade="BF"/>
          <w:sz w:val="22"/>
          <w:szCs w:val="22"/>
          <w:lang w:val="en-GB"/>
        </w:rPr>
        <w:t xml:space="preserve">This position was confirmed in English proceedings, where the court held that it would be contrary to the stated purpose and object of the Model Law to interpret foreign proceedings to include matters involving solvent debtors. On this basis, foreign solvent winding-up proceedings on just and equitable grounds is unlikely to meet the element of authorised or conducted under a law relating to insolvency.  </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17467E5C"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ED6A32">
        <w:rPr>
          <w:rFonts w:ascii="Arial" w:hAnsi="Arial" w:cs="Arial"/>
          <w:b/>
          <w:bCs/>
          <w:sz w:val="22"/>
          <w:szCs w:val="22"/>
        </w:rPr>
        <w:t>3</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06922945" w14:textId="6EF914D5" w:rsidR="00ED6A32" w:rsidRDefault="00ED6A32" w:rsidP="00ED6A32">
      <w:pPr>
        <w:jc w:val="both"/>
        <w:rPr>
          <w:rFonts w:ascii="Arial" w:hAnsi="Arial" w:cs="Arial"/>
          <w:sz w:val="22"/>
          <w:szCs w:val="22"/>
          <w:lang w:val="en-GB"/>
        </w:rPr>
      </w:pPr>
      <w:r>
        <w:rPr>
          <w:rFonts w:ascii="Arial" w:hAnsi="Arial" w:cs="Arial"/>
          <w:sz w:val="22"/>
          <w:szCs w:val="22"/>
          <w:lang w:val="en-GB"/>
        </w:rPr>
        <w:t xml:space="preserve">The following </w:t>
      </w:r>
      <w:r w:rsidRPr="00ED6A32">
        <w:rPr>
          <w:rFonts w:ascii="Arial" w:hAnsi="Arial" w:cs="Arial"/>
          <w:b/>
          <w:bCs/>
          <w:sz w:val="22"/>
          <w:szCs w:val="22"/>
          <w:u w:val="single"/>
          <w:lang w:val="en-GB"/>
        </w:rPr>
        <w:t>three (3) statements</w:t>
      </w:r>
      <w:r>
        <w:rPr>
          <w:rFonts w:ascii="Arial" w:hAnsi="Arial" w:cs="Arial"/>
          <w:sz w:val="22"/>
          <w:szCs w:val="22"/>
          <w:lang w:val="en-GB"/>
        </w:rPr>
        <w:t xml:space="preserve"> relate to particular provisions</w:t>
      </w:r>
      <w:r w:rsidR="005E5C28">
        <w:rPr>
          <w:rFonts w:ascii="Arial" w:hAnsi="Arial" w:cs="Arial"/>
          <w:sz w:val="22"/>
          <w:szCs w:val="22"/>
          <w:lang w:val="en-GB"/>
        </w:rPr>
        <w:t xml:space="preserve"> </w:t>
      </w:r>
      <w:r>
        <w:rPr>
          <w:rFonts w:ascii="Arial" w:hAnsi="Arial" w:cs="Arial"/>
          <w:sz w:val="22"/>
          <w:szCs w:val="22"/>
          <w:lang w:val="en-GB"/>
        </w:rPr>
        <w:t>/</w:t>
      </w:r>
      <w:r w:rsidR="005E5C28">
        <w:rPr>
          <w:rFonts w:ascii="Arial" w:hAnsi="Arial" w:cs="Arial"/>
          <w:sz w:val="22"/>
          <w:szCs w:val="22"/>
          <w:lang w:val="en-GB"/>
        </w:rPr>
        <w:t xml:space="preserve"> </w:t>
      </w:r>
      <w:r>
        <w:rPr>
          <w:rFonts w:ascii="Arial" w:hAnsi="Arial" w:cs="Arial"/>
          <w:sz w:val="22"/>
          <w:szCs w:val="22"/>
          <w:lang w:val="en-GB"/>
        </w:rPr>
        <w:t>concepts to be found in the Model Law. Indicate the name of the provision / concept (as well as the relevant Model Law article), addressed in each statement.</w:t>
      </w:r>
    </w:p>
    <w:p w14:paraId="3045E08F" w14:textId="77777777" w:rsidR="00ED6A32" w:rsidRDefault="00ED6A32" w:rsidP="00ED6A32">
      <w:pPr>
        <w:ind w:left="720" w:hanging="720"/>
        <w:jc w:val="both"/>
        <w:rPr>
          <w:rFonts w:ascii="Arial" w:hAnsi="Arial" w:cs="Arial"/>
          <w:sz w:val="22"/>
          <w:szCs w:val="22"/>
          <w:lang w:val="en-GB"/>
        </w:rPr>
      </w:pPr>
    </w:p>
    <w:p w14:paraId="03C49309" w14:textId="77777777" w:rsidR="00ED6A32" w:rsidRPr="00406577" w:rsidRDefault="00ED6A32" w:rsidP="00ED6A32">
      <w:pPr>
        <w:ind w:left="1440" w:hanging="1440"/>
        <w:jc w:val="both"/>
        <w:rPr>
          <w:rFonts w:ascii="Arial" w:hAnsi="Arial" w:cs="Arial"/>
          <w:sz w:val="22"/>
          <w:szCs w:val="22"/>
          <w:lang w:val="en-GB"/>
        </w:rPr>
      </w:pPr>
      <w:r w:rsidRPr="00ED6A32">
        <w:rPr>
          <w:rFonts w:ascii="Arial" w:hAnsi="Arial" w:cs="Arial"/>
          <w:b/>
          <w:bCs/>
          <w:sz w:val="22"/>
          <w:szCs w:val="22"/>
          <w:u w:val="single"/>
          <w:lang w:val="en-GB"/>
        </w:rPr>
        <w:t>Statement 1</w:t>
      </w:r>
      <w:r>
        <w:rPr>
          <w:rFonts w:ascii="Arial" w:hAnsi="Arial" w:cs="Arial"/>
          <w:sz w:val="22"/>
          <w:szCs w:val="22"/>
          <w:lang w:val="en-GB"/>
        </w:rPr>
        <w:tab/>
        <w:t>“</w:t>
      </w:r>
      <w:r>
        <w:rPr>
          <w:rFonts w:ascii="Arial" w:hAnsi="Arial" w:cs="Arial"/>
          <w:i/>
          <w:sz w:val="22"/>
          <w:szCs w:val="22"/>
          <w:lang w:val="en-GB"/>
        </w:rPr>
        <w:t>T</w:t>
      </w:r>
      <w:r w:rsidRPr="002045A7">
        <w:rPr>
          <w:rFonts w:ascii="Arial" w:hAnsi="Arial" w:cs="Arial"/>
          <w:i/>
          <w:sz w:val="22"/>
          <w:szCs w:val="22"/>
          <w:lang w:val="en-GB"/>
        </w:rPr>
        <w:t xml:space="preserve">his Article </w:t>
      </w:r>
      <w:r>
        <w:rPr>
          <w:rFonts w:ascii="Arial" w:hAnsi="Arial" w:cs="Arial"/>
          <w:i/>
          <w:sz w:val="22"/>
          <w:szCs w:val="22"/>
          <w:lang w:val="en-GB"/>
        </w:rPr>
        <w:t>provides the ultimate safeguard to the sovereignty of the enacting State</w:t>
      </w:r>
      <w:r>
        <w:rPr>
          <w:rFonts w:ascii="Arial" w:hAnsi="Arial" w:cs="Arial"/>
          <w:sz w:val="22"/>
          <w:szCs w:val="22"/>
          <w:lang w:val="en-GB"/>
        </w:rPr>
        <w:t>”</w:t>
      </w:r>
    </w:p>
    <w:p w14:paraId="274985E1" w14:textId="77777777" w:rsidR="00ED6A32" w:rsidRDefault="00ED6A32" w:rsidP="00ED6A32">
      <w:pPr>
        <w:ind w:left="720" w:hanging="720"/>
        <w:jc w:val="both"/>
        <w:rPr>
          <w:rFonts w:ascii="Arial" w:hAnsi="Arial" w:cs="Arial"/>
          <w:sz w:val="22"/>
          <w:szCs w:val="22"/>
          <w:lang w:val="en-GB"/>
        </w:rPr>
      </w:pPr>
    </w:p>
    <w:p w14:paraId="4AA1D8C3" w14:textId="77777777" w:rsidR="00ED6A32" w:rsidRPr="004A4991" w:rsidRDefault="00ED6A32" w:rsidP="00ED6A32">
      <w:pPr>
        <w:ind w:left="1440" w:hanging="1440"/>
        <w:jc w:val="both"/>
        <w:rPr>
          <w:rFonts w:ascii="Arial" w:hAnsi="Arial" w:cs="Arial"/>
          <w:sz w:val="22"/>
          <w:szCs w:val="22"/>
          <w:lang w:val="en-GB"/>
        </w:rPr>
      </w:pPr>
      <w:r w:rsidRPr="00B04137">
        <w:rPr>
          <w:rFonts w:ascii="Arial" w:hAnsi="Arial" w:cs="Arial"/>
          <w:b/>
          <w:bCs/>
          <w:sz w:val="22"/>
          <w:szCs w:val="22"/>
          <w:u w:val="single"/>
          <w:lang w:val="en-GB"/>
        </w:rPr>
        <w:t>Statement 2</w:t>
      </w:r>
      <w:r>
        <w:rPr>
          <w:rFonts w:ascii="Arial" w:hAnsi="Arial" w:cs="Arial"/>
          <w:sz w:val="22"/>
          <w:szCs w:val="22"/>
          <w:lang w:val="en-GB"/>
        </w:rPr>
        <w:tab/>
      </w:r>
      <w:r w:rsidRPr="0055429F">
        <w:rPr>
          <w:rFonts w:ascii="Arial" w:hAnsi="Arial" w:cs="Arial"/>
          <w:i/>
          <w:sz w:val="22"/>
          <w:szCs w:val="22"/>
          <w:lang w:val="en-GB"/>
        </w:rPr>
        <w:t xml:space="preserve">“This Article provides </w:t>
      </w:r>
      <w:r>
        <w:rPr>
          <w:rFonts w:ascii="Arial" w:hAnsi="Arial" w:cs="Arial"/>
          <w:i/>
          <w:sz w:val="22"/>
          <w:szCs w:val="22"/>
          <w:lang w:val="en-GB"/>
        </w:rPr>
        <w:t>guidance on a key concept in the MLCBI that is not otherwise defined in it</w:t>
      </w:r>
      <w:r>
        <w:rPr>
          <w:rFonts w:ascii="Arial" w:hAnsi="Arial" w:cs="Arial"/>
          <w:sz w:val="22"/>
          <w:szCs w:val="22"/>
          <w:lang w:val="en-GB"/>
        </w:rPr>
        <w:t>”</w:t>
      </w:r>
    </w:p>
    <w:p w14:paraId="3E058A61" w14:textId="77777777" w:rsidR="00ED6A32" w:rsidRDefault="00ED6A32" w:rsidP="00ED6A32">
      <w:pPr>
        <w:ind w:left="720" w:hanging="720"/>
        <w:jc w:val="both"/>
        <w:rPr>
          <w:rFonts w:ascii="Arial" w:hAnsi="Arial" w:cs="Arial"/>
          <w:sz w:val="22"/>
          <w:szCs w:val="22"/>
          <w:lang w:val="en-GB"/>
        </w:rPr>
      </w:pPr>
    </w:p>
    <w:p w14:paraId="16E34B45" w14:textId="759A8766" w:rsidR="000E6325" w:rsidRPr="000E6325" w:rsidRDefault="00ED6A32" w:rsidP="00ED6A32">
      <w:pPr>
        <w:ind w:left="1440" w:hanging="1440"/>
        <w:jc w:val="both"/>
        <w:rPr>
          <w:rFonts w:ascii="Arial" w:hAnsi="Arial" w:cs="Arial"/>
          <w:iCs/>
          <w:sz w:val="22"/>
          <w:szCs w:val="22"/>
          <w:lang w:val="en-GB"/>
        </w:rPr>
      </w:pPr>
      <w:r w:rsidRPr="0090421A">
        <w:rPr>
          <w:rFonts w:ascii="Arial" w:hAnsi="Arial" w:cs="Arial"/>
          <w:b/>
          <w:bCs/>
          <w:sz w:val="22"/>
          <w:szCs w:val="22"/>
          <w:u w:val="single"/>
          <w:lang w:val="en-GB"/>
        </w:rPr>
        <w:t>Statement 3</w:t>
      </w:r>
      <w:r>
        <w:rPr>
          <w:rFonts w:ascii="Arial" w:hAnsi="Arial" w:cs="Arial"/>
          <w:sz w:val="22"/>
          <w:szCs w:val="22"/>
          <w:lang w:val="en-GB"/>
        </w:rPr>
        <w:tab/>
        <w:t>“</w:t>
      </w:r>
      <w:r>
        <w:rPr>
          <w:rFonts w:ascii="Arial" w:hAnsi="Arial" w:cs="Arial"/>
          <w:i/>
          <w:sz w:val="22"/>
          <w:szCs w:val="22"/>
          <w:lang w:val="en-GB"/>
        </w:rPr>
        <w:t>The Article contains a rebuttable presumption that results from a recognition of a foreign main proceeding</w:t>
      </w:r>
      <w:r>
        <w:rPr>
          <w:rFonts w:ascii="Arial" w:hAnsi="Arial" w:cs="Arial"/>
          <w:sz w:val="22"/>
          <w:szCs w:val="22"/>
          <w:lang w:val="en-GB"/>
        </w:rPr>
        <w:t>”</w:t>
      </w:r>
    </w:p>
    <w:p w14:paraId="28CB4725" w14:textId="77777777" w:rsidR="000E6325" w:rsidRDefault="000E6325" w:rsidP="00707FC8">
      <w:pPr>
        <w:ind w:left="720" w:hanging="720"/>
        <w:jc w:val="both"/>
        <w:rPr>
          <w:rFonts w:ascii="Arial" w:hAnsi="Arial" w:cs="Arial"/>
          <w:sz w:val="22"/>
          <w:szCs w:val="22"/>
          <w:lang w:val="en-GB"/>
        </w:rPr>
      </w:pPr>
    </w:p>
    <w:p w14:paraId="1026DE51" w14:textId="0CE9908D" w:rsidR="006703B1" w:rsidRDefault="006703B1" w:rsidP="006703B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The Public Policy Exception provided by Article 6 of the Model Law. </w:t>
      </w:r>
    </w:p>
    <w:p w14:paraId="775B1C27" w14:textId="655F0113" w:rsidR="006703B1" w:rsidRDefault="0067479D" w:rsidP="00C27E75">
      <w:pPr>
        <w:ind w:left="1418" w:hanging="1418"/>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2:  Recognition Decision relating to the COMI</w:t>
      </w:r>
      <w:r w:rsidR="00C27E75">
        <w:rPr>
          <w:rFonts w:ascii="Arial" w:hAnsi="Arial" w:cs="Arial"/>
          <w:color w:val="7B7B7B" w:themeColor="accent3" w:themeShade="BF"/>
          <w:sz w:val="22"/>
          <w:szCs w:val="22"/>
        </w:rPr>
        <w:t xml:space="preserve"> as set out in Article 17</w:t>
      </w:r>
      <w:r w:rsidR="00174934">
        <w:rPr>
          <w:rFonts w:ascii="Arial" w:hAnsi="Arial" w:cs="Arial"/>
          <w:color w:val="7B7B7B" w:themeColor="accent3" w:themeShade="BF"/>
          <w:sz w:val="22"/>
          <w:szCs w:val="22"/>
        </w:rPr>
        <w:t xml:space="preserve"> of the Model Law</w:t>
      </w:r>
      <w:r w:rsidR="00C27E75">
        <w:rPr>
          <w:rFonts w:ascii="Arial" w:hAnsi="Arial" w:cs="Arial"/>
          <w:color w:val="7B7B7B" w:themeColor="accent3" w:themeShade="BF"/>
          <w:sz w:val="22"/>
          <w:szCs w:val="22"/>
        </w:rPr>
        <w:t xml:space="preserve">.  </w:t>
      </w:r>
    </w:p>
    <w:p w14:paraId="1BAE5CE2" w14:textId="1CEBFE0E" w:rsidR="006703B1" w:rsidRPr="006703B1" w:rsidRDefault="006703B1" w:rsidP="006703B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3:  The Presumption of Insolvency as provided by Article 31 of the Model Law.  </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2252050D" w14:textId="4B8C3E48" w:rsidR="00530003" w:rsidRDefault="00530003" w:rsidP="00530003">
      <w:pPr>
        <w:jc w:val="both"/>
        <w:rPr>
          <w:rFonts w:ascii="Arial" w:hAnsi="Arial" w:cs="Arial"/>
          <w:sz w:val="22"/>
          <w:szCs w:val="22"/>
          <w:lang w:val="en-GB"/>
        </w:rPr>
      </w:pPr>
      <w:r>
        <w:rPr>
          <w:rFonts w:ascii="Arial" w:hAnsi="Arial" w:cs="Arial"/>
          <w:sz w:val="22"/>
          <w:szCs w:val="22"/>
          <w:lang w:val="en-GB"/>
        </w:rPr>
        <w:t xml:space="preserve">While the concepts of COMI (Centre of Main Interest) in the European Insolvency Regulation and the MLCBI are similar, they serve different purposes. </w:t>
      </w:r>
      <w:r w:rsidRPr="00530003">
        <w:rPr>
          <w:rFonts w:ascii="Arial" w:hAnsi="Arial" w:cs="Arial"/>
          <w:b/>
          <w:bCs/>
          <w:sz w:val="22"/>
          <w:szCs w:val="22"/>
          <w:u w:val="single"/>
          <w:lang w:val="en-GB"/>
        </w:rPr>
        <w:t>Please explain</w:t>
      </w:r>
      <w:r>
        <w:rPr>
          <w:rFonts w:ascii="Arial" w:hAnsi="Arial" w:cs="Arial"/>
          <w:sz w:val="22"/>
          <w:szCs w:val="22"/>
          <w:lang w:val="en-GB"/>
        </w:rPr>
        <w:t>.</w:t>
      </w:r>
    </w:p>
    <w:p w14:paraId="168EBB52" w14:textId="7B08F954" w:rsidR="00C82D87" w:rsidRPr="00592F82" w:rsidRDefault="00C82D87" w:rsidP="00707FC8">
      <w:pPr>
        <w:jc w:val="both"/>
        <w:rPr>
          <w:rFonts w:ascii="Arial" w:hAnsi="Arial" w:cs="Arial"/>
          <w:sz w:val="22"/>
          <w:szCs w:val="22"/>
          <w:lang w:val="en-GB"/>
        </w:rPr>
      </w:pPr>
    </w:p>
    <w:p w14:paraId="383B5930" w14:textId="72589CBA" w:rsidR="00C550C8" w:rsidRDefault="00EA5AA3" w:rsidP="00EA5A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COMI under the EIR, the COMI determined the jurisdiction for the commencement of insolvency proceedings, while under the model law it determines only the consequences of recognition </w:t>
      </w:r>
      <w:r w:rsidR="00D5420E">
        <w:rPr>
          <w:rFonts w:ascii="Arial" w:hAnsi="Arial" w:cs="Arial"/>
          <w:color w:val="7B7B7B" w:themeColor="accent3" w:themeShade="BF"/>
          <w:sz w:val="22"/>
          <w:szCs w:val="22"/>
          <w:lang w:val="en-GB"/>
        </w:rPr>
        <w:t>of a</w:t>
      </w:r>
      <w:r>
        <w:rPr>
          <w:rFonts w:ascii="Arial" w:hAnsi="Arial" w:cs="Arial"/>
          <w:color w:val="7B7B7B" w:themeColor="accent3" w:themeShade="BF"/>
          <w:sz w:val="22"/>
          <w:szCs w:val="22"/>
          <w:lang w:val="en-GB"/>
        </w:rPr>
        <w:t xml:space="preserve"> foreign proceeding.  Essentially, the EIR provides for the COMI being the main determining factor for selecting the most appropriate forum for any insolvency proceedings, whereas under the Model Law, the COMI will be used to determine the concep</w:t>
      </w:r>
      <w:r w:rsidR="00C1467C">
        <w:rPr>
          <w:rFonts w:ascii="Arial" w:hAnsi="Arial" w:cs="Arial"/>
          <w:color w:val="7B7B7B" w:themeColor="accent3" w:themeShade="BF"/>
          <w:sz w:val="22"/>
          <w:szCs w:val="22"/>
          <w:lang w:val="en-GB"/>
        </w:rPr>
        <w:t xml:space="preserve">t of the </w:t>
      </w:r>
      <w:r w:rsidR="00B001A8">
        <w:rPr>
          <w:rFonts w:ascii="Arial" w:hAnsi="Arial" w:cs="Arial"/>
          <w:color w:val="7B7B7B" w:themeColor="accent3" w:themeShade="BF"/>
          <w:sz w:val="22"/>
          <w:szCs w:val="22"/>
          <w:lang w:val="en-GB"/>
        </w:rPr>
        <w:t xml:space="preserve">whether or not multiple proceedings could be construed as being a foreign main or non-main proceeding.  Thus, the EIR views the COMI as being a preliminary issue, rather than under the Model Law, where COMI may in fact be relevant where there is a multiplicity of proceedings. </w:t>
      </w:r>
      <w:r w:rsidR="00BE46F2">
        <w:rPr>
          <w:rStyle w:val="FootnoteReference"/>
          <w:rFonts w:ascii="Arial" w:hAnsi="Arial" w:cs="Arial"/>
          <w:color w:val="7B7B7B" w:themeColor="accent3" w:themeShade="BF"/>
          <w:sz w:val="22"/>
          <w:szCs w:val="22"/>
          <w:lang w:val="en-GB"/>
        </w:rPr>
        <w:footnoteReference w:id="2"/>
      </w:r>
    </w:p>
    <w:p w14:paraId="4C15183B" w14:textId="77777777" w:rsidR="00EA5AA3" w:rsidRDefault="00EA5AA3" w:rsidP="00EA5AA3">
      <w:pPr>
        <w:ind w:left="720" w:hanging="720"/>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596B7B38" w14:textId="60FCD145" w:rsidR="0041139B" w:rsidRDefault="00B11D19" w:rsidP="00707FC8">
      <w:pPr>
        <w:jc w:val="both"/>
        <w:rPr>
          <w:rFonts w:ascii="Arial" w:hAnsi="Arial" w:cs="Arial"/>
          <w:sz w:val="22"/>
          <w:szCs w:val="22"/>
          <w:lang w:val="en-GB"/>
        </w:rPr>
      </w:pPr>
      <w:r>
        <w:rPr>
          <w:rFonts w:ascii="Arial" w:hAnsi="Arial" w:cs="Arial"/>
          <w:sz w:val="22"/>
          <w:szCs w:val="22"/>
          <w:lang w:val="en-GB"/>
        </w:rPr>
        <w:t xml:space="preserve">In terms of relief, what should the court in an enacting State do if, after recognition of a foreign non-main proceeding, another foreign non-main proceeding is recognised? </w:t>
      </w:r>
      <w:r w:rsidR="000B4FEB">
        <w:rPr>
          <w:rFonts w:ascii="Arial" w:hAnsi="Arial" w:cs="Arial"/>
          <w:sz w:val="22"/>
          <w:szCs w:val="22"/>
          <w:lang w:val="en-GB"/>
        </w:rPr>
        <w:t>You should</w:t>
      </w:r>
      <w:r>
        <w:rPr>
          <w:rFonts w:ascii="Arial" w:hAnsi="Arial" w:cs="Arial"/>
          <w:sz w:val="22"/>
          <w:szCs w:val="22"/>
          <w:lang w:val="en-GB"/>
        </w:rPr>
        <w:t xml:space="preserve"> mention the most relevant </w:t>
      </w:r>
      <w:r w:rsidR="00FB009F">
        <w:rPr>
          <w:rFonts w:ascii="Arial" w:hAnsi="Arial" w:cs="Arial"/>
          <w:sz w:val="22"/>
          <w:szCs w:val="22"/>
          <w:lang w:val="en-GB"/>
        </w:rPr>
        <w:t>a</w:t>
      </w:r>
      <w:r>
        <w:rPr>
          <w:rFonts w:ascii="Arial" w:hAnsi="Arial" w:cs="Arial"/>
          <w:sz w:val="22"/>
          <w:szCs w:val="22"/>
          <w:lang w:val="en-GB"/>
        </w:rPr>
        <w:t xml:space="preserve">rticle of the MLCBI. What (ongoing) duty of information does the relevant foreign representative in each foreign non-main proceeding have towards the court in the enacting State? </w:t>
      </w:r>
      <w:r w:rsidR="001A24E7">
        <w:rPr>
          <w:rFonts w:ascii="Arial" w:hAnsi="Arial" w:cs="Arial"/>
          <w:sz w:val="22"/>
          <w:szCs w:val="22"/>
          <w:lang w:val="en-GB"/>
        </w:rPr>
        <w:t>You are required to m</w:t>
      </w:r>
      <w:r>
        <w:rPr>
          <w:rFonts w:ascii="Arial" w:hAnsi="Arial" w:cs="Arial"/>
          <w:sz w:val="22"/>
          <w:szCs w:val="22"/>
          <w:lang w:val="en-GB"/>
        </w:rPr>
        <w:t xml:space="preserve">ention the most relevant </w:t>
      </w:r>
      <w:r w:rsidR="00FB009F">
        <w:rPr>
          <w:rFonts w:ascii="Arial" w:hAnsi="Arial" w:cs="Arial"/>
          <w:sz w:val="22"/>
          <w:szCs w:val="22"/>
          <w:lang w:val="en-GB"/>
        </w:rPr>
        <w:t>a</w:t>
      </w:r>
      <w:r>
        <w:rPr>
          <w:rFonts w:ascii="Arial" w:hAnsi="Arial" w:cs="Arial"/>
          <w:sz w:val="22"/>
          <w:szCs w:val="22"/>
          <w:lang w:val="en-GB"/>
        </w:rPr>
        <w:t>rticle of the MLCBI.</w:t>
      </w:r>
    </w:p>
    <w:p w14:paraId="6E79A700" w14:textId="77777777" w:rsidR="0041139B" w:rsidRPr="00F17C87" w:rsidRDefault="0041139B" w:rsidP="00707FC8">
      <w:pPr>
        <w:jc w:val="both"/>
        <w:rPr>
          <w:rFonts w:ascii="Arial" w:hAnsi="Arial" w:cs="Arial"/>
          <w:bCs/>
          <w:sz w:val="22"/>
          <w:szCs w:val="22"/>
          <w:lang w:val="en-GB"/>
        </w:rPr>
      </w:pPr>
    </w:p>
    <w:p w14:paraId="15EE2B47" w14:textId="1F256E53" w:rsidR="0041139B" w:rsidRDefault="000711C9" w:rsidP="000711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relevant article is Article 30(c), which provides that where there are two concurrent non-main proceedings, the court must either grant, modify or terminate such relief for the purpose of facilitating the co-ordination of these various proceedings. It is important to note that where there are 2 non-proceedings are on foot, the MLCBI does not provide for any form of preferential treatment of either proceeding. </w:t>
      </w:r>
    </w:p>
    <w:p w14:paraId="32DAE3AD" w14:textId="77777777" w:rsidR="000711C9" w:rsidRPr="00592F82" w:rsidRDefault="000711C9" w:rsidP="000711C9">
      <w:pPr>
        <w:jc w:val="both"/>
        <w:rPr>
          <w:rFonts w:ascii="Arial" w:hAnsi="Arial" w:cs="Arial"/>
          <w:sz w:val="22"/>
          <w:szCs w:val="22"/>
          <w:lang w:val="en-GB"/>
        </w:rPr>
      </w:pPr>
    </w:p>
    <w:p w14:paraId="678E4C01" w14:textId="080E5720" w:rsidR="00F17C87" w:rsidRDefault="00F17C87" w:rsidP="00707FC8">
      <w:pPr>
        <w:jc w:val="both"/>
        <w:rPr>
          <w:rFonts w:ascii="Arial" w:hAnsi="Arial" w:cs="Arial"/>
          <w:bCs/>
          <w:sz w:val="22"/>
          <w:szCs w:val="22"/>
          <w:lang w:val="en-GB"/>
        </w:rPr>
      </w:pPr>
    </w:p>
    <w:p w14:paraId="29311ED3" w14:textId="77777777" w:rsidR="00EE3009" w:rsidRDefault="00EE3009"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4C876029" w14:textId="3DD18F94" w:rsidR="00F223E7" w:rsidRDefault="00F223E7" w:rsidP="00F223E7">
      <w:pPr>
        <w:jc w:val="both"/>
        <w:rPr>
          <w:rFonts w:ascii="Arial" w:hAnsi="Arial" w:cs="Arial"/>
          <w:sz w:val="22"/>
          <w:szCs w:val="22"/>
          <w:lang w:val="en-GB"/>
        </w:rPr>
      </w:pPr>
      <w:r>
        <w:rPr>
          <w:rFonts w:ascii="Arial" w:hAnsi="Arial" w:cs="Arial"/>
          <w:sz w:val="22"/>
          <w:szCs w:val="22"/>
          <w:lang w:val="en-GB"/>
        </w:rPr>
        <w:t>A foreign representative of a foreign proceeding opened in State B in respect of a corporate debtor (the Debtor) is considering whether or not to make a recognition application under the implemented Model Law of State A (which does not contain any reciprocity pr</w:t>
      </w:r>
      <w:r w:rsidR="00EC2AEA">
        <w:rPr>
          <w:rFonts w:ascii="Arial" w:hAnsi="Arial" w:cs="Arial"/>
          <w:sz w:val="22"/>
          <w:szCs w:val="22"/>
          <w:lang w:val="en-GB"/>
        </w:rPr>
        <w:t>ovision</w:t>
      </w:r>
      <w:r>
        <w:rPr>
          <w:rFonts w:ascii="Arial" w:hAnsi="Arial" w:cs="Arial"/>
          <w:sz w:val="22"/>
          <w:szCs w:val="22"/>
          <w:lang w:val="en-GB"/>
        </w:rPr>
        <w:t xml:space="preserve">). In addition, the foreign representative is also considering what (if any) relief may be appropriate to request from the court in State A. </w:t>
      </w:r>
    </w:p>
    <w:p w14:paraId="0080EFD2" w14:textId="77777777" w:rsidR="00F223E7" w:rsidRDefault="00F223E7" w:rsidP="00F223E7">
      <w:pPr>
        <w:jc w:val="both"/>
        <w:rPr>
          <w:rFonts w:ascii="Arial" w:hAnsi="Arial" w:cs="Arial"/>
          <w:sz w:val="22"/>
          <w:szCs w:val="22"/>
          <w:lang w:val="en-GB"/>
        </w:rPr>
      </w:pPr>
    </w:p>
    <w:p w14:paraId="6D7D067B" w14:textId="58EE45E6" w:rsidR="00F223E7" w:rsidRDefault="001A24E7" w:rsidP="00F223E7">
      <w:pPr>
        <w:jc w:val="both"/>
        <w:rPr>
          <w:rFonts w:ascii="Arial" w:hAnsi="Arial" w:cs="Arial"/>
          <w:sz w:val="22"/>
          <w:szCs w:val="22"/>
          <w:lang w:val="en-GB"/>
        </w:rPr>
      </w:pPr>
      <w:r>
        <w:rPr>
          <w:rFonts w:ascii="Arial" w:hAnsi="Arial" w:cs="Arial"/>
          <w:sz w:val="22"/>
          <w:szCs w:val="22"/>
          <w:lang w:val="en-GB"/>
        </w:rPr>
        <w:t>W</w:t>
      </w:r>
      <w:r w:rsidR="00F223E7">
        <w:rPr>
          <w:rFonts w:ascii="Arial" w:hAnsi="Arial" w:cs="Arial"/>
          <w:sz w:val="22"/>
          <w:szCs w:val="22"/>
          <w:lang w:val="en-GB"/>
        </w:rPr>
        <w:t>rite a brief essay in which you address the three questions below.</w:t>
      </w:r>
    </w:p>
    <w:p w14:paraId="57BCCCA4" w14:textId="77777777" w:rsidR="00F223E7" w:rsidRDefault="00F223E7" w:rsidP="00F223E7">
      <w:pPr>
        <w:jc w:val="both"/>
        <w:rPr>
          <w:rFonts w:ascii="Arial" w:hAnsi="Arial" w:cs="Arial"/>
          <w:sz w:val="22"/>
          <w:szCs w:val="22"/>
          <w:lang w:val="en-GB"/>
        </w:rPr>
      </w:pPr>
    </w:p>
    <w:p w14:paraId="4DDCEC2C" w14:textId="74CAC62E"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B411AE">
        <w:rPr>
          <w:rFonts w:ascii="Arial" w:hAnsi="Arial" w:cs="Arial"/>
          <w:b/>
          <w:sz w:val="22"/>
          <w:szCs w:val="22"/>
        </w:rPr>
        <w:t>maximum 4</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1A3C28C7" w14:textId="17D382B6" w:rsidR="00B411AE" w:rsidRDefault="00B411AE" w:rsidP="00B411AE">
      <w:pPr>
        <w:jc w:val="both"/>
        <w:rPr>
          <w:rFonts w:ascii="Arial" w:hAnsi="Arial" w:cs="Arial"/>
          <w:sz w:val="22"/>
          <w:szCs w:val="22"/>
          <w:lang w:val="en-GB"/>
        </w:rPr>
      </w:pPr>
      <w:r>
        <w:rPr>
          <w:rFonts w:ascii="Arial" w:hAnsi="Arial" w:cs="Arial"/>
          <w:sz w:val="22"/>
          <w:szCs w:val="22"/>
          <w:lang w:val="en-GB"/>
        </w:rPr>
        <w:t>Prior to making a recognition application in State A, explain how access and co</w:t>
      </w:r>
      <w:r w:rsidR="00EC2AEA">
        <w:rPr>
          <w:rFonts w:ascii="Arial" w:hAnsi="Arial" w:cs="Arial"/>
          <w:sz w:val="22"/>
          <w:szCs w:val="22"/>
          <w:lang w:val="en-GB"/>
        </w:rPr>
        <w:softHyphen/>
        <w:t>-</w:t>
      </w:r>
      <w:r>
        <w:rPr>
          <w:rFonts w:ascii="Arial" w:hAnsi="Arial" w:cs="Arial"/>
          <w:sz w:val="22"/>
          <w:szCs w:val="22"/>
          <w:lang w:val="en-GB"/>
        </w:rPr>
        <w:t>ordination rights in State A can benefit the foreign representative?</w:t>
      </w:r>
      <w:bookmarkStart w:id="4" w:name="_Hlk47104011"/>
    </w:p>
    <w:bookmarkEnd w:id="4"/>
    <w:p w14:paraId="318A14AF" w14:textId="77777777" w:rsidR="00C550C8" w:rsidRPr="00544273" w:rsidRDefault="00C550C8" w:rsidP="00707FC8">
      <w:pPr>
        <w:jc w:val="both"/>
        <w:rPr>
          <w:rFonts w:ascii="Arial" w:hAnsi="Arial" w:cs="Arial"/>
          <w:sz w:val="22"/>
          <w:szCs w:val="22"/>
        </w:rPr>
      </w:pPr>
    </w:p>
    <w:p w14:paraId="4A637290" w14:textId="22894D12" w:rsidR="00544127" w:rsidRDefault="00A3147B" w:rsidP="00A314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access rights provided to a the foreign representative under article 9 of the MLCBI can provide significant saving to both the costs of the representative and also provide significant streamlining of the recognition process given that the MLCBI gives direct access to the Courts in State A, as well as allowing the representative to commence domestic proceedings within State A, as long as they can demonstrate that the proceeding would otherwise meet the domestic requirements for insolvency proceedings.  Further, the rights granted in terms of relief can provide immediate assistance to the foreign representative based on their direct access where appropriate applications are made (Article 19).  </w:t>
      </w:r>
    </w:p>
    <w:p w14:paraId="6A4060FF" w14:textId="6D2987C9" w:rsidR="00A3147B" w:rsidRDefault="00A3147B" w:rsidP="00A3147B">
      <w:pPr>
        <w:jc w:val="both"/>
        <w:rPr>
          <w:rFonts w:ascii="Arial" w:hAnsi="Arial" w:cs="Arial"/>
          <w:color w:val="7B7B7B" w:themeColor="accent3" w:themeShade="BF"/>
          <w:sz w:val="22"/>
          <w:szCs w:val="22"/>
          <w:lang w:val="en-GB"/>
        </w:rPr>
      </w:pPr>
    </w:p>
    <w:p w14:paraId="6D4B135E" w14:textId="78707A17" w:rsidR="00A3147B" w:rsidRDefault="00A3147B" w:rsidP="00A3147B">
      <w:pPr>
        <w:jc w:val="both"/>
        <w:rPr>
          <w:rFonts w:ascii="Arial" w:hAnsi="Arial" w:cs="Arial"/>
          <w:sz w:val="24"/>
        </w:rPr>
      </w:pPr>
      <w:r>
        <w:rPr>
          <w:rFonts w:ascii="Arial" w:hAnsi="Arial" w:cs="Arial"/>
          <w:color w:val="7B7B7B" w:themeColor="accent3" w:themeShade="BF"/>
          <w:sz w:val="22"/>
          <w:szCs w:val="22"/>
          <w:lang w:val="en-GB"/>
        </w:rPr>
        <w:t xml:space="preserve">Articles 25-27 provides significant guidance and procedural directions and information to assist with the co-operation between the Courts of State A and the foreign representatives or foreign courts, which can assist when the parties are dealing with multiple proceedings, and to ensure that fair treatment and equal outcomes are provided to stakeholders across multiple jurisdictions and proceedings. </w:t>
      </w:r>
      <w:r w:rsidR="00D739E9">
        <w:rPr>
          <w:rFonts w:ascii="Arial" w:hAnsi="Arial" w:cs="Arial"/>
          <w:color w:val="7B7B7B" w:themeColor="accent3" w:themeShade="BF"/>
          <w:sz w:val="22"/>
          <w:szCs w:val="22"/>
          <w:lang w:val="en-GB"/>
        </w:rPr>
        <w:t xml:space="preserve">Ultimately, this provides optimal results and consistent outcomes to all involved in the process.  </w:t>
      </w: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1A538564" w14:textId="73071387" w:rsidR="00622586" w:rsidRDefault="00622C2B" w:rsidP="00707FC8">
      <w:pPr>
        <w:jc w:val="both"/>
        <w:rPr>
          <w:rFonts w:ascii="Arial" w:hAnsi="Arial" w:cs="Arial"/>
          <w:sz w:val="22"/>
          <w:szCs w:val="22"/>
          <w:lang w:val="en-GB"/>
        </w:rPr>
      </w:pPr>
      <w:r>
        <w:rPr>
          <w:rFonts w:ascii="Arial" w:hAnsi="Arial" w:cs="Arial"/>
          <w:sz w:val="22"/>
          <w:szCs w:val="22"/>
          <w:lang w:val="en-GB"/>
        </w:rPr>
        <w:t xml:space="preserve">For a recognition application in State A to be successful, briefly explain (with reference to relevant MLCBI articles) the minimum requirements for qualifying as a “foreign proceeding” and a “foreign representative” under the MLCBI. In addition, </w:t>
      </w:r>
      <w:r w:rsidR="00B12936">
        <w:rPr>
          <w:rFonts w:ascii="Arial" w:hAnsi="Arial" w:cs="Arial"/>
          <w:sz w:val="22"/>
          <w:szCs w:val="22"/>
          <w:lang w:val="en-GB"/>
        </w:rPr>
        <w:t xml:space="preserve">you are </w:t>
      </w:r>
      <w:r>
        <w:rPr>
          <w:rFonts w:ascii="Arial" w:hAnsi="Arial" w:cs="Arial"/>
          <w:sz w:val="22"/>
          <w:szCs w:val="22"/>
          <w:lang w:val="en-GB"/>
        </w:rPr>
        <w:t xml:space="preserve">also </w:t>
      </w:r>
      <w:r w:rsidR="00B12936">
        <w:rPr>
          <w:rFonts w:ascii="Arial" w:hAnsi="Arial" w:cs="Arial"/>
          <w:sz w:val="22"/>
          <w:szCs w:val="22"/>
          <w:lang w:val="en-GB"/>
        </w:rPr>
        <w:t xml:space="preserve">required to </w:t>
      </w:r>
      <w:r>
        <w:rPr>
          <w:rFonts w:ascii="Arial" w:hAnsi="Arial" w:cs="Arial"/>
          <w:sz w:val="22"/>
          <w:szCs w:val="22"/>
          <w:lang w:val="en-GB"/>
        </w:rPr>
        <w:t>list and briefly explain (with reference to relevant MLCBI articles) any other evidence, restrictions, exclusions and limitations that must be considered</w:t>
      </w:r>
      <w:r w:rsidR="001A2B78">
        <w:rPr>
          <w:rFonts w:ascii="Arial" w:hAnsi="Arial" w:cs="Arial"/>
          <w:sz w:val="22"/>
          <w:szCs w:val="22"/>
          <w:lang w:val="en-GB"/>
        </w:rPr>
        <w:t>,</w:t>
      </w:r>
      <w:r>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Default="00622C2B" w:rsidP="00707FC8">
      <w:pPr>
        <w:jc w:val="both"/>
        <w:rPr>
          <w:rFonts w:ascii="Arial" w:hAnsi="Arial" w:cs="Arial"/>
          <w:sz w:val="22"/>
          <w:szCs w:val="22"/>
        </w:rPr>
      </w:pPr>
    </w:p>
    <w:p w14:paraId="7940D274" w14:textId="2E990722" w:rsidR="00DF75F8" w:rsidRDefault="00520D1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minimum requirements for qualifying as a foreign proceeding </w:t>
      </w:r>
      <w:r w:rsidR="00136F86">
        <w:rPr>
          <w:rFonts w:ascii="Arial" w:hAnsi="Arial" w:cs="Arial"/>
          <w:color w:val="7B7B7B" w:themeColor="accent3" w:themeShade="BF"/>
          <w:sz w:val="22"/>
          <w:szCs w:val="22"/>
          <w:lang w:val="en-GB"/>
        </w:rPr>
        <w:t xml:space="preserve">as set out in Article 2(a) of the MLCBI </w:t>
      </w:r>
      <w:r>
        <w:rPr>
          <w:rFonts w:ascii="Arial" w:hAnsi="Arial" w:cs="Arial"/>
          <w:color w:val="7B7B7B" w:themeColor="accent3" w:themeShade="BF"/>
          <w:sz w:val="22"/>
          <w:szCs w:val="22"/>
          <w:lang w:val="en-GB"/>
        </w:rPr>
        <w:t xml:space="preserve">are as follows:  </w:t>
      </w:r>
    </w:p>
    <w:p w14:paraId="64A1536A" w14:textId="1C09F542" w:rsidR="00520D1A" w:rsidRDefault="00520D1A" w:rsidP="00707FC8">
      <w:pPr>
        <w:jc w:val="both"/>
        <w:rPr>
          <w:rFonts w:ascii="Arial" w:hAnsi="Arial" w:cs="Arial"/>
          <w:color w:val="7B7B7B" w:themeColor="accent3" w:themeShade="BF"/>
          <w:sz w:val="22"/>
          <w:szCs w:val="22"/>
          <w:lang w:val="en-GB"/>
        </w:rPr>
      </w:pPr>
    </w:p>
    <w:p w14:paraId="4512A018" w14:textId="329EA8E2" w:rsidR="00520D1A" w:rsidRDefault="00520D1A" w:rsidP="00520D1A">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in a foreign State and be either authorised or conducted </w:t>
      </w:r>
      <w:r w:rsidR="00136F86">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a law related </w:t>
      </w:r>
      <w:r w:rsidR="00136F86">
        <w:rPr>
          <w:rFonts w:ascii="Arial" w:hAnsi="Arial" w:cs="Arial"/>
          <w:color w:val="7B7B7B" w:themeColor="accent3" w:themeShade="BF"/>
          <w:sz w:val="22"/>
          <w:szCs w:val="22"/>
          <w:lang w:val="en-GB"/>
        </w:rPr>
        <w:t xml:space="preserve">to insolvency; </w:t>
      </w:r>
    </w:p>
    <w:p w14:paraId="0BC1B860" w14:textId="25A2D80B" w:rsidR="00136F86" w:rsidRDefault="00136F86" w:rsidP="00520D1A">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must be collective in their nature; </w:t>
      </w:r>
    </w:p>
    <w:p w14:paraId="7346D3F1" w14:textId="438241EF" w:rsidR="00136F86" w:rsidRDefault="00136F86" w:rsidP="00520D1A">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must be subject to the supervision or control of a foreign court (which means that the assets of the debtor are also subject to that jurisdiction); and </w:t>
      </w:r>
    </w:p>
    <w:p w14:paraId="12BCFD7C" w14:textId="518F1ED3" w:rsidR="00064DBE" w:rsidRDefault="00136F86" w:rsidP="00707FC8">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 must be for the purpose of liquidation or reorganisation.  </w:t>
      </w:r>
    </w:p>
    <w:p w14:paraId="45393E76" w14:textId="77777777" w:rsidR="00136F86" w:rsidRDefault="00136F86" w:rsidP="00136F86">
      <w:pPr>
        <w:jc w:val="both"/>
        <w:rPr>
          <w:rFonts w:ascii="Arial" w:hAnsi="Arial" w:cs="Arial"/>
          <w:color w:val="7B7B7B" w:themeColor="accent3" w:themeShade="BF"/>
          <w:sz w:val="22"/>
          <w:szCs w:val="22"/>
          <w:lang w:val="en-GB"/>
        </w:rPr>
      </w:pPr>
    </w:p>
    <w:p w14:paraId="7A9E60BC" w14:textId="26F0BE9C" w:rsidR="00136F86" w:rsidRDefault="00136F86" w:rsidP="00136F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minimum requirements for recognition as foreign representative as set out in article 2(d) of the MLCBI are as follows:  </w:t>
      </w:r>
    </w:p>
    <w:p w14:paraId="3F505CEB" w14:textId="4EF6294B" w:rsidR="00136F86" w:rsidRDefault="00136F86" w:rsidP="00136F8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person (or body) needs to be an appointed and recognised person or body that is duly authorised within the foreign proceedings; and </w:t>
      </w:r>
    </w:p>
    <w:p w14:paraId="549AFF62" w14:textId="2D085470" w:rsidR="00136F86" w:rsidRDefault="00136F86" w:rsidP="00136F86">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authorisation of that person or body is to either administer the liquidation or reorganisation of the foreign proceeding.  </w:t>
      </w:r>
    </w:p>
    <w:p w14:paraId="339C0D34" w14:textId="77777777" w:rsidR="00D511A8" w:rsidRPr="00D511A8" w:rsidRDefault="00D511A8" w:rsidP="00D511A8">
      <w:pPr>
        <w:jc w:val="both"/>
        <w:rPr>
          <w:rFonts w:ascii="Arial" w:hAnsi="Arial" w:cs="Arial"/>
          <w:color w:val="7B7B7B" w:themeColor="accent3" w:themeShade="BF"/>
          <w:sz w:val="22"/>
          <w:szCs w:val="22"/>
          <w:lang w:val="en-GB"/>
        </w:rPr>
      </w:pPr>
    </w:p>
    <w:p w14:paraId="7DD5E546" w14:textId="47B22B41" w:rsidR="00136F86" w:rsidRDefault="00D511A8" w:rsidP="00136F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the decision to grant recognition of the foreign proceeding, this is set out at Article 17 and includes the following:  </w:t>
      </w:r>
    </w:p>
    <w:p w14:paraId="19322E96" w14:textId="3531FF65" w:rsidR="00D511A8" w:rsidRDefault="00D511A8" w:rsidP="00136F86">
      <w:pPr>
        <w:jc w:val="both"/>
        <w:rPr>
          <w:rFonts w:ascii="Arial" w:hAnsi="Arial" w:cs="Arial"/>
          <w:color w:val="7B7B7B" w:themeColor="accent3" w:themeShade="BF"/>
          <w:sz w:val="22"/>
          <w:szCs w:val="22"/>
          <w:lang w:val="en-GB"/>
        </w:rPr>
      </w:pPr>
    </w:p>
    <w:p w14:paraId="5A1F836E" w14:textId="0A376023" w:rsidR="00D511A8" w:rsidRDefault="00D511A8" w:rsidP="00D511A8">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the foreign proceedings does not fall within the public policy exception to recognition;</w:t>
      </w:r>
      <w:r>
        <w:rPr>
          <w:rStyle w:val="FootnoteReference"/>
          <w:rFonts w:ascii="Arial" w:hAnsi="Arial" w:cs="Arial"/>
          <w:color w:val="7B7B7B" w:themeColor="accent3" w:themeShade="BF"/>
          <w:sz w:val="22"/>
          <w:szCs w:val="22"/>
          <w:lang w:val="en-GB"/>
        </w:rPr>
        <w:footnoteReference w:id="3"/>
      </w:r>
    </w:p>
    <w:p w14:paraId="2A556C5A" w14:textId="585496F3" w:rsidR="007B6034" w:rsidRPr="007B6034" w:rsidRDefault="00D511A8" w:rsidP="007B603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proceeding meets the definition in Article 2(a);</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p>
    <w:p w14:paraId="53EE7EA5" w14:textId="13AE6C34" w:rsidR="00D511A8" w:rsidRDefault="00D511A8" w:rsidP="00D511A8">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meets the definition in Article 2(d);</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w:t>
      </w:r>
    </w:p>
    <w:p w14:paraId="1311D316" w14:textId="3B48105B" w:rsidR="00D511A8" w:rsidRDefault="007B6034" w:rsidP="00D511A8">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has been submitted to the correct court;</w:t>
      </w:r>
      <w:r>
        <w:rPr>
          <w:rStyle w:val="FootnoteReference"/>
          <w:rFonts w:ascii="Arial" w:hAnsi="Arial" w:cs="Arial"/>
          <w:color w:val="7B7B7B" w:themeColor="accent3" w:themeShade="BF"/>
          <w:sz w:val="22"/>
          <w:szCs w:val="22"/>
          <w:lang w:val="en-GB"/>
        </w:rPr>
        <w:footnoteReference w:id="6"/>
      </w:r>
    </w:p>
    <w:p w14:paraId="1311F1D2" w14:textId="57348758" w:rsidR="007B6034" w:rsidRPr="00D511A8" w:rsidRDefault="007B6034" w:rsidP="00D511A8">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meets the requirements of article 15(2) pertaining to provision of certificates or evidence regarding the foreign proceedings.</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w:t>
      </w:r>
    </w:p>
    <w:p w14:paraId="3DAA6780" w14:textId="657CEFE1" w:rsidR="00962045" w:rsidRDefault="00962045" w:rsidP="00707FC8">
      <w:pPr>
        <w:jc w:val="both"/>
        <w:rPr>
          <w:rFonts w:ascii="Arial" w:hAnsi="Arial" w:cs="Arial"/>
          <w:sz w:val="22"/>
          <w:szCs w:val="22"/>
          <w:shd w:val="clear" w:color="auto" w:fill="FFFFFF"/>
        </w:rPr>
      </w:pPr>
    </w:p>
    <w:p w14:paraId="4B3595C7" w14:textId="5201557D"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817D57">
        <w:rPr>
          <w:rFonts w:ascii="Arial" w:hAnsi="Arial" w:cs="Arial"/>
          <w:b/>
          <w:bCs/>
          <w:sz w:val="22"/>
          <w:szCs w:val="22"/>
          <w:lang w:val="en-GB"/>
        </w:rPr>
        <w:t>5</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722B5381" w14:textId="6120FB61" w:rsidR="00DF75F8" w:rsidRDefault="00817D57" w:rsidP="00707FC8">
      <w:pPr>
        <w:jc w:val="both"/>
        <w:rPr>
          <w:rFonts w:ascii="Arial" w:hAnsi="Arial" w:cs="Arial"/>
          <w:sz w:val="22"/>
          <w:szCs w:val="22"/>
          <w:lang w:val="en-GB"/>
        </w:rPr>
      </w:pPr>
      <w:r>
        <w:rPr>
          <w:rFonts w:ascii="Arial" w:hAnsi="Arial" w:cs="Arial"/>
          <w:sz w:val="22"/>
          <w:szCs w:val="22"/>
          <w:lang w:val="en-GB"/>
        </w:rPr>
        <w:t>As far as relief is concerned, briefly explain (with reference to relevant MLCBI articles) what pre- and post-recognition relief can be considered in the context of the MLCB</w:t>
      </w:r>
      <w:r w:rsidR="002650D7">
        <w:rPr>
          <w:rFonts w:ascii="Arial" w:hAnsi="Arial" w:cs="Arial"/>
          <w:sz w:val="22"/>
          <w:szCs w:val="22"/>
          <w:lang w:val="en-GB"/>
        </w:rPr>
        <w:t>I</w:t>
      </w:r>
      <w:r>
        <w:rPr>
          <w:rFonts w:ascii="Arial" w:hAnsi="Arial" w:cs="Arial"/>
          <w:sz w:val="22"/>
          <w:szCs w:val="22"/>
          <w:lang w:val="en-GB"/>
        </w:rPr>
        <w:t xml:space="preserve">, as well as any restrictions, limitations or conditions </w:t>
      </w:r>
      <w:r w:rsidR="002650D7">
        <w:rPr>
          <w:rFonts w:ascii="Arial" w:hAnsi="Arial" w:cs="Arial"/>
          <w:sz w:val="22"/>
          <w:szCs w:val="22"/>
          <w:lang w:val="en-GB"/>
        </w:rPr>
        <w:t xml:space="preserve">that </w:t>
      </w:r>
      <w:r>
        <w:rPr>
          <w:rFonts w:ascii="Arial" w:hAnsi="Arial" w:cs="Arial"/>
          <w:sz w:val="22"/>
          <w:szCs w:val="22"/>
          <w:lang w:val="en-GB"/>
        </w:rPr>
        <w:t>should be considered in this context. For purposes of this questions, it can be assumed that there is no concurrence of proceedings.</w:t>
      </w:r>
    </w:p>
    <w:p w14:paraId="2EBCC997" w14:textId="77777777" w:rsidR="00817D57" w:rsidRDefault="00817D57" w:rsidP="00707FC8">
      <w:pPr>
        <w:jc w:val="both"/>
        <w:rPr>
          <w:rFonts w:ascii="Arial" w:hAnsi="Arial" w:cs="Arial"/>
          <w:sz w:val="22"/>
          <w:szCs w:val="22"/>
          <w:lang w:val="en-GB"/>
        </w:rPr>
      </w:pPr>
    </w:p>
    <w:p w14:paraId="4365D8C4" w14:textId="55DDE549" w:rsidR="007B6034" w:rsidRDefault="007B603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set out in article 19 of the MLCBI, pre-recognition relief </w:t>
      </w:r>
      <w:r w:rsidR="00A27EE3">
        <w:rPr>
          <w:rFonts w:ascii="Arial" w:hAnsi="Arial" w:cs="Arial"/>
          <w:color w:val="7B7B7B" w:themeColor="accent3" w:themeShade="BF"/>
          <w:sz w:val="22"/>
          <w:szCs w:val="22"/>
          <w:lang w:val="en-GB"/>
        </w:rPr>
        <w:t>is able to be granted by the court on and from the time of making the application. The available forms of pre-recognition relief include staying any potential execution against the assets of the debtor;</w:t>
      </w:r>
      <w:r w:rsidR="00A27EE3">
        <w:rPr>
          <w:rStyle w:val="FootnoteReference"/>
          <w:rFonts w:ascii="Arial" w:hAnsi="Arial" w:cs="Arial"/>
          <w:color w:val="7B7B7B" w:themeColor="accent3" w:themeShade="BF"/>
          <w:sz w:val="22"/>
          <w:szCs w:val="22"/>
          <w:lang w:val="en-GB"/>
        </w:rPr>
        <w:footnoteReference w:id="8"/>
      </w:r>
      <w:r w:rsidR="00A27EE3">
        <w:rPr>
          <w:rFonts w:ascii="Arial" w:hAnsi="Arial" w:cs="Arial"/>
          <w:color w:val="7B7B7B" w:themeColor="accent3" w:themeShade="BF"/>
          <w:sz w:val="22"/>
          <w:szCs w:val="22"/>
          <w:lang w:val="en-GB"/>
        </w:rPr>
        <w:t xml:space="preserve"> entrusting any and/or all of the debtor’s assets located in the state of the application to the foreign representative (or any other delegated person);</w:t>
      </w:r>
      <w:r w:rsidR="00A27EE3">
        <w:rPr>
          <w:rStyle w:val="FootnoteReference"/>
          <w:rFonts w:ascii="Arial" w:hAnsi="Arial" w:cs="Arial"/>
          <w:color w:val="7B7B7B" w:themeColor="accent3" w:themeShade="BF"/>
          <w:sz w:val="22"/>
          <w:szCs w:val="22"/>
          <w:lang w:val="en-GB"/>
        </w:rPr>
        <w:footnoteReference w:id="9"/>
      </w:r>
      <w:r w:rsidR="00A27EE3">
        <w:rPr>
          <w:rFonts w:ascii="Arial" w:hAnsi="Arial" w:cs="Arial"/>
          <w:color w:val="7B7B7B" w:themeColor="accent3" w:themeShade="BF"/>
          <w:sz w:val="22"/>
          <w:szCs w:val="22"/>
          <w:lang w:val="en-GB"/>
        </w:rPr>
        <w:t xml:space="preserve"> suspending the right to encumber, transfer or otherwise dispose of debtor assets within this state; provide for the examination of witnesses or taking of other evidence or information concerning the debtor’s assets, affairs, rights, obligations or liabilities; or granting any other appropriate relief that could be granted under the laws of this state</w:t>
      </w:r>
      <w:r w:rsidR="00A27EE3">
        <w:rPr>
          <w:rStyle w:val="FootnoteReference"/>
          <w:rFonts w:ascii="Arial" w:hAnsi="Arial" w:cs="Arial"/>
          <w:color w:val="7B7B7B" w:themeColor="accent3" w:themeShade="BF"/>
          <w:sz w:val="22"/>
          <w:szCs w:val="22"/>
          <w:lang w:val="en-GB"/>
        </w:rPr>
        <w:footnoteReference w:id="10"/>
      </w:r>
      <w:r w:rsidR="00A27EE3">
        <w:rPr>
          <w:rFonts w:ascii="Arial" w:hAnsi="Arial" w:cs="Arial"/>
          <w:color w:val="7B7B7B" w:themeColor="accent3" w:themeShade="BF"/>
          <w:sz w:val="22"/>
          <w:szCs w:val="22"/>
          <w:lang w:val="en-GB"/>
        </w:rPr>
        <w:t>. It is important to note that the granting of any the above relief is only effective until the determination of the application for recognition;</w:t>
      </w:r>
      <w:r w:rsidR="003F0EBA">
        <w:rPr>
          <w:rStyle w:val="FootnoteReference"/>
          <w:rFonts w:ascii="Arial" w:hAnsi="Arial" w:cs="Arial"/>
          <w:color w:val="7B7B7B" w:themeColor="accent3" w:themeShade="BF"/>
          <w:sz w:val="22"/>
          <w:szCs w:val="22"/>
          <w:lang w:val="en-GB"/>
        </w:rPr>
        <w:footnoteReference w:id="11"/>
      </w:r>
      <w:r w:rsidR="00A27EE3">
        <w:rPr>
          <w:rFonts w:ascii="Arial" w:hAnsi="Arial" w:cs="Arial"/>
          <w:color w:val="7B7B7B" w:themeColor="accent3" w:themeShade="BF"/>
          <w:sz w:val="22"/>
          <w:szCs w:val="22"/>
          <w:lang w:val="en-GB"/>
        </w:rPr>
        <w:t xml:space="preserve"> and </w:t>
      </w:r>
      <w:r w:rsidR="003F0EBA">
        <w:rPr>
          <w:rFonts w:ascii="Arial" w:hAnsi="Arial" w:cs="Arial"/>
          <w:color w:val="7B7B7B" w:themeColor="accent3" w:themeShade="BF"/>
          <w:sz w:val="22"/>
          <w:szCs w:val="22"/>
          <w:lang w:val="en-GB"/>
        </w:rPr>
        <w:t>the court may refuse any of this relief if it interferes with any existing foreign main proceeding.</w:t>
      </w:r>
      <w:r w:rsidR="003F0EBA">
        <w:rPr>
          <w:rStyle w:val="FootnoteReference"/>
          <w:rFonts w:ascii="Arial" w:hAnsi="Arial" w:cs="Arial"/>
          <w:color w:val="7B7B7B" w:themeColor="accent3" w:themeShade="BF"/>
          <w:sz w:val="22"/>
          <w:szCs w:val="22"/>
          <w:lang w:val="en-GB"/>
        </w:rPr>
        <w:footnoteReference w:id="12"/>
      </w:r>
      <w:r w:rsidR="003F0EBA">
        <w:rPr>
          <w:rFonts w:ascii="Arial" w:hAnsi="Arial" w:cs="Arial"/>
          <w:color w:val="7B7B7B" w:themeColor="accent3" w:themeShade="BF"/>
          <w:sz w:val="22"/>
          <w:szCs w:val="22"/>
          <w:lang w:val="en-GB"/>
        </w:rPr>
        <w:t xml:space="preserve"> </w:t>
      </w:r>
    </w:p>
    <w:p w14:paraId="02AE34A3" w14:textId="77777777" w:rsidR="007B6034" w:rsidRDefault="007B6034" w:rsidP="00707FC8">
      <w:pPr>
        <w:jc w:val="both"/>
        <w:rPr>
          <w:rFonts w:ascii="Arial" w:hAnsi="Arial" w:cs="Arial"/>
          <w:color w:val="7B7B7B" w:themeColor="accent3" w:themeShade="BF"/>
          <w:sz w:val="22"/>
          <w:szCs w:val="22"/>
          <w:lang w:val="en-GB"/>
        </w:rPr>
      </w:pPr>
    </w:p>
    <w:p w14:paraId="4F36CD1C" w14:textId="479BB275" w:rsidR="003F0EBA" w:rsidRDefault="003F0EB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recognised proceedings are foreign main proceedings, </w:t>
      </w:r>
      <w:r w:rsidR="00722325">
        <w:rPr>
          <w:rFonts w:ascii="Arial" w:hAnsi="Arial" w:cs="Arial"/>
          <w:color w:val="7B7B7B" w:themeColor="accent3" w:themeShade="BF"/>
          <w:sz w:val="22"/>
          <w:szCs w:val="22"/>
          <w:lang w:val="en-GB"/>
        </w:rPr>
        <w:t>some relief can be granted in terms of the commencement or continuation of individual actions or proceedings concerning any of the debtor’s assets, rights, obligations or liabilities is stayed;</w:t>
      </w:r>
      <w:r w:rsidR="00722325">
        <w:rPr>
          <w:rStyle w:val="FootnoteReference"/>
          <w:rFonts w:ascii="Arial" w:hAnsi="Arial" w:cs="Arial"/>
          <w:color w:val="7B7B7B" w:themeColor="accent3" w:themeShade="BF"/>
          <w:sz w:val="22"/>
          <w:szCs w:val="22"/>
          <w:lang w:val="en-GB"/>
        </w:rPr>
        <w:footnoteReference w:id="13"/>
      </w:r>
      <w:r w:rsidR="00722325">
        <w:rPr>
          <w:rFonts w:ascii="Arial" w:hAnsi="Arial" w:cs="Arial"/>
          <w:color w:val="7B7B7B" w:themeColor="accent3" w:themeShade="BF"/>
          <w:sz w:val="22"/>
          <w:szCs w:val="22"/>
          <w:lang w:val="en-GB"/>
        </w:rPr>
        <w:t xml:space="preserve"> as is any execution against the debtor’s assets</w:t>
      </w:r>
      <w:r w:rsidR="00722325">
        <w:rPr>
          <w:rStyle w:val="FootnoteReference"/>
          <w:rFonts w:ascii="Arial" w:hAnsi="Arial" w:cs="Arial"/>
          <w:color w:val="7B7B7B" w:themeColor="accent3" w:themeShade="BF"/>
          <w:sz w:val="22"/>
          <w:szCs w:val="22"/>
          <w:lang w:val="en-GB"/>
        </w:rPr>
        <w:footnoteReference w:id="14"/>
      </w:r>
      <w:r w:rsidR="00722325">
        <w:rPr>
          <w:rFonts w:ascii="Arial" w:hAnsi="Arial" w:cs="Arial"/>
          <w:color w:val="7B7B7B" w:themeColor="accent3" w:themeShade="BF"/>
          <w:sz w:val="22"/>
          <w:szCs w:val="22"/>
          <w:lang w:val="en-GB"/>
        </w:rPr>
        <w:t xml:space="preserve"> and the debtor’s rights to transfer, encumber or dispose of any of their assets is also stayed.</w:t>
      </w:r>
      <w:r w:rsidR="00722325">
        <w:rPr>
          <w:rStyle w:val="FootnoteReference"/>
          <w:rFonts w:ascii="Arial" w:hAnsi="Arial" w:cs="Arial"/>
          <w:color w:val="7B7B7B" w:themeColor="accent3" w:themeShade="BF"/>
          <w:sz w:val="22"/>
          <w:szCs w:val="22"/>
          <w:lang w:val="en-GB"/>
        </w:rPr>
        <w:footnoteReference w:id="15"/>
      </w:r>
      <w:r w:rsidR="00722325">
        <w:rPr>
          <w:rFonts w:ascii="Arial" w:hAnsi="Arial" w:cs="Arial"/>
          <w:color w:val="7B7B7B" w:themeColor="accent3" w:themeShade="BF"/>
          <w:sz w:val="22"/>
          <w:szCs w:val="22"/>
          <w:lang w:val="en-GB"/>
        </w:rPr>
        <w:t xml:space="preserve">  </w:t>
      </w:r>
    </w:p>
    <w:p w14:paraId="14F8D826" w14:textId="77777777" w:rsidR="003F0EBA" w:rsidRDefault="003F0EBA" w:rsidP="00707FC8">
      <w:pPr>
        <w:jc w:val="both"/>
        <w:rPr>
          <w:rFonts w:ascii="Arial" w:hAnsi="Arial" w:cs="Arial"/>
          <w:color w:val="7B7B7B" w:themeColor="accent3" w:themeShade="BF"/>
          <w:sz w:val="22"/>
          <w:szCs w:val="22"/>
          <w:lang w:val="en-GB"/>
        </w:rPr>
      </w:pPr>
    </w:p>
    <w:p w14:paraId="11FAF3C2" w14:textId="659C57B5" w:rsidR="00064DBE" w:rsidRPr="00592F82" w:rsidRDefault="003F0EBA" w:rsidP="00707FC8">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As set out in article 21 of the MLCBI, post-recognition relief (i.e. relief granted after recognition of the foreign proceedings)</w:t>
      </w:r>
      <w:r w:rsidR="00722325">
        <w:rPr>
          <w:rFonts w:ascii="Arial" w:hAnsi="Arial" w:cs="Arial"/>
          <w:color w:val="7B7B7B" w:themeColor="accent3" w:themeShade="BF"/>
          <w:sz w:val="22"/>
          <w:szCs w:val="22"/>
          <w:lang w:val="en-GB"/>
        </w:rPr>
        <w:t xml:space="preserve"> includes the commencement or continuation of individual actions or proceedings concerning any of the debtor’s assets, rights, obligations or liabilities is stayed; (subject to any relief granted under article 20(1)(a))</w:t>
      </w:r>
      <w:r w:rsidR="00722325">
        <w:rPr>
          <w:rStyle w:val="FootnoteReference"/>
          <w:rFonts w:ascii="Arial" w:hAnsi="Arial" w:cs="Arial"/>
          <w:color w:val="7B7B7B" w:themeColor="accent3" w:themeShade="BF"/>
          <w:sz w:val="22"/>
          <w:szCs w:val="22"/>
          <w:lang w:val="en-GB"/>
        </w:rPr>
        <w:footnoteReference w:id="16"/>
      </w:r>
      <w:r w:rsidR="00722325">
        <w:rPr>
          <w:rFonts w:ascii="Arial" w:hAnsi="Arial" w:cs="Arial"/>
          <w:color w:val="7B7B7B" w:themeColor="accent3" w:themeShade="BF"/>
          <w:sz w:val="22"/>
          <w:szCs w:val="22"/>
          <w:lang w:val="en-GB"/>
        </w:rPr>
        <w:t xml:space="preserve"> as is any execution against the debtor’s assets (subject to any relief granted under article 20(1)(b))</w:t>
      </w:r>
      <w:r w:rsidR="00722325">
        <w:rPr>
          <w:rStyle w:val="FootnoteReference"/>
          <w:rFonts w:ascii="Arial" w:hAnsi="Arial" w:cs="Arial"/>
          <w:color w:val="7B7B7B" w:themeColor="accent3" w:themeShade="BF"/>
          <w:sz w:val="22"/>
          <w:szCs w:val="22"/>
          <w:lang w:val="en-GB"/>
        </w:rPr>
        <w:footnoteReference w:id="17"/>
      </w:r>
      <w:r w:rsidR="00722325">
        <w:rPr>
          <w:rFonts w:ascii="Arial" w:hAnsi="Arial" w:cs="Arial"/>
          <w:color w:val="7B7B7B" w:themeColor="accent3" w:themeShade="BF"/>
          <w:sz w:val="22"/>
          <w:szCs w:val="22"/>
          <w:lang w:val="en-GB"/>
        </w:rPr>
        <w:t xml:space="preserve"> and the debtor’s rights to transfer, encumber or dispose of any of their assets is also stayed, (subject to any relief granted under article</w:t>
      </w:r>
      <w:r w:rsidR="009F2E1B">
        <w:rPr>
          <w:rFonts w:ascii="Arial" w:hAnsi="Arial" w:cs="Arial"/>
          <w:color w:val="7B7B7B" w:themeColor="accent3" w:themeShade="BF"/>
          <w:sz w:val="22"/>
          <w:szCs w:val="22"/>
          <w:lang w:val="en-GB"/>
        </w:rPr>
        <w:t xml:space="preserve"> </w:t>
      </w:r>
      <w:r w:rsidR="00722325">
        <w:rPr>
          <w:rFonts w:ascii="Arial" w:hAnsi="Arial" w:cs="Arial"/>
          <w:color w:val="7B7B7B" w:themeColor="accent3" w:themeShade="BF"/>
          <w:sz w:val="22"/>
          <w:szCs w:val="22"/>
          <w:lang w:val="en-GB"/>
        </w:rPr>
        <w:t>20(1)(c))</w:t>
      </w:r>
      <w:r w:rsidR="00722325">
        <w:rPr>
          <w:rStyle w:val="FootnoteReference"/>
          <w:rFonts w:ascii="Arial" w:hAnsi="Arial" w:cs="Arial"/>
          <w:color w:val="7B7B7B" w:themeColor="accent3" w:themeShade="BF"/>
          <w:sz w:val="22"/>
          <w:szCs w:val="22"/>
          <w:lang w:val="en-GB"/>
        </w:rPr>
        <w:footnoteReference w:id="18"/>
      </w:r>
      <w:r w:rsidR="00722325">
        <w:rPr>
          <w:rFonts w:ascii="Arial" w:hAnsi="Arial" w:cs="Arial"/>
          <w:color w:val="7B7B7B" w:themeColor="accent3" w:themeShade="BF"/>
          <w:sz w:val="22"/>
          <w:szCs w:val="22"/>
          <w:lang w:val="en-GB"/>
        </w:rPr>
        <w:t xml:space="preserve"> provide for the examination of witnesses or taking of other evidence or information concerning the debtor’s assets, affairs, rights, obligations or liabilities;</w:t>
      </w:r>
      <w:r w:rsidR="00722325">
        <w:rPr>
          <w:rStyle w:val="FootnoteReference"/>
          <w:rFonts w:ascii="Arial" w:hAnsi="Arial" w:cs="Arial"/>
          <w:color w:val="7B7B7B" w:themeColor="accent3" w:themeShade="BF"/>
          <w:sz w:val="22"/>
          <w:szCs w:val="22"/>
          <w:lang w:val="en-GB"/>
        </w:rPr>
        <w:footnoteReference w:id="19"/>
      </w:r>
      <w:r w:rsidR="00722325">
        <w:rPr>
          <w:rFonts w:ascii="Arial" w:hAnsi="Arial" w:cs="Arial"/>
          <w:color w:val="7B7B7B" w:themeColor="accent3" w:themeShade="BF"/>
          <w:sz w:val="22"/>
          <w:szCs w:val="22"/>
          <w:lang w:val="en-GB"/>
        </w:rPr>
        <w:t xml:space="preserve"> or granting any other appropriate relief that could be granted under the laws of this state</w:t>
      </w:r>
      <w:r w:rsidR="00722325">
        <w:rPr>
          <w:rStyle w:val="FootnoteReference"/>
          <w:rFonts w:ascii="Arial" w:hAnsi="Arial" w:cs="Arial"/>
          <w:color w:val="7B7B7B" w:themeColor="accent3" w:themeShade="BF"/>
          <w:sz w:val="22"/>
          <w:szCs w:val="22"/>
          <w:lang w:val="en-GB"/>
        </w:rPr>
        <w:footnoteReference w:id="20"/>
      </w:r>
      <w:r w:rsidR="00722325">
        <w:rPr>
          <w:rFonts w:ascii="Arial" w:hAnsi="Arial" w:cs="Arial"/>
          <w:color w:val="7B7B7B" w:themeColor="accent3" w:themeShade="BF"/>
          <w:sz w:val="22"/>
          <w:szCs w:val="22"/>
          <w:lang w:val="en-GB"/>
        </w:rPr>
        <w:t>.</w:t>
      </w:r>
      <w:r w:rsidR="009F2E1B">
        <w:rPr>
          <w:rFonts w:ascii="Arial" w:hAnsi="Arial" w:cs="Arial"/>
          <w:color w:val="7B7B7B" w:themeColor="accent3" w:themeShade="BF"/>
          <w:sz w:val="22"/>
          <w:szCs w:val="22"/>
          <w:lang w:val="en-GB"/>
        </w:rPr>
        <w:t xml:space="preserve"> Further, the Court can also grant an extension of any of the relief granted pursuant to article 19(1).</w:t>
      </w:r>
      <w:r w:rsidR="009F2E1B">
        <w:rPr>
          <w:rStyle w:val="FootnoteReference"/>
          <w:rFonts w:ascii="Arial" w:hAnsi="Arial" w:cs="Arial"/>
          <w:color w:val="7B7B7B" w:themeColor="accent3" w:themeShade="BF"/>
          <w:sz w:val="22"/>
          <w:szCs w:val="22"/>
          <w:lang w:val="en-GB"/>
        </w:rPr>
        <w:footnoteReference w:id="21"/>
      </w:r>
      <w:r w:rsidR="009F2E1B">
        <w:rPr>
          <w:rFonts w:ascii="Arial" w:hAnsi="Arial" w:cs="Arial"/>
          <w:color w:val="7B7B7B" w:themeColor="accent3" w:themeShade="BF"/>
          <w:sz w:val="22"/>
          <w:szCs w:val="22"/>
          <w:lang w:val="en-GB"/>
        </w:rPr>
        <w:t xml:space="preserve">  For the Court to grant any post recognition relief, it must be satisfied that the relief relates to assets within this state and should thus be administered in the recognised foreign non-main proceeding, or would assist in providing required information for that proceedings.</w:t>
      </w:r>
      <w:r w:rsidR="009F2E1B">
        <w:rPr>
          <w:rStyle w:val="FootnoteReference"/>
          <w:rFonts w:ascii="Arial" w:hAnsi="Arial" w:cs="Arial"/>
          <w:color w:val="7B7B7B" w:themeColor="accent3" w:themeShade="BF"/>
          <w:sz w:val="22"/>
          <w:szCs w:val="22"/>
          <w:lang w:val="en-GB"/>
        </w:rPr>
        <w:footnoteReference w:id="22"/>
      </w:r>
      <w:r w:rsidR="009F2E1B">
        <w:rPr>
          <w:rFonts w:ascii="Arial" w:hAnsi="Arial" w:cs="Arial"/>
          <w:color w:val="7B7B7B" w:themeColor="accent3" w:themeShade="BF"/>
          <w:sz w:val="22"/>
          <w:szCs w:val="22"/>
          <w:lang w:val="en-GB"/>
        </w:rPr>
        <w:t xml:space="preserve">  Further, the Court must also be cognisant of the interests of any local creditors in granting any of the above relief and ensure that their interest are adequately protected.</w:t>
      </w:r>
      <w:r w:rsidR="009F2E1B">
        <w:rPr>
          <w:rStyle w:val="FootnoteReference"/>
          <w:rFonts w:ascii="Arial" w:hAnsi="Arial" w:cs="Arial"/>
          <w:color w:val="7B7B7B" w:themeColor="accent3" w:themeShade="BF"/>
          <w:sz w:val="22"/>
          <w:szCs w:val="22"/>
          <w:lang w:val="en-GB"/>
        </w:rPr>
        <w:footnoteReference w:id="23"/>
      </w:r>
      <w:r w:rsidR="009F2E1B">
        <w:rPr>
          <w:rFonts w:ascii="Arial" w:hAnsi="Arial" w:cs="Arial"/>
          <w:color w:val="7B7B7B" w:themeColor="accent3" w:themeShade="BF"/>
          <w:sz w:val="22"/>
          <w:szCs w:val="22"/>
          <w:lang w:val="en-GB"/>
        </w:rPr>
        <w:t xml:space="preserve">  </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3B8C7997" w14:textId="522C3334" w:rsidR="00435583" w:rsidRDefault="0047025B"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Global Shipping Company (“GSC”) is a shipping company incorporated under the laws of the Cayman Islands,</w:t>
      </w:r>
      <w:r>
        <w:rPr>
          <w:rStyle w:val="FootnoteReference"/>
          <w:rFonts w:ascii="Arial" w:hAnsi="Arial" w:cs="Arial"/>
          <w:sz w:val="22"/>
          <w:szCs w:val="22"/>
          <w:lang w:val="en-GB"/>
        </w:rPr>
        <w:footnoteReference w:id="24"/>
      </w:r>
      <w:r>
        <w:rPr>
          <w:rFonts w:ascii="Arial" w:hAnsi="Arial" w:cs="Arial"/>
          <w:sz w:val="22"/>
          <w:szCs w:val="22"/>
          <w:lang w:val="en-GB"/>
        </w:rPr>
        <w:t xml:space="preserve"> but it was primarily operated from the UK</w:t>
      </w:r>
      <w:r w:rsidR="007B3AC7">
        <w:rPr>
          <w:rFonts w:ascii="Arial" w:hAnsi="Arial" w:cs="Arial"/>
          <w:sz w:val="22"/>
          <w:szCs w:val="22"/>
          <w:lang w:val="en-GB"/>
        </w:rPr>
        <w:t>.</w:t>
      </w:r>
      <w:r>
        <w:rPr>
          <w:rStyle w:val="FootnoteReference"/>
          <w:rFonts w:ascii="Arial" w:hAnsi="Arial" w:cs="Arial"/>
          <w:sz w:val="22"/>
          <w:szCs w:val="22"/>
          <w:lang w:val="en-GB"/>
        </w:rPr>
        <w:footnoteReference w:id="25"/>
      </w:r>
      <w:r>
        <w:rPr>
          <w:rFonts w:ascii="Arial" w:hAnsi="Arial" w:cs="Arial"/>
          <w:sz w:val="22"/>
          <w:szCs w:val="22"/>
          <w:lang w:val="en-GB"/>
        </w:rPr>
        <w:t xml:space="preserve"> GSC filed for local insolvency proceedings in the Cayman Islands and local liquidators were appointed. Approximately one year after the opening of the Cayman Island insolvency proceedings</w:t>
      </w:r>
      <w:r w:rsidR="00E07866">
        <w:rPr>
          <w:rFonts w:ascii="Arial" w:hAnsi="Arial" w:cs="Arial"/>
          <w:sz w:val="22"/>
          <w:szCs w:val="22"/>
          <w:lang w:val="en-GB"/>
        </w:rPr>
        <w:t>,</w:t>
      </w:r>
      <w:r>
        <w:rPr>
          <w:rFonts w:ascii="Arial" w:hAnsi="Arial" w:cs="Arial"/>
          <w:sz w:val="22"/>
          <w:szCs w:val="22"/>
          <w:lang w:val="en-GB"/>
        </w:rPr>
        <w:t xml:space="preserve"> in which the liquidators of GSC worked primarily out of the Cayman Islands to deal with the various aspects of the GSC liquidation, it is decided by the GSC liquidators to make a recognition application in Texas (US</w:t>
      </w:r>
      <w:r w:rsidR="00E07866">
        <w:rPr>
          <w:rFonts w:ascii="Arial" w:hAnsi="Arial" w:cs="Arial"/>
          <w:sz w:val="22"/>
          <w:szCs w:val="22"/>
          <w:lang w:val="en-GB"/>
        </w:rPr>
        <w:t>A</w:t>
      </w:r>
      <w:r>
        <w:rPr>
          <w:rFonts w:ascii="Arial" w:hAnsi="Arial" w:cs="Arial"/>
          <w:sz w:val="22"/>
          <w:szCs w:val="22"/>
          <w:lang w:val="en-GB"/>
        </w:rPr>
        <w:t>)</w:t>
      </w:r>
      <w:r>
        <w:rPr>
          <w:rStyle w:val="FootnoteReference"/>
          <w:rFonts w:ascii="Arial" w:hAnsi="Arial" w:cs="Arial"/>
          <w:sz w:val="22"/>
          <w:szCs w:val="22"/>
          <w:lang w:val="en-GB"/>
        </w:rPr>
        <w:footnoteReference w:id="26"/>
      </w:r>
      <w:r>
        <w:rPr>
          <w:rFonts w:ascii="Arial" w:hAnsi="Arial" w:cs="Arial"/>
          <w:sz w:val="22"/>
          <w:szCs w:val="22"/>
          <w:lang w:val="en-GB"/>
        </w:rPr>
        <w:t xml:space="preserve"> </w:t>
      </w:r>
      <w:r w:rsidR="00E07866">
        <w:rPr>
          <w:rFonts w:ascii="Arial" w:hAnsi="Arial" w:cs="Arial"/>
          <w:sz w:val="22"/>
          <w:szCs w:val="22"/>
          <w:lang w:val="en-GB"/>
        </w:rPr>
        <w:t>due to the fact that</w:t>
      </w:r>
      <w:r>
        <w:rPr>
          <w:rFonts w:ascii="Arial" w:hAnsi="Arial" w:cs="Arial"/>
          <w:sz w:val="22"/>
          <w:szCs w:val="22"/>
          <w:lang w:val="en-GB"/>
        </w:rPr>
        <w:t xml:space="preserve"> some assets of GSC are located there as well as some creditors of GSC.</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3EEBCF39" w14:textId="0D4ACDD3" w:rsidR="002F75A3" w:rsidRDefault="009B0723" w:rsidP="00707FC8">
      <w:pPr>
        <w:jc w:val="both"/>
        <w:rPr>
          <w:rFonts w:ascii="Arial" w:hAnsi="Arial" w:cs="Arial"/>
          <w:sz w:val="22"/>
          <w:szCs w:val="22"/>
          <w:lang w:val="en-GB"/>
        </w:rPr>
      </w:pPr>
      <w:bookmarkStart w:id="6"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282480">
        <w:rPr>
          <w:rFonts w:ascii="Arial" w:hAnsi="Arial" w:cs="Arial"/>
          <w:b/>
          <w:bCs/>
          <w:sz w:val="22"/>
          <w:szCs w:val="22"/>
          <w:lang w:val="en-GB"/>
        </w:rPr>
        <w:t>6</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097C5A73" w14:textId="7CBA7077" w:rsidR="00F83E76" w:rsidRDefault="00F83E76" w:rsidP="00F83E76">
      <w:pPr>
        <w:jc w:val="both"/>
        <w:rPr>
          <w:rFonts w:ascii="Arial" w:hAnsi="Arial" w:cs="Arial"/>
          <w:sz w:val="22"/>
          <w:szCs w:val="22"/>
          <w:lang w:val="en-GB"/>
        </w:rPr>
      </w:pPr>
      <w:r>
        <w:rPr>
          <w:rFonts w:ascii="Arial" w:hAnsi="Arial" w:cs="Arial"/>
          <w:sz w:val="22"/>
          <w:szCs w:val="22"/>
          <w:lang w:val="en-GB"/>
        </w:rPr>
        <w:t>For this question, assume that you are the US judge dealing with the application by the GSC liquidators, as foreign representatives, for the recognition of the Cayman liquidation proceedings of GSC as either foreign main or foreign non-main proceedings. Focusing only on the assessment of whether the foreign proceedings qualify as “main” or “non-main”</w:t>
      </w:r>
      <w:r w:rsidR="00706297">
        <w:rPr>
          <w:rFonts w:ascii="Arial" w:hAnsi="Arial" w:cs="Arial"/>
          <w:sz w:val="22"/>
          <w:szCs w:val="22"/>
          <w:lang w:val="en-GB"/>
        </w:rPr>
        <w:t xml:space="preserve"> proceedings</w:t>
      </w:r>
      <w:r>
        <w:rPr>
          <w:rFonts w:ascii="Arial" w:hAnsi="Arial" w:cs="Arial"/>
          <w:sz w:val="22"/>
          <w:szCs w:val="22"/>
          <w:lang w:val="en-GB"/>
        </w:rPr>
        <w:t>, how would you go about determining whether the COMI or an establishment of GSC existed in the Cayman Islands at the relevant time?</w:t>
      </w:r>
    </w:p>
    <w:p w14:paraId="6C8C0F6A" w14:textId="4B3D4B3E" w:rsidR="002F75A3" w:rsidRDefault="002F75A3" w:rsidP="00707FC8">
      <w:pPr>
        <w:jc w:val="both"/>
        <w:rPr>
          <w:rFonts w:ascii="Arial" w:hAnsi="Arial" w:cs="Arial"/>
          <w:sz w:val="22"/>
          <w:szCs w:val="22"/>
          <w:lang w:val="en-GB"/>
        </w:rPr>
      </w:pPr>
    </w:p>
    <w:p w14:paraId="46C5B888" w14:textId="14711A03" w:rsidR="001322DE" w:rsidRDefault="001322D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determine whether the proceedings are foreign main or foreign non-main proceedings, the Court would need to be satisfied of the concept of the COMI in accordance with the concept of establishment as set out in article 2(f) of the MCLBI, as well as considering the operation of the Article 16(3). </w:t>
      </w:r>
    </w:p>
    <w:p w14:paraId="11DBD52F" w14:textId="398E16EF" w:rsidR="001322DE" w:rsidRDefault="001322DE" w:rsidP="00707FC8">
      <w:pPr>
        <w:jc w:val="both"/>
        <w:rPr>
          <w:rFonts w:ascii="Arial" w:hAnsi="Arial" w:cs="Arial"/>
          <w:color w:val="7B7B7B" w:themeColor="accent3" w:themeShade="BF"/>
          <w:sz w:val="22"/>
          <w:szCs w:val="22"/>
          <w:lang w:val="en-GB"/>
        </w:rPr>
      </w:pPr>
    </w:p>
    <w:p w14:paraId="3D562260" w14:textId="77777777" w:rsidR="000A5EEC" w:rsidRDefault="001322D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Starting with article 2(f), an establishment is defined as any place of operations where the debtor carries out a non-transitory economic activity with human means and goods or services. Given that the debtor appears to have some significant assets in the Cayman Islands, it is entirely possible that the Cayman Islands is likely to be the location of the main interests particularly noting that the liquidators have spent substantial time and effort within the Cayman Islands</w:t>
      </w:r>
      <w:r w:rsidR="00AB0CD9">
        <w:rPr>
          <w:rFonts w:ascii="Arial" w:hAnsi="Arial" w:cs="Arial"/>
          <w:color w:val="7B7B7B" w:themeColor="accent3" w:themeShade="BF"/>
          <w:sz w:val="22"/>
          <w:szCs w:val="22"/>
          <w:lang w:val="en-GB"/>
        </w:rPr>
        <w:t xml:space="preserve">, in the current liquidation. </w:t>
      </w:r>
      <w:r w:rsidR="000A5EEC">
        <w:rPr>
          <w:rFonts w:ascii="Arial" w:hAnsi="Arial" w:cs="Arial"/>
          <w:color w:val="7B7B7B" w:themeColor="accent3" w:themeShade="BF"/>
          <w:sz w:val="22"/>
          <w:szCs w:val="22"/>
          <w:lang w:val="en-GB"/>
        </w:rPr>
        <w:t xml:space="preserve">Notwithstanding this, 2(f) is only required where determining the foreign non-proceeding.  </w:t>
      </w:r>
    </w:p>
    <w:p w14:paraId="1A9ED3F3" w14:textId="77777777" w:rsidR="000A5EEC" w:rsidRDefault="000A5EEC" w:rsidP="00707FC8">
      <w:pPr>
        <w:jc w:val="both"/>
        <w:rPr>
          <w:rFonts w:ascii="Arial" w:hAnsi="Arial" w:cs="Arial"/>
          <w:color w:val="7B7B7B" w:themeColor="accent3" w:themeShade="BF"/>
          <w:sz w:val="22"/>
          <w:szCs w:val="22"/>
          <w:lang w:val="en-GB"/>
        </w:rPr>
      </w:pPr>
    </w:p>
    <w:p w14:paraId="272912E0" w14:textId="2C7188EE" w:rsidR="00AB0CD9" w:rsidRDefault="00AB0CD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and as set out in </w:t>
      </w:r>
      <w:r w:rsidR="001322DE">
        <w:rPr>
          <w:rFonts w:ascii="Arial" w:hAnsi="Arial" w:cs="Arial"/>
          <w:color w:val="7B7B7B" w:themeColor="accent3" w:themeShade="BF"/>
          <w:sz w:val="22"/>
          <w:szCs w:val="22"/>
          <w:lang w:val="en-GB"/>
        </w:rPr>
        <w:t xml:space="preserve">article 16(3), </w:t>
      </w:r>
      <w:r w:rsidR="000A5EEC">
        <w:rPr>
          <w:rFonts w:ascii="Arial" w:hAnsi="Arial" w:cs="Arial"/>
          <w:color w:val="7B7B7B" w:themeColor="accent3" w:themeShade="BF"/>
          <w:sz w:val="22"/>
          <w:szCs w:val="22"/>
          <w:lang w:val="en-GB"/>
        </w:rPr>
        <w:t>there is</w:t>
      </w:r>
      <w:r w:rsidR="001322DE">
        <w:rPr>
          <w:rFonts w:ascii="Arial" w:hAnsi="Arial" w:cs="Arial"/>
          <w:color w:val="7B7B7B" w:themeColor="accent3" w:themeShade="BF"/>
          <w:sz w:val="22"/>
          <w:szCs w:val="22"/>
          <w:lang w:val="en-GB"/>
        </w:rPr>
        <w:t xml:space="preserve"> a rebuttable presumption that unless evidence is provided to the contrary, the registered office of the debtor’s is presumed to be the centre of the debtor’s main interests.  We know here that as the debtor is registered in the Cayman Islands, </w:t>
      </w:r>
      <w:r>
        <w:rPr>
          <w:rFonts w:ascii="Arial" w:hAnsi="Arial" w:cs="Arial"/>
          <w:color w:val="7B7B7B" w:themeColor="accent3" w:themeShade="BF"/>
          <w:sz w:val="22"/>
          <w:szCs w:val="22"/>
          <w:lang w:val="en-GB"/>
        </w:rPr>
        <w:t>its</w:t>
      </w:r>
      <w:r w:rsidR="001322DE">
        <w:rPr>
          <w:rFonts w:ascii="Arial" w:hAnsi="Arial" w:cs="Arial"/>
          <w:color w:val="7B7B7B" w:themeColor="accent3" w:themeShade="BF"/>
          <w:sz w:val="22"/>
          <w:szCs w:val="22"/>
          <w:lang w:val="en-GB"/>
        </w:rPr>
        <w:t xml:space="preserve"> registered office is within the Cayman Islands.  </w:t>
      </w:r>
    </w:p>
    <w:p w14:paraId="1B12A4C5" w14:textId="2E76EE38" w:rsidR="001322DE" w:rsidRPr="007417CF" w:rsidRDefault="001322DE"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given that we are aware that </w:t>
      </w:r>
      <w:r w:rsidR="000A5EEC">
        <w:rPr>
          <w:rFonts w:ascii="Arial" w:hAnsi="Arial" w:cs="Arial"/>
          <w:color w:val="7B7B7B" w:themeColor="accent3" w:themeShade="BF"/>
          <w:sz w:val="22"/>
          <w:szCs w:val="22"/>
          <w:lang w:val="en-GB"/>
        </w:rPr>
        <w:t xml:space="preserve">some or most, depending on the extent of the </w:t>
      </w:r>
      <w:r>
        <w:rPr>
          <w:rFonts w:ascii="Arial" w:hAnsi="Arial" w:cs="Arial"/>
          <w:color w:val="7B7B7B" w:themeColor="accent3" w:themeShade="BF"/>
          <w:sz w:val="22"/>
          <w:szCs w:val="22"/>
          <w:lang w:val="en-GB"/>
        </w:rPr>
        <w:t xml:space="preserve">activities of GSC were carried out in the UK, </w:t>
      </w:r>
      <w:r w:rsidR="00AB0CD9">
        <w:rPr>
          <w:rFonts w:ascii="Arial" w:hAnsi="Arial" w:cs="Arial"/>
          <w:color w:val="7B7B7B" w:themeColor="accent3" w:themeShade="BF"/>
          <w:sz w:val="22"/>
          <w:szCs w:val="22"/>
          <w:lang w:val="en-GB"/>
        </w:rPr>
        <w:t xml:space="preserve">it is entirely possible that this presumption could be rebutted. As the judge, I would need to see significant evidence of the exact operations in the UK, as given the conduct of the liquidators to date, and the operation of Article 16(3), it would appear that the Cayman Islands is the COMI, and as such should ultimately be recognised as foreign main proceedings.  </w:t>
      </w:r>
    </w:p>
    <w:p w14:paraId="317DD6E7" w14:textId="5EC97BE0" w:rsidR="00126A4D" w:rsidRDefault="00126A4D" w:rsidP="00707FC8">
      <w:pPr>
        <w:jc w:val="both"/>
        <w:rPr>
          <w:rFonts w:ascii="Arial" w:hAnsi="Arial" w:cs="Arial"/>
          <w:sz w:val="22"/>
          <w:szCs w:val="22"/>
          <w:lang w:val="en-GB"/>
        </w:rPr>
      </w:pPr>
    </w:p>
    <w:p w14:paraId="72A22E71" w14:textId="176AB6A3" w:rsidR="00540E3A" w:rsidRDefault="00540E3A" w:rsidP="00707FC8">
      <w:pPr>
        <w:jc w:val="both"/>
        <w:rPr>
          <w:rFonts w:ascii="Arial" w:hAnsi="Arial" w:cs="Arial"/>
          <w:sz w:val="22"/>
          <w:szCs w:val="22"/>
          <w:lang w:val="en-GB"/>
        </w:rPr>
      </w:pPr>
    </w:p>
    <w:p w14:paraId="73ED3C11" w14:textId="1DEAF367" w:rsidR="004E2E92" w:rsidRPr="00F7241A" w:rsidRDefault="00F7241A" w:rsidP="00707FC8">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4.2</w:t>
      </w:r>
      <w:r w:rsidRPr="00F7241A">
        <w:rPr>
          <w:rFonts w:ascii="Arial" w:hAnsi="Arial" w:cs="Arial"/>
          <w:b/>
          <w:bCs/>
          <w:sz w:val="22"/>
          <w:szCs w:val="22"/>
          <w:lang w:val="en-GB"/>
        </w:rPr>
        <w:t>:</w:t>
      </w:r>
    </w:p>
    <w:p w14:paraId="598875CE" w14:textId="631C534C" w:rsidR="00F7241A" w:rsidRDefault="00F7241A" w:rsidP="00707FC8">
      <w:pPr>
        <w:jc w:val="both"/>
        <w:rPr>
          <w:rFonts w:ascii="Arial" w:hAnsi="Arial" w:cs="Arial"/>
          <w:sz w:val="22"/>
          <w:szCs w:val="22"/>
          <w:lang w:val="en-GB"/>
        </w:rPr>
      </w:pPr>
    </w:p>
    <w:p w14:paraId="6053A953" w14:textId="505B7EFB" w:rsidR="00F7241A" w:rsidRDefault="00F7241A" w:rsidP="00F7241A">
      <w:pPr>
        <w:jc w:val="both"/>
        <w:rPr>
          <w:rFonts w:ascii="Arial" w:hAnsi="Arial" w:cs="Arial"/>
          <w:sz w:val="22"/>
          <w:szCs w:val="22"/>
          <w:lang w:val="en-GB"/>
        </w:rPr>
      </w:pPr>
      <w:r>
        <w:rPr>
          <w:rFonts w:ascii="Arial" w:hAnsi="Arial" w:cs="Arial"/>
          <w:sz w:val="22"/>
          <w:szCs w:val="22"/>
          <w:lang w:val="en-GB"/>
        </w:rPr>
        <w:t>GSC has so-called “representative offices” in Brazil and Nigeria</w:t>
      </w:r>
      <w:r w:rsidR="007B3AC7">
        <w:rPr>
          <w:rFonts w:ascii="Arial" w:hAnsi="Arial" w:cs="Arial"/>
          <w:sz w:val="22"/>
          <w:szCs w:val="22"/>
          <w:lang w:val="en-GB"/>
        </w:rPr>
        <w:t>,</w:t>
      </w:r>
      <w:r>
        <w:rPr>
          <w:rStyle w:val="FootnoteReference"/>
          <w:rFonts w:ascii="Arial" w:hAnsi="Arial" w:cs="Arial"/>
          <w:sz w:val="22"/>
          <w:szCs w:val="22"/>
          <w:lang w:val="en-GB"/>
        </w:rPr>
        <w:footnoteReference w:id="27"/>
      </w:r>
      <w:r>
        <w:rPr>
          <w:rFonts w:ascii="Arial" w:hAnsi="Arial" w:cs="Arial"/>
          <w:sz w:val="22"/>
          <w:szCs w:val="22"/>
          <w:lang w:val="en-GB"/>
        </w:rPr>
        <w:t xml:space="preserve"> but these offices are mainly “letter boxes” and there are no employees. GSC does have a “proper” UK office where 20 employees work. Everything in the representative offices is done remotely</w:t>
      </w:r>
      <w:r w:rsidR="00706297">
        <w:rPr>
          <w:rFonts w:ascii="Arial" w:hAnsi="Arial" w:cs="Arial"/>
          <w:sz w:val="22"/>
          <w:szCs w:val="22"/>
          <w:lang w:val="en-GB"/>
        </w:rPr>
        <w:t>,</w:t>
      </w:r>
      <w:r>
        <w:rPr>
          <w:rFonts w:ascii="Arial" w:hAnsi="Arial" w:cs="Arial"/>
          <w:sz w:val="22"/>
          <w:szCs w:val="22"/>
          <w:lang w:val="en-GB"/>
        </w:rPr>
        <w:t xml:space="preserve"> primarily from either the Cayman Islands or the UK office. GSC has both operations and assets in the US and the UK. GSC further has bank accounts with local banks in the US, the UK, Brazil and Nigeria, but its global operations are primarily financed by a number of bilateral loans in US$ by a small number of local Cayman Islands banks, with whom GCS is very close. The total amount of GSC’s bank debt is </w:t>
      </w:r>
      <w:r w:rsidR="00706297">
        <w:rPr>
          <w:rFonts w:ascii="Arial" w:hAnsi="Arial" w:cs="Arial"/>
          <w:sz w:val="22"/>
          <w:szCs w:val="22"/>
          <w:lang w:val="en-GB"/>
        </w:rPr>
        <w:t>US</w:t>
      </w:r>
      <w:r>
        <w:rPr>
          <w:rFonts w:ascii="Arial" w:hAnsi="Arial" w:cs="Arial"/>
          <w:sz w:val="22"/>
          <w:szCs w:val="22"/>
          <w:lang w:val="en-GB"/>
        </w:rPr>
        <w:t xml:space="preserve">$50m. In addition, GSC recently managed – through the savvy assistance of a well-connected Swiss banker </w:t>
      </w:r>
      <w:r w:rsidR="00706297">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706297">
        <w:rPr>
          <w:rFonts w:ascii="Arial" w:hAnsi="Arial" w:cs="Arial"/>
          <w:sz w:val="22"/>
          <w:szCs w:val="22"/>
          <w:lang w:val="en-GB"/>
        </w:rPr>
        <w:t>US</w:t>
      </w:r>
      <w:r>
        <w:rPr>
          <w:rFonts w:ascii="Arial" w:hAnsi="Arial" w:cs="Arial"/>
          <w:sz w:val="22"/>
          <w:szCs w:val="22"/>
          <w:lang w:val="en-GB"/>
        </w:rPr>
        <w:t>$10m to three sophisticated Swiss private investors. The Swiss investors insisted that the PPNs were governed by English law.</w:t>
      </w:r>
    </w:p>
    <w:p w14:paraId="50B4874A" w14:textId="612333BB" w:rsidR="00F7241A" w:rsidRDefault="00F7241A" w:rsidP="00707FC8">
      <w:pPr>
        <w:jc w:val="both"/>
        <w:rPr>
          <w:rFonts w:ascii="Arial" w:hAnsi="Arial" w:cs="Arial"/>
          <w:sz w:val="22"/>
          <w:szCs w:val="22"/>
          <w:lang w:val="en-GB"/>
        </w:rPr>
      </w:pPr>
    </w:p>
    <w:p w14:paraId="1E8470E4" w14:textId="59EB9A24" w:rsidR="00706297" w:rsidRDefault="00706297" w:rsidP="00707FC8">
      <w:pPr>
        <w:jc w:val="both"/>
        <w:rPr>
          <w:rFonts w:ascii="Arial" w:hAnsi="Arial" w:cs="Arial"/>
          <w:sz w:val="22"/>
          <w:szCs w:val="22"/>
          <w:lang w:val="en-GB"/>
        </w:rPr>
      </w:pPr>
    </w:p>
    <w:p w14:paraId="3E854393" w14:textId="77777777" w:rsidR="00706297" w:rsidRDefault="00706297" w:rsidP="00707FC8">
      <w:pPr>
        <w:jc w:val="both"/>
        <w:rPr>
          <w:rFonts w:ascii="Arial" w:hAnsi="Arial" w:cs="Arial"/>
          <w:sz w:val="22"/>
          <w:szCs w:val="22"/>
          <w:lang w:val="en-GB"/>
        </w:rPr>
      </w:pPr>
    </w:p>
    <w:p w14:paraId="40921E31" w14:textId="6B59DC10"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r w:rsidR="002F71BE">
        <w:rPr>
          <w:rFonts w:ascii="Arial" w:hAnsi="Arial" w:cs="Arial"/>
          <w:b/>
          <w:bCs/>
          <w:sz w:val="22"/>
          <w:szCs w:val="22"/>
          <w:lang w:val="en-GB"/>
        </w:rPr>
        <w:t xml:space="preserve"> [maximum 3 marks]</w:t>
      </w:r>
    </w:p>
    <w:p w14:paraId="6433B0AC" w14:textId="77777777" w:rsidR="002F75A3" w:rsidRDefault="002F75A3" w:rsidP="00707FC8">
      <w:pPr>
        <w:jc w:val="both"/>
        <w:rPr>
          <w:rFonts w:ascii="Arial" w:hAnsi="Arial" w:cs="Arial"/>
          <w:b/>
          <w:bCs/>
          <w:sz w:val="22"/>
          <w:szCs w:val="22"/>
          <w:lang w:val="en-GB"/>
        </w:rPr>
      </w:pPr>
    </w:p>
    <w:p w14:paraId="6503C8BC" w14:textId="1E5E0448" w:rsidR="007C32A8" w:rsidRDefault="007C32A8" w:rsidP="007C32A8">
      <w:pPr>
        <w:jc w:val="both"/>
        <w:rPr>
          <w:rFonts w:ascii="Arial" w:hAnsi="Arial" w:cs="Arial"/>
          <w:sz w:val="22"/>
          <w:szCs w:val="22"/>
          <w:lang w:val="en-GB"/>
        </w:rPr>
      </w:pPr>
      <w:r>
        <w:rPr>
          <w:rFonts w:ascii="Arial" w:hAnsi="Arial" w:cs="Arial"/>
          <w:sz w:val="22"/>
          <w:szCs w:val="22"/>
          <w:lang w:val="en-GB"/>
        </w:rPr>
        <w:t>The GSC liquidators manage to opening local insolvency proceeding in Nigeria</w:t>
      </w:r>
      <w:r w:rsidR="006A1850">
        <w:rPr>
          <w:rFonts w:ascii="Arial" w:hAnsi="Arial" w:cs="Arial"/>
          <w:sz w:val="22"/>
          <w:szCs w:val="22"/>
          <w:lang w:val="en-GB"/>
        </w:rPr>
        <w:t>;</w:t>
      </w:r>
      <w:r>
        <w:rPr>
          <w:rFonts w:ascii="Arial" w:hAnsi="Arial" w:cs="Arial"/>
          <w:sz w:val="22"/>
          <w:szCs w:val="22"/>
          <w:lang w:val="en-GB"/>
        </w:rPr>
        <w:t xml:space="preserve"> would those local Nigerian insolvency proceedings </w:t>
      </w:r>
      <w:r w:rsidR="00565292">
        <w:rPr>
          <w:rFonts w:ascii="Arial" w:hAnsi="Arial" w:cs="Arial"/>
          <w:sz w:val="22"/>
          <w:szCs w:val="22"/>
          <w:lang w:val="en-GB"/>
        </w:rPr>
        <w:t xml:space="preserve">be </w:t>
      </w:r>
      <w:r>
        <w:rPr>
          <w:rFonts w:ascii="Arial" w:hAnsi="Arial" w:cs="Arial"/>
          <w:sz w:val="22"/>
          <w:szCs w:val="22"/>
          <w:lang w:val="en-GB"/>
        </w:rPr>
        <w:t>recognised in the US as foreign non-main proceedings</w:t>
      </w:r>
      <w:r w:rsidR="006A1850">
        <w:rPr>
          <w:rFonts w:ascii="Arial" w:hAnsi="Arial" w:cs="Arial"/>
          <w:sz w:val="22"/>
          <w:szCs w:val="22"/>
          <w:lang w:val="en-GB"/>
        </w:rPr>
        <w:t>?</w:t>
      </w:r>
      <w:r>
        <w:rPr>
          <w:rFonts w:ascii="Arial" w:hAnsi="Arial" w:cs="Arial"/>
          <w:sz w:val="22"/>
          <w:szCs w:val="22"/>
          <w:lang w:val="en-GB"/>
        </w:rPr>
        <w:t xml:space="preserve"> If a recognition application under Chapter 15 is made before the US court in Texas, how likely is it that the requested recognition will be granted?</w:t>
      </w:r>
    </w:p>
    <w:p w14:paraId="2C49D555" w14:textId="2789D6C0" w:rsidR="00565DEE" w:rsidRDefault="00565DEE" w:rsidP="007C32A8">
      <w:pPr>
        <w:jc w:val="both"/>
        <w:rPr>
          <w:rFonts w:ascii="Arial" w:hAnsi="Arial" w:cs="Arial"/>
          <w:sz w:val="22"/>
          <w:szCs w:val="22"/>
          <w:lang w:val="en-GB"/>
        </w:rPr>
      </w:pPr>
    </w:p>
    <w:p w14:paraId="1E4CE474" w14:textId="529901DC" w:rsidR="00565DEE" w:rsidRDefault="000A5EEC" w:rsidP="00565D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determine a foreign non-main proceeding, any application must satisfy the definition of establishment as set out in article 2(f). Effectively, an establishment is any place of operations where the debtor carries out a non-transitory economic activity with human means and goods or services. It would appear that the Nigerian offices do not fall within this definition, given that the offices are merely letterboxes with no employees (and thus there is no ‘human means’). Because of this, it is not particularly likely for the Nigerian proceedings to be recognised under the Chapter 15 application in the US.  </w:t>
      </w:r>
    </w:p>
    <w:p w14:paraId="134C4EE7" w14:textId="717BB5B4" w:rsidR="000A5EEC" w:rsidRDefault="000A5EEC" w:rsidP="00565DEE">
      <w:pPr>
        <w:jc w:val="both"/>
        <w:rPr>
          <w:rFonts w:ascii="Arial" w:hAnsi="Arial" w:cs="Arial"/>
          <w:color w:val="7B7B7B" w:themeColor="accent3" w:themeShade="BF"/>
          <w:sz w:val="22"/>
          <w:szCs w:val="22"/>
          <w:lang w:val="en-GB"/>
        </w:rPr>
      </w:pPr>
    </w:p>
    <w:p w14:paraId="70645593" w14:textId="77777777" w:rsidR="008A0C6E" w:rsidRDefault="008A0C6E" w:rsidP="007C32A8">
      <w:pPr>
        <w:jc w:val="both"/>
        <w:rPr>
          <w:rFonts w:ascii="Arial" w:hAnsi="Arial" w:cs="Arial"/>
          <w:sz w:val="22"/>
          <w:szCs w:val="22"/>
          <w:lang w:val="en-GB"/>
        </w:rPr>
      </w:pPr>
    </w:p>
    <w:p w14:paraId="34298F6C" w14:textId="162C4D57" w:rsidR="00176079" w:rsidRPr="00F7241A" w:rsidRDefault="00176079" w:rsidP="00176079">
      <w:pPr>
        <w:jc w:val="both"/>
        <w:rPr>
          <w:rFonts w:ascii="Arial" w:hAnsi="Arial" w:cs="Arial"/>
          <w:b/>
          <w:bCs/>
          <w:sz w:val="22"/>
          <w:szCs w:val="22"/>
          <w:lang w:val="en-GB"/>
        </w:rPr>
      </w:pPr>
      <w:r w:rsidRPr="00F7241A">
        <w:rPr>
          <w:rFonts w:ascii="Arial" w:hAnsi="Arial" w:cs="Arial"/>
          <w:b/>
          <w:bCs/>
          <w:sz w:val="22"/>
          <w:szCs w:val="22"/>
          <w:u w:val="single"/>
          <w:lang w:val="en-GB"/>
        </w:rPr>
        <w:t>Additional facts for question 4.</w:t>
      </w:r>
      <w:r>
        <w:rPr>
          <w:rFonts w:ascii="Arial" w:hAnsi="Arial" w:cs="Arial"/>
          <w:b/>
          <w:bCs/>
          <w:sz w:val="22"/>
          <w:szCs w:val="22"/>
          <w:u w:val="single"/>
          <w:lang w:val="en-GB"/>
        </w:rPr>
        <w:t>3</w:t>
      </w:r>
      <w:r w:rsidRPr="00F7241A">
        <w:rPr>
          <w:rFonts w:ascii="Arial" w:hAnsi="Arial" w:cs="Arial"/>
          <w:b/>
          <w:bCs/>
          <w:sz w:val="22"/>
          <w:szCs w:val="22"/>
          <w:lang w:val="en-GB"/>
        </w:rPr>
        <w:t>:</w:t>
      </w:r>
    </w:p>
    <w:p w14:paraId="1AB771C7" w14:textId="3C9FB209" w:rsidR="00176079" w:rsidRDefault="00176079" w:rsidP="007C32A8">
      <w:pPr>
        <w:jc w:val="both"/>
        <w:rPr>
          <w:rFonts w:ascii="Arial" w:hAnsi="Arial" w:cs="Arial"/>
          <w:sz w:val="22"/>
          <w:szCs w:val="22"/>
          <w:lang w:val="en-GB"/>
        </w:rPr>
      </w:pPr>
    </w:p>
    <w:p w14:paraId="5C8B520C" w14:textId="56018887" w:rsidR="000464F7" w:rsidRDefault="00587461" w:rsidP="00707FC8">
      <w:pPr>
        <w:jc w:val="both"/>
        <w:rPr>
          <w:rFonts w:ascii="Arial" w:hAnsi="Arial" w:cs="Arial"/>
          <w:sz w:val="22"/>
          <w:szCs w:val="22"/>
          <w:lang w:val="en-GB"/>
        </w:rPr>
      </w:pPr>
      <w:r>
        <w:rPr>
          <w:rFonts w:ascii="Arial" w:hAnsi="Arial" w:cs="Arial"/>
          <w:sz w:val="22"/>
          <w:szCs w:val="22"/>
          <w:lang w:val="en-GB"/>
        </w:rPr>
        <w:t xml:space="preserve">To facilitate reaching a restructuring agreement, the GSC liquidators decide to open US Chapter 11 proceedings. There they manage to </w:t>
      </w:r>
      <w:r w:rsidR="000A5EEC">
        <w:rPr>
          <w:rFonts w:ascii="Arial" w:hAnsi="Arial" w:cs="Arial"/>
          <w:sz w:val="22"/>
          <w:szCs w:val="22"/>
          <w:lang w:val="en-GB"/>
        </w:rPr>
        <w:t>reach a</w:t>
      </w:r>
      <w:r>
        <w:rPr>
          <w:rFonts w:ascii="Arial" w:hAnsi="Arial" w:cs="Arial"/>
          <w:sz w:val="22"/>
          <w:szCs w:val="22"/>
          <w:lang w:val="en-GB"/>
        </w:rPr>
        <w:t xml:space="preserve"> restructuring agreement with all the creditors, </w:t>
      </w:r>
      <w:r w:rsidR="006A1850">
        <w:rPr>
          <w:rFonts w:ascii="Arial" w:hAnsi="Arial" w:cs="Arial"/>
          <w:sz w:val="22"/>
          <w:szCs w:val="22"/>
          <w:lang w:val="en-GB"/>
        </w:rPr>
        <w:t xml:space="preserve">apart from the </w:t>
      </w:r>
      <w:r>
        <w:rPr>
          <w:rFonts w:ascii="Arial" w:hAnsi="Arial" w:cs="Arial"/>
          <w:sz w:val="22"/>
          <w:szCs w:val="22"/>
          <w:lang w:val="en-GB"/>
        </w:rPr>
        <w:t>three Swiss holders of the PPNs who decided to completely refrain from participating at all in the US Chapter 11 proceedings of GSC. Since the restructuring agreement met the required thresholds of creditor support it was – according to US law – binding on all creditors of GSC, including the non-participating Swiss PPN holders. The reason the Swiss PPN holders did not participate in the US Chapter 11proceedings of GSC</w:t>
      </w:r>
      <w:r w:rsidR="00725911">
        <w:rPr>
          <w:rFonts w:ascii="Arial" w:hAnsi="Arial" w:cs="Arial"/>
          <w:sz w:val="22"/>
          <w:szCs w:val="22"/>
          <w:lang w:val="en-GB"/>
        </w:rPr>
        <w:t>,</w:t>
      </w:r>
      <w:r>
        <w:rPr>
          <w:rFonts w:ascii="Arial" w:hAnsi="Arial" w:cs="Arial"/>
          <w:sz w:val="22"/>
          <w:szCs w:val="22"/>
          <w:lang w:val="en-GB"/>
        </w:rPr>
        <w:t xml:space="preserve"> was that they would like to enforce their rights against GSC under English law and </w:t>
      </w:r>
      <w:r w:rsidR="00725911">
        <w:rPr>
          <w:rFonts w:ascii="Arial" w:hAnsi="Arial" w:cs="Arial"/>
          <w:sz w:val="22"/>
          <w:szCs w:val="22"/>
          <w:lang w:val="en-GB"/>
        </w:rPr>
        <w:t>obtain</w:t>
      </w:r>
      <w:r>
        <w:rPr>
          <w:rFonts w:ascii="Arial" w:hAnsi="Arial" w:cs="Arial"/>
          <w:sz w:val="22"/>
          <w:szCs w:val="22"/>
          <w:lang w:val="en-GB"/>
        </w:rPr>
        <w:t xml:space="preserve"> full repayment of their claims under the PPNs instead of the compromise reached under the US restructuring agreement of GSC. They are hopeful that the so-called “Gibbs Rule” under English law</w:t>
      </w:r>
      <w:r>
        <w:rPr>
          <w:rStyle w:val="FootnoteReference"/>
          <w:rFonts w:ascii="Arial" w:hAnsi="Arial" w:cs="Arial"/>
          <w:sz w:val="22"/>
          <w:szCs w:val="22"/>
          <w:lang w:val="en-GB"/>
        </w:rPr>
        <w:footnoteReference w:id="28"/>
      </w:r>
      <w:r>
        <w:rPr>
          <w:rFonts w:ascii="Arial" w:hAnsi="Arial" w:cs="Arial"/>
          <w:sz w:val="22"/>
          <w:szCs w:val="22"/>
          <w:lang w:val="en-GB"/>
        </w:rPr>
        <w:t xml:space="preserve"> will help them in this respect.</w:t>
      </w:r>
      <w:r w:rsidR="000464F7">
        <w:rPr>
          <w:rFonts w:ascii="Arial" w:hAnsi="Arial" w:cs="Arial"/>
          <w:sz w:val="22"/>
          <w:szCs w:val="22"/>
          <w:lang w:val="en-GB"/>
        </w:rPr>
        <w:t xml:space="preserve"> </w:t>
      </w:r>
    </w:p>
    <w:p w14:paraId="521146A2" w14:textId="7BCF8C84" w:rsidR="00E069C4" w:rsidRDefault="00E069C4" w:rsidP="00707FC8">
      <w:pPr>
        <w:jc w:val="both"/>
        <w:rPr>
          <w:rFonts w:ascii="Arial" w:hAnsi="Arial" w:cs="Arial"/>
          <w:sz w:val="22"/>
          <w:szCs w:val="22"/>
          <w:lang w:val="en-GB"/>
        </w:rPr>
      </w:pPr>
    </w:p>
    <w:p w14:paraId="2F33C6EB" w14:textId="4AB1281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w:t>
      </w:r>
      <w:r w:rsidR="00ED3771">
        <w:rPr>
          <w:rFonts w:ascii="Arial" w:hAnsi="Arial" w:cs="Arial"/>
          <w:b/>
          <w:bCs/>
          <w:sz w:val="22"/>
          <w:szCs w:val="22"/>
          <w:lang w:val="en-GB"/>
        </w:rPr>
        <w:t>3</w:t>
      </w:r>
      <w:r>
        <w:rPr>
          <w:rFonts w:ascii="Arial" w:hAnsi="Arial" w:cs="Arial"/>
          <w:sz w:val="22"/>
          <w:szCs w:val="22"/>
          <w:lang w:val="en-GB"/>
        </w:rPr>
        <w:t xml:space="preserve"> </w:t>
      </w:r>
      <w:r w:rsidRPr="00A153F7">
        <w:rPr>
          <w:rFonts w:ascii="Arial" w:hAnsi="Arial" w:cs="Arial"/>
          <w:b/>
          <w:sz w:val="22"/>
          <w:szCs w:val="22"/>
          <w:lang w:val="en-GB"/>
        </w:rPr>
        <w:t xml:space="preserve">[maximum </w:t>
      </w:r>
      <w:r w:rsidR="008E549B">
        <w:rPr>
          <w:rFonts w:ascii="Arial" w:hAnsi="Arial" w:cs="Arial"/>
          <w:b/>
          <w:sz w:val="22"/>
          <w:szCs w:val="22"/>
          <w:lang w:val="en-GB"/>
        </w:rPr>
        <w:t>6</w:t>
      </w:r>
      <w:r w:rsidRPr="00A153F7">
        <w:rPr>
          <w:rFonts w:ascii="Arial" w:hAnsi="Arial" w:cs="Arial"/>
          <w:b/>
          <w:sz w:val="22"/>
          <w:szCs w:val="22"/>
          <w:lang w:val="en-GB"/>
        </w:rPr>
        <w:t xml:space="preserve"> marks]</w:t>
      </w:r>
    </w:p>
    <w:p w14:paraId="1D75F3DD" w14:textId="77777777" w:rsidR="00A153F7" w:rsidRDefault="00A153F7" w:rsidP="00707FC8">
      <w:pPr>
        <w:jc w:val="both"/>
        <w:rPr>
          <w:rFonts w:ascii="Arial" w:hAnsi="Arial" w:cs="Arial"/>
          <w:sz w:val="22"/>
          <w:szCs w:val="22"/>
          <w:lang w:val="en-GB"/>
        </w:rPr>
      </w:pPr>
    </w:p>
    <w:p w14:paraId="13032C70" w14:textId="266ABD57" w:rsidR="008E549B" w:rsidRDefault="008E549B" w:rsidP="008E549B">
      <w:pPr>
        <w:jc w:val="both"/>
        <w:rPr>
          <w:rFonts w:ascii="Arial" w:hAnsi="Arial" w:cs="Arial"/>
          <w:b/>
          <w:sz w:val="22"/>
          <w:szCs w:val="22"/>
          <w:lang w:val="en-GB"/>
        </w:rPr>
      </w:pPr>
      <w:r w:rsidRPr="00F71ECB">
        <w:rPr>
          <w:rFonts w:ascii="Arial" w:hAnsi="Arial" w:cs="Arial"/>
          <w:sz w:val="22"/>
          <w:szCs w:val="22"/>
          <w:lang w:val="en-GB"/>
        </w:rPr>
        <w:t xml:space="preserve">What can the </w:t>
      </w:r>
      <w:r>
        <w:rPr>
          <w:rFonts w:ascii="Arial" w:hAnsi="Arial" w:cs="Arial"/>
          <w:sz w:val="22"/>
          <w:szCs w:val="22"/>
          <w:lang w:val="en-GB"/>
        </w:rPr>
        <w:t xml:space="preserve">Cayman Islands </w:t>
      </w:r>
      <w:r w:rsidRPr="00F71ECB">
        <w:rPr>
          <w:rFonts w:ascii="Arial" w:hAnsi="Arial" w:cs="Arial"/>
          <w:sz w:val="22"/>
          <w:szCs w:val="22"/>
          <w:lang w:val="en-GB"/>
        </w:rPr>
        <w:t>liquidator</w:t>
      </w:r>
      <w:r>
        <w:rPr>
          <w:rFonts w:ascii="Arial" w:hAnsi="Arial" w:cs="Arial"/>
          <w:sz w:val="22"/>
          <w:szCs w:val="22"/>
          <w:lang w:val="en-GB"/>
        </w:rPr>
        <w:t>s</w:t>
      </w:r>
      <w:r w:rsidRPr="00F71ECB">
        <w:rPr>
          <w:rFonts w:ascii="Arial" w:hAnsi="Arial" w:cs="Arial"/>
          <w:sz w:val="22"/>
          <w:szCs w:val="22"/>
          <w:lang w:val="en-GB"/>
        </w:rPr>
        <w:t xml:space="preserve"> do to avoid that the assets of G</w:t>
      </w:r>
      <w:r>
        <w:rPr>
          <w:rFonts w:ascii="Arial" w:hAnsi="Arial" w:cs="Arial"/>
          <w:sz w:val="22"/>
          <w:szCs w:val="22"/>
          <w:lang w:val="en-GB"/>
        </w:rPr>
        <w:t>SC</w:t>
      </w:r>
      <w:r w:rsidRPr="00F71ECB">
        <w:rPr>
          <w:rFonts w:ascii="Arial" w:hAnsi="Arial" w:cs="Arial"/>
          <w:sz w:val="22"/>
          <w:szCs w:val="22"/>
          <w:lang w:val="en-GB"/>
        </w:rPr>
        <w:t xml:space="preserve"> </w:t>
      </w:r>
      <w:r>
        <w:rPr>
          <w:rFonts w:ascii="Arial" w:hAnsi="Arial" w:cs="Arial"/>
          <w:sz w:val="22"/>
          <w:szCs w:val="22"/>
          <w:lang w:val="en-GB"/>
        </w:rPr>
        <w:t xml:space="preserve">in the UK </w:t>
      </w:r>
      <w:r w:rsidRPr="00F71ECB">
        <w:rPr>
          <w:rFonts w:ascii="Arial" w:hAnsi="Arial" w:cs="Arial"/>
          <w:sz w:val="22"/>
          <w:szCs w:val="22"/>
          <w:lang w:val="en-GB"/>
        </w:rPr>
        <w:t>are available to the Swiss PPN holders</w:t>
      </w:r>
      <w:r>
        <w:rPr>
          <w:rFonts w:ascii="Arial" w:hAnsi="Arial" w:cs="Arial"/>
          <w:sz w:val="22"/>
          <w:szCs w:val="22"/>
          <w:lang w:val="en-GB"/>
        </w:rPr>
        <w:t xml:space="preserve"> and what do you expect the considerations of an English court to be if the liquidators decided to request a recognition of the US Chapter 11 proceedings in the UK together with such appropriate relief under the Model Law as implemented in the UK which – in effect – prevents the Swiss PPN holders from enforcing their English law claims against GSC under the PPNs?</w:t>
      </w:r>
    </w:p>
    <w:p w14:paraId="3A8EA3B9" w14:textId="6A6DF3B4" w:rsidR="00A153F7" w:rsidRDefault="00A153F7" w:rsidP="00707FC8">
      <w:pPr>
        <w:jc w:val="both"/>
        <w:rPr>
          <w:rFonts w:ascii="Arial" w:hAnsi="Arial" w:cs="Arial"/>
          <w:sz w:val="22"/>
          <w:szCs w:val="22"/>
          <w:lang w:val="en-GB"/>
        </w:rPr>
      </w:pPr>
    </w:p>
    <w:p w14:paraId="6E6B9AA4" w14:textId="0E3A4794" w:rsidR="00387106" w:rsidRDefault="00E1092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number of issues here – firstly and foremostly, the Court would need to consider whether the granting of relief would have any effect upon creditors who are subject to the UK Law. Notwithstanding the requirements of articles 15 and 17 for the liquidators to satisfy, ostensibly any such granting of relief could be contrary to public policy (article 6); and </w:t>
      </w:r>
      <w:r w:rsidR="00103A92">
        <w:rPr>
          <w:rFonts w:ascii="Arial" w:hAnsi="Arial" w:cs="Arial"/>
          <w:color w:val="7B7B7B" w:themeColor="accent3" w:themeShade="BF"/>
          <w:sz w:val="22"/>
          <w:szCs w:val="22"/>
          <w:lang w:val="en-GB"/>
        </w:rPr>
        <w:t>those interested creditors</w:t>
      </w:r>
      <w:r>
        <w:rPr>
          <w:rFonts w:ascii="Arial" w:hAnsi="Arial" w:cs="Arial"/>
          <w:color w:val="7B7B7B" w:themeColor="accent3" w:themeShade="BF"/>
          <w:sz w:val="22"/>
          <w:szCs w:val="22"/>
          <w:lang w:val="en-GB"/>
        </w:rPr>
        <w:t xml:space="preserve"> are protected (article 22(1)).  </w:t>
      </w:r>
      <w:r w:rsidR="00103A92">
        <w:rPr>
          <w:rFonts w:ascii="Arial" w:hAnsi="Arial" w:cs="Arial"/>
          <w:color w:val="7B7B7B" w:themeColor="accent3" w:themeShade="BF"/>
          <w:sz w:val="22"/>
          <w:szCs w:val="22"/>
          <w:lang w:val="en-GB"/>
        </w:rPr>
        <w:t xml:space="preserve">Evidently, the UK proceedings would be considered as foreign non-main proceedings, which would give rise to </w:t>
      </w:r>
      <w:r>
        <w:rPr>
          <w:rFonts w:ascii="Arial" w:hAnsi="Arial" w:cs="Arial"/>
          <w:color w:val="7B7B7B" w:themeColor="accent3" w:themeShade="BF"/>
          <w:sz w:val="22"/>
          <w:szCs w:val="22"/>
          <w:lang w:val="en-GB"/>
        </w:rPr>
        <w:t xml:space="preserve">the liquidators </w:t>
      </w:r>
      <w:r w:rsidR="00103A92">
        <w:rPr>
          <w:rFonts w:ascii="Arial" w:hAnsi="Arial" w:cs="Arial"/>
          <w:color w:val="7B7B7B" w:themeColor="accent3" w:themeShade="BF"/>
          <w:sz w:val="22"/>
          <w:szCs w:val="22"/>
          <w:lang w:val="en-GB"/>
        </w:rPr>
        <w:t xml:space="preserve">making an </w:t>
      </w:r>
      <w:r>
        <w:rPr>
          <w:rFonts w:ascii="Arial" w:hAnsi="Arial" w:cs="Arial"/>
          <w:color w:val="7B7B7B" w:themeColor="accent3" w:themeShade="BF"/>
          <w:sz w:val="22"/>
          <w:szCs w:val="22"/>
          <w:lang w:val="en-GB"/>
        </w:rPr>
        <w:t>application for relief pursuant to Article 21.  Most notably, article 21(1) would provide sufficient power to the liquidator to stay the commencement (or continuation if already underway) of any action against the debtor</w:t>
      </w:r>
      <w:r w:rsidR="000947AB">
        <w:rPr>
          <w:rFonts w:ascii="Arial" w:hAnsi="Arial" w:cs="Arial"/>
          <w:color w:val="7B7B7B" w:themeColor="accent3" w:themeShade="BF"/>
          <w:sz w:val="22"/>
          <w:szCs w:val="22"/>
          <w:lang w:val="en-GB"/>
        </w:rPr>
        <w:t xml:space="preserve">, but only where recognition could be granted.  </w:t>
      </w:r>
      <w:r w:rsidR="004C02C8">
        <w:rPr>
          <w:rFonts w:ascii="Arial" w:hAnsi="Arial" w:cs="Arial"/>
          <w:color w:val="7B7B7B" w:themeColor="accent3" w:themeShade="BF"/>
          <w:sz w:val="22"/>
          <w:szCs w:val="22"/>
          <w:lang w:val="en-GB"/>
        </w:rPr>
        <w:t xml:space="preserve">Any such action brought in the UK would of course be subject to principles of UK Law under the PPNs.  Further, and </w:t>
      </w:r>
      <w:r w:rsidR="000947AB">
        <w:rPr>
          <w:rFonts w:ascii="Arial" w:hAnsi="Arial" w:cs="Arial"/>
          <w:color w:val="7B7B7B" w:themeColor="accent3" w:themeShade="BF"/>
          <w:sz w:val="22"/>
          <w:szCs w:val="22"/>
          <w:lang w:val="en-GB"/>
        </w:rPr>
        <w:t xml:space="preserve">As seen in the case of </w:t>
      </w:r>
      <w:r w:rsidR="000947AB">
        <w:rPr>
          <w:rFonts w:ascii="Arial" w:hAnsi="Arial" w:cs="Arial"/>
          <w:i/>
          <w:iCs/>
          <w:color w:val="7B7B7B" w:themeColor="accent3" w:themeShade="BF"/>
          <w:sz w:val="22"/>
          <w:szCs w:val="22"/>
          <w:lang w:val="en-GB"/>
        </w:rPr>
        <w:t xml:space="preserve">In the Matter if the OJSC International Bank of Azerbaijan and the CBIR 2006 – </w:t>
      </w:r>
      <w:proofErr w:type="spellStart"/>
      <w:r w:rsidR="000947AB">
        <w:rPr>
          <w:rFonts w:ascii="Arial" w:hAnsi="Arial" w:cs="Arial"/>
          <w:i/>
          <w:iCs/>
          <w:color w:val="7B7B7B" w:themeColor="accent3" w:themeShade="BF"/>
          <w:sz w:val="22"/>
          <w:szCs w:val="22"/>
          <w:lang w:val="en-GB"/>
        </w:rPr>
        <w:t>Bakshiyeva</w:t>
      </w:r>
      <w:proofErr w:type="spellEnd"/>
      <w:r w:rsidR="000947AB">
        <w:rPr>
          <w:rFonts w:ascii="Arial" w:hAnsi="Arial" w:cs="Arial"/>
          <w:i/>
          <w:iCs/>
          <w:color w:val="7B7B7B" w:themeColor="accent3" w:themeShade="BF"/>
          <w:sz w:val="22"/>
          <w:szCs w:val="22"/>
          <w:lang w:val="en-GB"/>
        </w:rPr>
        <w:t xml:space="preserve"> v Sberbank of Russia et al</w:t>
      </w:r>
      <w:r w:rsidR="000947AB">
        <w:rPr>
          <w:rFonts w:ascii="Arial" w:hAnsi="Arial" w:cs="Arial"/>
          <w:color w:val="7B7B7B" w:themeColor="accent3" w:themeShade="BF"/>
          <w:sz w:val="22"/>
          <w:szCs w:val="22"/>
          <w:lang w:val="en-GB"/>
        </w:rPr>
        <w:t xml:space="preserve"> [2018] EWHC 59 (Ch) (</w:t>
      </w:r>
      <w:r w:rsidR="000947AB">
        <w:rPr>
          <w:rFonts w:ascii="Arial" w:hAnsi="Arial" w:cs="Arial"/>
          <w:b/>
          <w:bCs/>
          <w:color w:val="7B7B7B" w:themeColor="accent3" w:themeShade="BF"/>
          <w:sz w:val="22"/>
          <w:szCs w:val="22"/>
          <w:lang w:val="en-GB"/>
        </w:rPr>
        <w:t xml:space="preserve">the IBA </w:t>
      </w:r>
      <w:r w:rsidR="000947AB" w:rsidRPr="004C02C8">
        <w:rPr>
          <w:rFonts w:ascii="Arial" w:hAnsi="Arial" w:cs="Arial"/>
          <w:b/>
          <w:bCs/>
          <w:color w:val="7B7B7B" w:themeColor="accent3" w:themeShade="BF"/>
          <w:sz w:val="22"/>
          <w:szCs w:val="22"/>
          <w:lang w:val="en-GB"/>
        </w:rPr>
        <w:t>Case</w:t>
      </w:r>
      <w:r w:rsidR="000947AB">
        <w:rPr>
          <w:rFonts w:ascii="Arial" w:hAnsi="Arial" w:cs="Arial"/>
          <w:color w:val="7B7B7B" w:themeColor="accent3" w:themeShade="BF"/>
          <w:sz w:val="22"/>
          <w:szCs w:val="22"/>
          <w:lang w:val="en-GB"/>
        </w:rPr>
        <w:t xml:space="preserve">) </w:t>
      </w:r>
      <w:r w:rsidR="000947AB" w:rsidRPr="004C02C8">
        <w:rPr>
          <w:rFonts w:ascii="Arial" w:hAnsi="Arial" w:cs="Arial"/>
          <w:color w:val="7B7B7B" w:themeColor="accent3" w:themeShade="BF"/>
          <w:sz w:val="22"/>
          <w:szCs w:val="22"/>
          <w:lang w:val="en-GB"/>
        </w:rPr>
        <w:t>the</w:t>
      </w:r>
      <w:r w:rsidR="000947AB">
        <w:rPr>
          <w:rFonts w:ascii="Arial" w:hAnsi="Arial" w:cs="Arial"/>
          <w:color w:val="7B7B7B" w:themeColor="accent3" w:themeShade="BF"/>
          <w:sz w:val="22"/>
          <w:szCs w:val="22"/>
          <w:lang w:val="en-GB"/>
        </w:rPr>
        <w:t xml:space="preserve"> application of the Gibbs Rule is still relevant.  As it stood, the IBA Case confirmed that </w:t>
      </w:r>
      <w:r w:rsidR="000947AB">
        <w:rPr>
          <w:rFonts w:ascii="Arial" w:hAnsi="Arial" w:cs="Arial"/>
          <w:i/>
          <w:iCs/>
          <w:color w:val="7B7B7B" w:themeColor="accent3" w:themeShade="BF"/>
          <w:sz w:val="22"/>
          <w:szCs w:val="22"/>
          <w:lang w:val="en-GB"/>
        </w:rPr>
        <w:t>inter alia</w:t>
      </w:r>
      <w:r w:rsidR="000947AB">
        <w:rPr>
          <w:rFonts w:ascii="Arial" w:hAnsi="Arial" w:cs="Arial"/>
          <w:color w:val="7B7B7B" w:themeColor="accent3" w:themeShade="BF"/>
          <w:sz w:val="22"/>
          <w:szCs w:val="22"/>
          <w:lang w:val="en-GB"/>
        </w:rPr>
        <w:t xml:space="preserve">, the operation of the foreign insolvency proceedings (and thus foreign insolvency laws) did not override any rights or obligations under the principles of English contract law. </w:t>
      </w:r>
      <w:r w:rsidR="004C02C8">
        <w:rPr>
          <w:rFonts w:ascii="Arial" w:hAnsi="Arial" w:cs="Arial"/>
          <w:color w:val="7B7B7B" w:themeColor="accent3" w:themeShade="BF"/>
          <w:sz w:val="22"/>
          <w:szCs w:val="22"/>
          <w:lang w:val="en-GB"/>
        </w:rPr>
        <w:t xml:space="preserve">Any such application </w:t>
      </w:r>
      <w:r w:rsidR="000947AB">
        <w:rPr>
          <w:rFonts w:ascii="Arial" w:hAnsi="Arial" w:cs="Arial"/>
          <w:color w:val="7B7B7B" w:themeColor="accent3" w:themeShade="BF"/>
          <w:sz w:val="22"/>
          <w:szCs w:val="22"/>
          <w:lang w:val="en-GB"/>
        </w:rPr>
        <w:t xml:space="preserve">by the liquidators to the </w:t>
      </w:r>
      <w:r w:rsidR="004C02C8">
        <w:rPr>
          <w:rFonts w:ascii="Arial" w:hAnsi="Arial" w:cs="Arial"/>
          <w:color w:val="7B7B7B" w:themeColor="accent3" w:themeShade="BF"/>
          <w:sz w:val="22"/>
          <w:szCs w:val="22"/>
          <w:lang w:val="en-GB"/>
        </w:rPr>
        <w:t xml:space="preserve">UK </w:t>
      </w:r>
      <w:r w:rsidR="000947AB">
        <w:rPr>
          <w:rFonts w:ascii="Arial" w:hAnsi="Arial" w:cs="Arial"/>
          <w:color w:val="7B7B7B" w:themeColor="accent3" w:themeShade="BF"/>
          <w:sz w:val="22"/>
          <w:szCs w:val="22"/>
          <w:lang w:val="en-GB"/>
        </w:rPr>
        <w:t xml:space="preserve">Courts </w:t>
      </w:r>
      <w:r w:rsidR="004C02C8">
        <w:rPr>
          <w:rFonts w:ascii="Arial" w:hAnsi="Arial" w:cs="Arial"/>
          <w:color w:val="7B7B7B" w:themeColor="accent3" w:themeShade="BF"/>
          <w:sz w:val="22"/>
          <w:szCs w:val="22"/>
          <w:lang w:val="en-GB"/>
        </w:rPr>
        <w:t xml:space="preserve">would be seen as a way to try and get around the Gibbs Rule. Given that the PPN’s are governed by UK Law and that US Law has effectively forced the resolution of the issue, then the application of the Gibbs Rule would ordinarily prevent such recognition. </w:t>
      </w:r>
    </w:p>
    <w:p w14:paraId="1006352D" w14:textId="5932BC1D" w:rsidR="004C02C8" w:rsidRDefault="004C02C8" w:rsidP="00707FC8">
      <w:pPr>
        <w:jc w:val="both"/>
        <w:rPr>
          <w:rFonts w:ascii="Arial" w:hAnsi="Arial" w:cs="Arial"/>
          <w:color w:val="7B7B7B" w:themeColor="accent3" w:themeShade="BF"/>
          <w:sz w:val="22"/>
          <w:szCs w:val="22"/>
          <w:lang w:val="en-GB"/>
        </w:rPr>
      </w:pPr>
    </w:p>
    <w:p w14:paraId="172B2D0A" w14:textId="5A0B0DB6" w:rsidR="00387106" w:rsidRDefault="00387106" w:rsidP="00707FC8">
      <w:pPr>
        <w:jc w:val="both"/>
        <w:rPr>
          <w:rFonts w:ascii="Arial" w:hAnsi="Arial" w:cs="Arial"/>
          <w:sz w:val="22"/>
          <w:szCs w:val="22"/>
          <w:lang w:val="en-GB"/>
        </w:rPr>
      </w:pPr>
    </w:p>
    <w:p w14:paraId="70C6A8B6" w14:textId="77777777" w:rsidR="00126A4D" w:rsidRPr="00CF4F9D"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77498C" w:rsidRDefault="0077498C" w:rsidP="00707FC8">
      <w:pPr>
        <w:jc w:val="both"/>
        <w:rPr>
          <w:rFonts w:ascii="Arial" w:hAnsi="Arial" w:cs="Arial"/>
          <w:color w:val="000000" w:themeColor="text1"/>
          <w:sz w:val="22"/>
          <w:szCs w:val="22"/>
          <w:lang w:val="en-GB"/>
        </w:rPr>
      </w:pPr>
    </w:p>
    <w:p w14:paraId="0CF7B602" w14:textId="0F4B9EC6" w:rsidR="0077498C" w:rsidRPr="00610388" w:rsidRDefault="00C606C3" w:rsidP="0077498C">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37D1" w14:textId="77777777" w:rsidR="009F48FC" w:rsidRDefault="009F48FC" w:rsidP="00241B44">
      <w:r>
        <w:separator/>
      </w:r>
    </w:p>
  </w:endnote>
  <w:endnote w:type="continuationSeparator" w:id="0">
    <w:p w14:paraId="73607D44" w14:textId="77777777" w:rsidR="009F48FC" w:rsidRDefault="009F48F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D8FF1E8" w:rsidR="0036760B" w:rsidRPr="00784B4B" w:rsidRDefault="000A5EEC" w:rsidP="0036760B">
    <w:pPr>
      <w:pStyle w:val="Footer"/>
      <w:ind w:right="360" w:firstLine="360"/>
      <w:rPr>
        <w:rFonts w:ascii="Arial" w:hAnsi="Arial" w:cs="Arial"/>
        <w:sz w:val="18"/>
        <w:szCs w:val="18"/>
      </w:rPr>
    </w:pPr>
    <w:r w:rsidRPr="000A5EEC">
      <w:rPr>
        <w:rFonts w:ascii="Arial" w:hAnsi="Arial" w:cs="Arial"/>
        <w:sz w:val="18"/>
        <w:szCs w:val="18"/>
        <w:lang w:val="en-AU"/>
      </w:rPr>
      <w:t>202021IFU-369</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6C6A" w14:textId="77777777" w:rsidR="000A5EEC" w:rsidRDefault="000A5E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C9D0" w14:textId="77777777" w:rsidR="009F48FC" w:rsidRDefault="009F48FC" w:rsidP="00241B44">
      <w:r>
        <w:separator/>
      </w:r>
    </w:p>
  </w:footnote>
  <w:footnote w:type="continuationSeparator" w:id="0">
    <w:p w14:paraId="355DC2F6" w14:textId="77777777" w:rsidR="009F48FC" w:rsidRDefault="009F48FC" w:rsidP="00241B44">
      <w:r>
        <w:continuationSeparator/>
      </w:r>
    </w:p>
  </w:footnote>
  <w:footnote w:id="1">
    <w:p w14:paraId="71280A86" w14:textId="23AE677A" w:rsidR="00C7768D" w:rsidRPr="00C7768D" w:rsidRDefault="00C7768D">
      <w:pPr>
        <w:pStyle w:val="FootnoteText"/>
        <w:rPr>
          <w:i/>
          <w:iCs/>
          <w:lang w:val="en-AU"/>
        </w:rPr>
      </w:pPr>
      <w:r>
        <w:rPr>
          <w:rStyle w:val="FootnoteReference"/>
        </w:rPr>
        <w:footnoteRef/>
      </w:r>
      <w:r>
        <w:t xml:space="preserve"> </w:t>
      </w:r>
      <w:r>
        <w:rPr>
          <w:i/>
          <w:iCs/>
          <w:lang w:val="en-AU"/>
        </w:rPr>
        <w:t>UNICTRAL Model Law Guide to Enactment pg 41 paragraph 73</w:t>
      </w:r>
    </w:p>
  </w:footnote>
  <w:footnote w:id="2">
    <w:p w14:paraId="4B38CD57" w14:textId="75BE6B26" w:rsidR="00BE46F2" w:rsidRPr="00BE46F2" w:rsidRDefault="00BE46F2">
      <w:pPr>
        <w:pStyle w:val="FootnoteText"/>
        <w:rPr>
          <w:lang w:val="en-AU"/>
        </w:rPr>
      </w:pPr>
      <w:r>
        <w:rPr>
          <w:rStyle w:val="FootnoteReference"/>
        </w:rPr>
        <w:footnoteRef/>
      </w:r>
      <w:r>
        <w:t xml:space="preserve"> </w:t>
      </w:r>
      <w:hyperlink r:id="rId1" w:history="1">
        <w:r w:rsidRPr="00BF09A6">
          <w:rPr>
            <w:rStyle w:val="Hyperlink"/>
          </w:rPr>
          <w:t>http://www.uncitral.org/pdf/english/news/EleventhJC.pdf</w:t>
        </w:r>
      </w:hyperlink>
      <w:r>
        <w:t xml:space="preserve"> </w:t>
      </w:r>
    </w:p>
  </w:footnote>
  <w:footnote w:id="3">
    <w:p w14:paraId="6C9906DF" w14:textId="30813B3C" w:rsidR="00D511A8" w:rsidRPr="00D511A8" w:rsidRDefault="00D511A8">
      <w:pPr>
        <w:pStyle w:val="FootnoteText"/>
        <w:rPr>
          <w:lang w:val="en-AU"/>
        </w:rPr>
      </w:pPr>
      <w:r>
        <w:rPr>
          <w:rStyle w:val="FootnoteReference"/>
        </w:rPr>
        <w:footnoteRef/>
      </w:r>
      <w:r>
        <w:t xml:space="preserve"> </w:t>
      </w:r>
      <w:r>
        <w:rPr>
          <w:lang w:val="en-AU"/>
        </w:rPr>
        <w:t>MLCBI Article 17(1).</w:t>
      </w:r>
    </w:p>
  </w:footnote>
  <w:footnote w:id="4">
    <w:p w14:paraId="60B6026F" w14:textId="09196D65" w:rsidR="00D511A8" w:rsidRPr="00D511A8" w:rsidRDefault="00D511A8">
      <w:pPr>
        <w:pStyle w:val="FootnoteText"/>
        <w:rPr>
          <w:lang w:val="en-AU"/>
        </w:rPr>
      </w:pPr>
      <w:r>
        <w:rPr>
          <w:rStyle w:val="FootnoteReference"/>
        </w:rPr>
        <w:footnoteRef/>
      </w:r>
      <w:r>
        <w:t xml:space="preserve"> </w:t>
      </w:r>
      <w:r>
        <w:rPr>
          <w:lang w:val="en-AU"/>
        </w:rPr>
        <w:t>MLCBI Article 17(1)(a).</w:t>
      </w:r>
    </w:p>
  </w:footnote>
  <w:footnote w:id="5">
    <w:p w14:paraId="2579B3B3" w14:textId="0EE1E65A" w:rsidR="00D511A8" w:rsidRPr="00D511A8" w:rsidRDefault="00D511A8">
      <w:pPr>
        <w:pStyle w:val="FootnoteText"/>
        <w:rPr>
          <w:lang w:val="en-AU"/>
        </w:rPr>
      </w:pPr>
      <w:r>
        <w:rPr>
          <w:rStyle w:val="FootnoteReference"/>
        </w:rPr>
        <w:footnoteRef/>
      </w:r>
      <w:r>
        <w:t xml:space="preserve"> </w:t>
      </w:r>
      <w:r>
        <w:rPr>
          <w:lang w:val="en-AU"/>
        </w:rPr>
        <w:t>MLCBI Article 17(1)(</w:t>
      </w:r>
      <w:r w:rsidR="007B6034">
        <w:rPr>
          <w:lang w:val="en-AU"/>
        </w:rPr>
        <w:t>b</w:t>
      </w:r>
      <w:r>
        <w:rPr>
          <w:lang w:val="en-AU"/>
        </w:rPr>
        <w:t>).</w:t>
      </w:r>
    </w:p>
  </w:footnote>
  <w:footnote w:id="6">
    <w:p w14:paraId="56A84AF3" w14:textId="7F95425D" w:rsidR="007B6034" w:rsidRPr="007B6034" w:rsidRDefault="007B6034">
      <w:pPr>
        <w:pStyle w:val="FootnoteText"/>
        <w:rPr>
          <w:lang w:val="en-AU"/>
        </w:rPr>
      </w:pPr>
      <w:r>
        <w:rPr>
          <w:rStyle w:val="FootnoteReference"/>
        </w:rPr>
        <w:footnoteRef/>
      </w:r>
      <w:r>
        <w:t xml:space="preserve"> </w:t>
      </w:r>
      <w:r>
        <w:rPr>
          <w:lang w:val="en-AU"/>
        </w:rPr>
        <w:t>MLCBI Article 17(1)(d).</w:t>
      </w:r>
    </w:p>
  </w:footnote>
  <w:footnote w:id="7">
    <w:p w14:paraId="15393242" w14:textId="01E795D6" w:rsidR="007B6034" w:rsidRPr="007B6034" w:rsidRDefault="007B6034">
      <w:pPr>
        <w:pStyle w:val="FootnoteText"/>
        <w:rPr>
          <w:lang w:val="en-AU"/>
        </w:rPr>
      </w:pPr>
      <w:r>
        <w:rPr>
          <w:rStyle w:val="FootnoteReference"/>
        </w:rPr>
        <w:footnoteRef/>
      </w:r>
      <w:r>
        <w:t xml:space="preserve"> </w:t>
      </w:r>
      <w:r>
        <w:rPr>
          <w:lang w:val="en-AU"/>
        </w:rPr>
        <w:t>MLCBI Article 17(1)(c).</w:t>
      </w:r>
    </w:p>
  </w:footnote>
  <w:footnote w:id="8">
    <w:p w14:paraId="24312E9C" w14:textId="031A3323" w:rsidR="00A27EE3" w:rsidRPr="00A27EE3" w:rsidRDefault="00A27EE3">
      <w:pPr>
        <w:pStyle w:val="FootnoteText"/>
        <w:rPr>
          <w:lang w:val="en-AU"/>
        </w:rPr>
      </w:pPr>
      <w:r>
        <w:rPr>
          <w:rStyle w:val="FootnoteReference"/>
        </w:rPr>
        <w:footnoteRef/>
      </w:r>
      <w:r>
        <w:t xml:space="preserve"> </w:t>
      </w:r>
      <w:r>
        <w:rPr>
          <w:lang w:val="en-AU"/>
        </w:rPr>
        <w:t>MLCBI Article 19</w:t>
      </w:r>
      <w:r w:rsidR="003F0EBA">
        <w:rPr>
          <w:lang w:val="en-AU"/>
        </w:rPr>
        <w:t>(1)</w:t>
      </w:r>
      <w:r>
        <w:rPr>
          <w:lang w:val="en-AU"/>
        </w:rPr>
        <w:t xml:space="preserve">(a). </w:t>
      </w:r>
    </w:p>
  </w:footnote>
  <w:footnote w:id="9">
    <w:p w14:paraId="1E808A7A" w14:textId="1EA8DAB6" w:rsidR="00A27EE3" w:rsidRPr="00A27EE3" w:rsidRDefault="00A27EE3">
      <w:pPr>
        <w:pStyle w:val="FootnoteText"/>
        <w:rPr>
          <w:lang w:val="en-AU"/>
        </w:rPr>
      </w:pPr>
      <w:r>
        <w:rPr>
          <w:rStyle w:val="FootnoteReference"/>
        </w:rPr>
        <w:footnoteRef/>
      </w:r>
      <w:r>
        <w:t xml:space="preserve"> </w:t>
      </w:r>
      <w:r>
        <w:rPr>
          <w:lang w:val="en-AU"/>
        </w:rPr>
        <w:t>MLCBI Article 19</w:t>
      </w:r>
      <w:r w:rsidR="003F0EBA">
        <w:rPr>
          <w:lang w:val="en-AU"/>
        </w:rPr>
        <w:t>(1)</w:t>
      </w:r>
      <w:r>
        <w:rPr>
          <w:lang w:val="en-AU"/>
        </w:rPr>
        <w:t>(b).</w:t>
      </w:r>
    </w:p>
  </w:footnote>
  <w:footnote w:id="10">
    <w:p w14:paraId="31B22157" w14:textId="4530634A" w:rsidR="00A27EE3" w:rsidRPr="00A27EE3" w:rsidRDefault="00A27EE3">
      <w:pPr>
        <w:pStyle w:val="FootnoteText"/>
        <w:rPr>
          <w:lang w:val="en-AU"/>
        </w:rPr>
      </w:pPr>
      <w:r>
        <w:rPr>
          <w:rStyle w:val="FootnoteReference"/>
        </w:rPr>
        <w:footnoteRef/>
      </w:r>
      <w:r>
        <w:t xml:space="preserve"> </w:t>
      </w:r>
      <w:r>
        <w:rPr>
          <w:lang w:val="en-AU"/>
        </w:rPr>
        <w:t>MLCBI Article 19</w:t>
      </w:r>
      <w:r w:rsidR="003F0EBA">
        <w:rPr>
          <w:lang w:val="en-AU"/>
        </w:rPr>
        <w:t>(1)</w:t>
      </w:r>
      <w:r>
        <w:rPr>
          <w:lang w:val="en-AU"/>
        </w:rPr>
        <w:t>(c).</w:t>
      </w:r>
    </w:p>
  </w:footnote>
  <w:footnote w:id="11">
    <w:p w14:paraId="424042B3" w14:textId="105988B3" w:rsidR="003F0EBA" w:rsidRPr="003F0EBA" w:rsidRDefault="003F0EBA">
      <w:pPr>
        <w:pStyle w:val="FootnoteText"/>
        <w:rPr>
          <w:lang w:val="en-AU"/>
        </w:rPr>
      </w:pPr>
      <w:r>
        <w:rPr>
          <w:rStyle w:val="FootnoteReference"/>
        </w:rPr>
        <w:footnoteRef/>
      </w:r>
      <w:r>
        <w:t xml:space="preserve"> </w:t>
      </w:r>
      <w:r>
        <w:rPr>
          <w:lang w:val="en-AU"/>
        </w:rPr>
        <w:t xml:space="preserve">MLCBI Article 19(3). </w:t>
      </w:r>
    </w:p>
  </w:footnote>
  <w:footnote w:id="12">
    <w:p w14:paraId="3CB20C71" w14:textId="7254CFEB" w:rsidR="003F0EBA" w:rsidRPr="003F0EBA" w:rsidRDefault="003F0EBA">
      <w:pPr>
        <w:pStyle w:val="FootnoteText"/>
        <w:rPr>
          <w:lang w:val="en-AU"/>
        </w:rPr>
      </w:pPr>
      <w:r>
        <w:rPr>
          <w:rStyle w:val="FootnoteReference"/>
        </w:rPr>
        <w:footnoteRef/>
      </w:r>
      <w:r>
        <w:t xml:space="preserve"> </w:t>
      </w:r>
      <w:r>
        <w:rPr>
          <w:lang w:val="en-AU"/>
        </w:rPr>
        <w:t>MLCBI Article 19(4).</w:t>
      </w:r>
    </w:p>
  </w:footnote>
  <w:footnote w:id="13">
    <w:p w14:paraId="649B96EE" w14:textId="59704F87" w:rsidR="00722325" w:rsidRPr="00722325" w:rsidRDefault="00722325">
      <w:pPr>
        <w:pStyle w:val="FootnoteText"/>
        <w:rPr>
          <w:lang w:val="en-AU"/>
        </w:rPr>
      </w:pPr>
      <w:r>
        <w:rPr>
          <w:rStyle w:val="FootnoteReference"/>
        </w:rPr>
        <w:footnoteRef/>
      </w:r>
      <w:r>
        <w:t xml:space="preserve"> </w:t>
      </w:r>
      <w:r>
        <w:rPr>
          <w:lang w:val="en-AU"/>
        </w:rPr>
        <w:t>MLCBI Article 20(1)(a).</w:t>
      </w:r>
    </w:p>
  </w:footnote>
  <w:footnote w:id="14">
    <w:p w14:paraId="758D06D4" w14:textId="1B876482" w:rsidR="00722325" w:rsidRPr="00722325" w:rsidRDefault="00722325">
      <w:pPr>
        <w:pStyle w:val="FootnoteText"/>
        <w:rPr>
          <w:lang w:val="en-AU"/>
        </w:rPr>
      </w:pPr>
      <w:r>
        <w:rPr>
          <w:rStyle w:val="FootnoteReference"/>
        </w:rPr>
        <w:footnoteRef/>
      </w:r>
      <w:r>
        <w:t xml:space="preserve"> </w:t>
      </w:r>
      <w:r>
        <w:rPr>
          <w:lang w:val="en-AU"/>
        </w:rPr>
        <w:t>MLCBI Article 20(1)(b).</w:t>
      </w:r>
    </w:p>
  </w:footnote>
  <w:footnote w:id="15">
    <w:p w14:paraId="3B19FB69" w14:textId="70BF4363" w:rsidR="00722325" w:rsidRPr="00722325" w:rsidRDefault="00722325">
      <w:pPr>
        <w:pStyle w:val="FootnoteText"/>
        <w:rPr>
          <w:lang w:val="en-AU"/>
        </w:rPr>
      </w:pPr>
      <w:r>
        <w:rPr>
          <w:rStyle w:val="FootnoteReference"/>
        </w:rPr>
        <w:footnoteRef/>
      </w:r>
      <w:r>
        <w:t xml:space="preserve"> </w:t>
      </w:r>
      <w:r>
        <w:rPr>
          <w:lang w:val="en-AU"/>
        </w:rPr>
        <w:t>MLCBI Article 20(1)(c).</w:t>
      </w:r>
    </w:p>
  </w:footnote>
  <w:footnote w:id="16">
    <w:p w14:paraId="2346F381" w14:textId="2E235891" w:rsidR="00722325" w:rsidRPr="00722325" w:rsidRDefault="00722325" w:rsidP="00722325">
      <w:pPr>
        <w:pStyle w:val="FootnoteText"/>
        <w:rPr>
          <w:lang w:val="en-AU"/>
        </w:rPr>
      </w:pPr>
      <w:r>
        <w:rPr>
          <w:rStyle w:val="FootnoteReference"/>
        </w:rPr>
        <w:footnoteRef/>
      </w:r>
      <w:r>
        <w:t xml:space="preserve"> </w:t>
      </w:r>
      <w:r>
        <w:rPr>
          <w:lang w:val="en-AU"/>
        </w:rPr>
        <w:t>MLCBI Article 21(1)(a).</w:t>
      </w:r>
    </w:p>
  </w:footnote>
  <w:footnote w:id="17">
    <w:p w14:paraId="73F850E9" w14:textId="0F0D9BE9" w:rsidR="00722325" w:rsidRPr="00722325" w:rsidRDefault="00722325" w:rsidP="00722325">
      <w:pPr>
        <w:pStyle w:val="FootnoteText"/>
        <w:rPr>
          <w:lang w:val="en-AU"/>
        </w:rPr>
      </w:pPr>
      <w:r>
        <w:rPr>
          <w:rStyle w:val="FootnoteReference"/>
        </w:rPr>
        <w:footnoteRef/>
      </w:r>
      <w:r>
        <w:t xml:space="preserve"> </w:t>
      </w:r>
      <w:r>
        <w:rPr>
          <w:lang w:val="en-AU"/>
        </w:rPr>
        <w:t>MLCBI Article 21(1)(b).</w:t>
      </w:r>
    </w:p>
  </w:footnote>
  <w:footnote w:id="18">
    <w:p w14:paraId="1844EB90" w14:textId="0DB35E2A" w:rsidR="00722325" w:rsidRPr="00722325" w:rsidRDefault="00722325" w:rsidP="00722325">
      <w:pPr>
        <w:pStyle w:val="FootnoteText"/>
        <w:rPr>
          <w:lang w:val="en-AU"/>
        </w:rPr>
      </w:pPr>
      <w:r>
        <w:rPr>
          <w:rStyle w:val="FootnoteReference"/>
        </w:rPr>
        <w:footnoteRef/>
      </w:r>
      <w:r>
        <w:t xml:space="preserve"> </w:t>
      </w:r>
      <w:r>
        <w:rPr>
          <w:lang w:val="en-AU"/>
        </w:rPr>
        <w:t>MLCBI Article 21(1)(c).</w:t>
      </w:r>
    </w:p>
  </w:footnote>
  <w:footnote w:id="19">
    <w:p w14:paraId="33D5E082" w14:textId="4231CC68" w:rsidR="00722325" w:rsidRPr="00722325" w:rsidRDefault="00722325">
      <w:pPr>
        <w:pStyle w:val="FootnoteText"/>
        <w:rPr>
          <w:lang w:val="en-AU"/>
        </w:rPr>
      </w:pPr>
      <w:r>
        <w:rPr>
          <w:rStyle w:val="FootnoteReference"/>
        </w:rPr>
        <w:footnoteRef/>
      </w:r>
      <w:r>
        <w:t xml:space="preserve"> </w:t>
      </w:r>
      <w:r>
        <w:rPr>
          <w:lang w:val="en-AU"/>
        </w:rPr>
        <w:t>MLCBI Article 21(1)(</w:t>
      </w:r>
      <w:r w:rsidR="009F2E1B">
        <w:rPr>
          <w:lang w:val="en-AU"/>
        </w:rPr>
        <w:t>e</w:t>
      </w:r>
      <w:r>
        <w:rPr>
          <w:lang w:val="en-AU"/>
        </w:rPr>
        <w:t>).</w:t>
      </w:r>
    </w:p>
  </w:footnote>
  <w:footnote w:id="20">
    <w:p w14:paraId="493190A1" w14:textId="1B3BBC75" w:rsidR="00722325" w:rsidRPr="00A27EE3" w:rsidRDefault="00722325" w:rsidP="00722325">
      <w:pPr>
        <w:pStyle w:val="FootnoteText"/>
        <w:rPr>
          <w:lang w:val="en-AU"/>
        </w:rPr>
      </w:pPr>
      <w:r>
        <w:rPr>
          <w:rStyle w:val="FootnoteReference"/>
        </w:rPr>
        <w:footnoteRef/>
      </w:r>
      <w:r>
        <w:t xml:space="preserve"> </w:t>
      </w:r>
      <w:r>
        <w:rPr>
          <w:lang w:val="en-AU"/>
        </w:rPr>
        <w:t>MLCBI Article 21(1)(g).</w:t>
      </w:r>
    </w:p>
  </w:footnote>
  <w:footnote w:id="21">
    <w:p w14:paraId="561007C0" w14:textId="7113640A" w:rsidR="009F2E1B" w:rsidRPr="009F2E1B" w:rsidRDefault="009F2E1B">
      <w:pPr>
        <w:pStyle w:val="FootnoteText"/>
        <w:rPr>
          <w:lang w:val="en-AU"/>
        </w:rPr>
      </w:pPr>
      <w:r>
        <w:rPr>
          <w:rStyle w:val="FootnoteReference"/>
        </w:rPr>
        <w:footnoteRef/>
      </w:r>
      <w:r>
        <w:t xml:space="preserve"> </w:t>
      </w:r>
      <w:r>
        <w:rPr>
          <w:lang w:val="en-AU"/>
        </w:rPr>
        <w:t>MLCBI Article 21(1)(f).</w:t>
      </w:r>
    </w:p>
  </w:footnote>
  <w:footnote w:id="22">
    <w:p w14:paraId="16C4F432" w14:textId="55151ADA" w:rsidR="009F2E1B" w:rsidRPr="009F2E1B" w:rsidRDefault="009F2E1B">
      <w:pPr>
        <w:pStyle w:val="FootnoteText"/>
        <w:rPr>
          <w:lang w:val="en-AU"/>
        </w:rPr>
      </w:pPr>
      <w:r>
        <w:rPr>
          <w:rStyle w:val="FootnoteReference"/>
        </w:rPr>
        <w:footnoteRef/>
      </w:r>
      <w:r>
        <w:t xml:space="preserve"> </w:t>
      </w:r>
      <w:r>
        <w:rPr>
          <w:lang w:val="en-AU"/>
        </w:rPr>
        <w:t>MLCBI Article 21(3).</w:t>
      </w:r>
    </w:p>
  </w:footnote>
  <w:footnote w:id="23">
    <w:p w14:paraId="39DD9DBC" w14:textId="749F18FD" w:rsidR="009F2E1B" w:rsidRPr="009F2E1B" w:rsidRDefault="009F2E1B">
      <w:pPr>
        <w:pStyle w:val="FootnoteText"/>
        <w:rPr>
          <w:lang w:val="en-AU"/>
        </w:rPr>
      </w:pPr>
      <w:r>
        <w:rPr>
          <w:rStyle w:val="FootnoteReference"/>
        </w:rPr>
        <w:footnoteRef/>
      </w:r>
      <w:r>
        <w:t xml:space="preserve"> </w:t>
      </w:r>
      <w:r>
        <w:rPr>
          <w:lang w:val="en-AU"/>
        </w:rPr>
        <w:t>MLCBI Article 21(2).</w:t>
      </w:r>
    </w:p>
  </w:footnote>
  <w:footnote w:id="24">
    <w:p w14:paraId="2CA8AAEA" w14:textId="02AB33AC"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bookmarkStart w:id="5" w:name="_Hlk1561979"/>
      <w:r w:rsidR="007B3AC7">
        <w:rPr>
          <w:rFonts w:ascii="Arial" w:hAnsi="Arial" w:cs="Arial"/>
          <w:sz w:val="18"/>
          <w:szCs w:val="18"/>
        </w:rPr>
        <w:tab/>
      </w:r>
      <w:r w:rsidRPr="008E549B">
        <w:rPr>
          <w:rFonts w:ascii="Arial" w:hAnsi="Arial" w:cs="Arial"/>
          <w:sz w:val="18"/>
          <w:szCs w:val="18"/>
        </w:rPr>
        <w:t xml:space="preserve">Cayman Islands </w:t>
      </w:r>
      <w:r w:rsidRPr="008E549B">
        <w:rPr>
          <w:rFonts w:ascii="Arial" w:hAnsi="Arial" w:cs="Arial"/>
          <w:sz w:val="18"/>
          <w:szCs w:val="18"/>
          <w:lang w:val="en-GB"/>
        </w:rPr>
        <w:t>has not implemented the Model Law.</w:t>
      </w:r>
    </w:p>
    <w:bookmarkEnd w:id="5"/>
  </w:footnote>
  <w:footnote w:id="25">
    <w:p w14:paraId="5DB190D2" w14:textId="6E9AD217"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The UK has</w:t>
      </w:r>
      <w:r w:rsidRPr="008E549B">
        <w:rPr>
          <w:rFonts w:ascii="Arial" w:hAnsi="Arial" w:cs="Arial"/>
          <w:sz w:val="18"/>
          <w:szCs w:val="18"/>
          <w:lang w:val="en-GB"/>
        </w:rPr>
        <w:t xml:space="preserve"> 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UK has implemented the Model Law without any relevant changes to it.</w:t>
      </w:r>
    </w:p>
  </w:footnote>
  <w:footnote w:id="26">
    <w:p w14:paraId="000DC2E0" w14:textId="5A0FC83A" w:rsidR="0047025B" w:rsidRPr="008E549B" w:rsidRDefault="0047025B"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rPr>
        <w:t xml:space="preserve">The US have </w:t>
      </w:r>
      <w:r w:rsidRPr="008E549B">
        <w:rPr>
          <w:rFonts w:ascii="Arial" w:hAnsi="Arial" w:cs="Arial"/>
          <w:sz w:val="18"/>
          <w:szCs w:val="18"/>
          <w:lang w:val="en-GB"/>
        </w:rPr>
        <w:t xml:space="preserve">implemented the Model Law and for the purpose of this </w:t>
      </w:r>
      <w:r w:rsidR="007B3AC7">
        <w:rPr>
          <w:rFonts w:ascii="Arial" w:hAnsi="Arial" w:cs="Arial"/>
          <w:sz w:val="18"/>
          <w:szCs w:val="18"/>
          <w:lang w:val="en-GB"/>
        </w:rPr>
        <w:t>q</w:t>
      </w:r>
      <w:r w:rsidRPr="008E549B">
        <w:rPr>
          <w:rFonts w:ascii="Arial" w:hAnsi="Arial" w:cs="Arial"/>
          <w:sz w:val="18"/>
          <w:szCs w:val="18"/>
          <w:lang w:val="en-GB"/>
        </w:rPr>
        <w:t>uestion it should be assumed that the US have implemented the Model Law without any relevant changes to it.</w:t>
      </w:r>
    </w:p>
  </w:footnote>
  <w:footnote w:id="27">
    <w:p w14:paraId="0493B823" w14:textId="3783AF4B" w:rsidR="00F7241A" w:rsidRPr="008E549B" w:rsidRDefault="00F7241A" w:rsidP="008E549B">
      <w:pPr>
        <w:pStyle w:val="FootnoteText"/>
        <w:ind w:left="284" w:hanging="284"/>
        <w:rPr>
          <w:rFonts w:ascii="Arial" w:hAnsi="Arial" w:cs="Arial"/>
          <w:sz w:val="18"/>
          <w:szCs w:val="18"/>
          <w:lang w:val="en-GB"/>
        </w:rPr>
      </w:pPr>
      <w:r w:rsidRPr="008E549B">
        <w:rPr>
          <w:rStyle w:val="FootnoteReference"/>
          <w:rFonts w:ascii="Arial" w:hAnsi="Arial" w:cs="Arial"/>
          <w:sz w:val="18"/>
          <w:szCs w:val="18"/>
        </w:rPr>
        <w:footnoteRef/>
      </w:r>
      <w:r w:rsidRPr="008E549B">
        <w:rPr>
          <w:rFonts w:ascii="Arial" w:hAnsi="Arial" w:cs="Arial"/>
          <w:sz w:val="18"/>
          <w:szCs w:val="18"/>
        </w:rPr>
        <w:t xml:space="preserve"> </w:t>
      </w:r>
      <w:r w:rsidR="007B3AC7">
        <w:rPr>
          <w:rFonts w:ascii="Arial" w:hAnsi="Arial" w:cs="Arial"/>
          <w:sz w:val="18"/>
          <w:szCs w:val="18"/>
        </w:rPr>
        <w:tab/>
      </w:r>
      <w:r w:rsidRPr="008E549B">
        <w:rPr>
          <w:rFonts w:ascii="Arial" w:hAnsi="Arial" w:cs="Arial"/>
          <w:sz w:val="18"/>
          <w:szCs w:val="18"/>
          <w:lang w:val="en-GB"/>
        </w:rPr>
        <w:t>Brazil and Nigeria have not implemented the Model Law.</w:t>
      </w:r>
    </w:p>
  </w:footnote>
  <w:footnote w:id="28">
    <w:p w14:paraId="32C71036" w14:textId="50C1D501" w:rsidR="00587461" w:rsidRPr="00E069C4" w:rsidRDefault="00587461" w:rsidP="00E069C4">
      <w:pPr>
        <w:pStyle w:val="FootnoteText"/>
        <w:ind w:left="284" w:hanging="284"/>
        <w:jc w:val="both"/>
        <w:rPr>
          <w:rFonts w:ascii="Arial" w:hAnsi="Arial" w:cs="Arial"/>
          <w:sz w:val="18"/>
          <w:szCs w:val="18"/>
          <w:lang w:val="en-GB"/>
        </w:rPr>
      </w:pPr>
      <w:r w:rsidRPr="00E069C4">
        <w:rPr>
          <w:rStyle w:val="FootnoteReference"/>
          <w:rFonts w:ascii="Arial" w:hAnsi="Arial" w:cs="Arial"/>
          <w:sz w:val="18"/>
          <w:szCs w:val="18"/>
        </w:rPr>
        <w:footnoteRef/>
      </w:r>
      <w:r w:rsidRPr="00E069C4">
        <w:rPr>
          <w:rFonts w:ascii="Arial" w:hAnsi="Arial" w:cs="Arial"/>
          <w:sz w:val="18"/>
          <w:szCs w:val="18"/>
        </w:rPr>
        <w:t xml:space="preserve"> </w:t>
      </w:r>
      <w:r w:rsidR="00E069C4">
        <w:rPr>
          <w:rFonts w:ascii="Arial" w:hAnsi="Arial" w:cs="Arial"/>
          <w:sz w:val="18"/>
          <w:szCs w:val="18"/>
        </w:rPr>
        <w:tab/>
      </w:r>
      <w:r w:rsidRPr="00E069C4">
        <w:rPr>
          <w:rFonts w:ascii="Arial" w:hAnsi="Arial" w:cs="Arial"/>
          <w:sz w:val="18"/>
          <w:szCs w:val="18"/>
          <w:lang w:val="en-GB"/>
        </w:rPr>
        <w:t xml:space="preserve">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10D7" w14:textId="77777777" w:rsidR="000A5EEC" w:rsidRDefault="000A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3F56" w14:textId="77777777" w:rsidR="000A5EEC" w:rsidRDefault="000A5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F2C" w14:textId="77777777" w:rsidR="000A5EEC" w:rsidRDefault="000A5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255BB"/>
    <w:multiLevelType w:val="hybridMultilevel"/>
    <w:tmpl w:val="5972D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F35EF5"/>
    <w:multiLevelType w:val="hybridMultilevel"/>
    <w:tmpl w:val="4662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29697E"/>
    <w:multiLevelType w:val="hybridMultilevel"/>
    <w:tmpl w:val="9E5CD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63DA9"/>
    <w:multiLevelType w:val="hybridMultilevel"/>
    <w:tmpl w:val="5A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33E95"/>
    <w:multiLevelType w:val="hybridMultilevel"/>
    <w:tmpl w:val="3D50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21"/>
  </w:num>
  <w:num w:numId="4">
    <w:abstractNumId w:val="29"/>
  </w:num>
  <w:num w:numId="5">
    <w:abstractNumId w:val="4"/>
  </w:num>
  <w:num w:numId="6">
    <w:abstractNumId w:val="27"/>
  </w:num>
  <w:num w:numId="7">
    <w:abstractNumId w:val="12"/>
  </w:num>
  <w:num w:numId="8">
    <w:abstractNumId w:val="23"/>
  </w:num>
  <w:num w:numId="9">
    <w:abstractNumId w:val="13"/>
  </w:num>
  <w:num w:numId="10">
    <w:abstractNumId w:val="8"/>
  </w:num>
  <w:num w:numId="11">
    <w:abstractNumId w:val="14"/>
  </w:num>
  <w:num w:numId="12">
    <w:abstractNumId w:val="26"/>
  </w:num>
  <w:num w:numId="13">
    <w:abstractNumId w:val="2"/>
  </w:num>
  <w:num w:numId="14">
    <w:abstractNumId w:val="20"/>
  </w:num>
  <w:num w:numId="15">
    <w:abstractNumId w:val="9"/>
  </w:num>
  <w:num w:numId="16">
    <w:abstractNumId w:val="10"/>
  </w:num>
  <w:num w:numId="17">
    <w:abstractNumId w:val="16"/>
  </w:num>
  <w:num w:numId="18">
    <w:abstractNumId w:val="3"/>
  </w:num>
  <w:num w:numId="19">
    <w:abstractNumId w:val="15"/>
  </w:num>
  <w:num w:numId="20">
    <w:abstractNumId w:val="33"/>
  </w:num>
  <w:num w:numId="21">
    <w:abstractNumId w:val="11"/>
  </w:num>
  <w:num w:numId="22">
    <w:abstractNumId w:val="25"/>
  </w:num>
  <w:num w:numId="23">
    <w:abstractNumId w:val="31"/>
  </w:num>
  <w:num w:numId="24">
    <w:abstractNumId w:val="24"/>
  </w:num>
  <w:num w:numId="25">
    <w:abstractNumId w:val="19"/>
  </w:num>
  <w:num w:numId="26">
    <w:abstractNumId w:val="32"/>
  </w:num>
  <w:num w:numId="27">
    <w:abstractNumId w:val="28"/>
  </w:num>
  <w:num w:numId="28">
    <w:abstractNumId w:val="5"/>
  </w:num>
  <w:num w:numId="29">
    <w:abstractNumId w:val="6"/>
  </w:num>
  <w:num w:numId="30">
    <w:abstractNumId w:val="17"/>
  </w:num>
  <w:num w:numId="31">
    <w:abstractNumId w:val="30"/>
  </w:num>
  <w:num w:numId="32">
    <w:abstractNumId w:val="18"/>
  </w:num>
  <w:num w:numId="33">
    <w:abstractNumId w:val="7"/>
  </w:num>
  <w:num w:numId="34">
    <w:abstractNumId w:val="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2A1"/>
    <w:rsid w:val="000250C7"/>
    <w:rsid w:val="00025CCF"/>
    <w:rsid w:val="0003114A"/>
    <w:rsid w:val="00037621"/>
    <w:rsid w:val="00044D46"/>
    <w:rsid w:val="00045088"/>
    <w:rsid w:val="00045904"/>
    <w:rsid w:val="000464F7"/>
    <w:rsid w:val="0005141D"/>
    <w:rsid w:val="00064DBE"/>
    <w:rsid w:val="00065166"/>
    <w:rsid w:val="00067A88"/>
    <w:rsid w:val="000711C9"/>
    <w:rsid w:val="00073474"/>
    <w:rsid w:val="00077D49"/>
    <w:rsid w:val="00082609"/>
    <w:rsid w:val="000851CC"/>
    <w:rsid w:val="00092E2D"/>
    <w:rsid w:val="00093BE8"/>
    <w:rsid w:val="000947AB"/>
    <w:rsid w:val="000A5EEC"/>
    <w:rsid w:val="000A68ED"/>
    <w:rsid w:val="000B4FEB"/>
    <w:rsid w:val="000B5FF1"/>
    <w:rsid w:val="000B609F"/>
    <w:rsid w:val="000C147F"/>
    <w:rsid w:val="000C6BB9"/>
    <w:rsid w:val="000D55A8"/>
    <w:rsid w:val="000E4841"/>
    <w:rsid w:val="000E6325"/>
    <w:rsid w:val="000F1677"/>
    <w:rsid w:val="000F3D6C"/>
    <w:rsid w:val="00101707"/>
    <w:rsid w:val="00103A92"/>
    <w:rsid w:val="00114082"/>
    <w:rsid w:val="0011473D"/>
    <w:rsid w:val="001152ED"/>
    <w:rsid w:val="00115C85"/>
    <w:rsid w:val="00123855"/>
    <w:rsid w:val="00126A4D"/>
    <w:rsid w:val="001322DE"/>
    <w:rsid w:val="00136F86"/>
    <w:rsid w:val="00140E0A"/>
    <w:rsid w:val="0014171F"/>
    <w:rsid w:val="0014622C"/>
    <w:rsid w:val="00151F58"/>
    <w:rsid w:val="00152348"/>
    <w:rsid w:val="0015456D"/>
    <w:rsid w:val="00155FA2"/>
    <w:rsid w:val="001578CB"/>
    <w:rsid w:val="00161F1B"/>
    <w:rsid w:val="00162829"/>
    <w:rsid w:val="00167C32"/>
    <w:rsid w:val="00174934"/>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2133"/>
    <w:rsid w:val="0020725B"/>
    <w:rsid w:val="002175BA"/>
    <w:rsid w:val="002305E8"/>
    <w:rsid w:val="0023198D"/>
    <w:rsid w:val="0023317E"/>
    <w:rsid w:val="00234F2C"/>
    <w:rsid w:val="00240B0E"/>
    <w:rsid w:val="0024116D"/>
    <w:rsid w:val="00241B44"/>
    <w:rsid w:val="00245EFB"/>
    <w:rsid w:val="0025386E"/>
    <w:rsid w:val="002638B0"/>
    <w:rsid w:val="00264FFF"/>
    <w:rsid w:val="002650D7"/>
    <w:rsid w:val="0026647A"/>
    <w:rsid w:val="002668D3"/>
    <w:rsid w:val="002675BE"/>
    <w:rsid w:val="0027299F"/>
    <w:rsid w:val="00276913"/>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70F"/>
    <w:rsid w:val="003B3C5F"/>
    <w:rsid w:val="003C4471"/>
    <w:rsid w:val="003C66B1"/>
    <w:rsid w:val="003D0A6D"/>
    <w:rsid w:val="003E0B16"/>
    <w:rsid w:val="003E67D1"/>
    <w:rsid w:val="003F0EBA"/>
    <w:rsid w:val="00405DC1"/>
    <w:rsid w:val="0041139B"/>
    <w:rsid w:val="00415F1F"/>
    <w:rsid w:val="0042108F"/>
    <w:rsid w:val="00421AEE"/>
    <w:rsid w:val="00422242"/>
    <w:rsid w:val="00430FED"/>
    <w:rsid w:val="00432390"/>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02C8"/>
    <w:rsid w:val="004D1A5A"/>
    <w:rsid w:val="004D2FFF"/>
    <w:rsid w:val="004D3721"/>
    <w:rsid w:val="004D64F9"/>
    <w:rsid w:val="004E0549"/>
    <w:rsid w:val="004E2E92"/>
    <w:rsid w:val="004E30B0"/>
    <w:rsid w:val="004E622C"/>
    <w:rsid w:val="004F5FDF"/>
    <w:rsid w:val="0050157D"/>
    <w:rsid w:val="00506803"/>
    <w:rsid w:val="005177FE"/>
    <w:rsid w:val="00520D1A"/>
    <w:rsid w:val="0052263B"/>
    <w:rsid w:val="00524728"/>
    <w:rsid w:val="00530003"/>
    <w:rsid w:val="005331CA"/>
    <w:rsid w:val="0053353F"/>
    <w:rsid w:val="00537970"/>
    <w:rsid w:val="00540E3A"/>
    <w:rsid w:val="00544127"/>
    <w:rsid w:val="00544273"/>
    <w:rsid w:val="005463A9"/>
    <w:rsid w:val="00553EB2"/>
    <w:rsid w:val="00560534"/>
    <w:rsid w:val="0056391B"/>
    <w:rsid w:val="005650E2"/>
    <w:rsid w:val="00565292"/>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4B5E"/>
    <w:rsid w:val="00627CC9"/>
    <w:rsid w:val="00627E7B"/>
    <w:rsid w:val="00630542"/>
    <w:rsid w:val="00632E44"/>
    <w:rsid w:val="00634622"/>
    <w:rsid w:val="00636808"/>
    <w:rsid w:val="00641002"/>
    <w:rsid w:val="00641515"/>
    <w:rsid w:val="00651AE3"/>
    <w:rsid w:val="00654C2F"/>
    <w:rsid w:val="00657087"/>
    <w:rsid w:val="006661EF"/>
    <w:rsid w:val="006703B1"/>
    <w:rsid w:val="0067294B"/>
    <w:rsid w:val="0067479D"/>
    <w:rsid w:val="00677736"/>
    <w:rsid w:val="00677AEB"/>
    <w:rsid w:val="00680EF2"/>
    <w:rsid w:val="006839C2"/>
    <w:rsid w:val="00687A1D"/>
    <w:rsid w:val="006920CC"/>
    <w:rsid w:val="00697EA1"/>
    <w:rsid w:val="006A1850"/>
    <w:rsid w:val="006A2646"/>
    <w:rsid w:val="006A6530"/>
    <w:rsid w:val="006B435A"/>
    <w:rsid w:val="006B4C64"/>
    <w:rsid w:val="006D6BD5"/>
    <w:rsid w:val="006E481A"/>
    <w:rsid w:val="006E5298"/>
    <w:rsid w:val="006F1B46"/>
    <w:rsid w:val="006F2CE3"/>
    <w:rsid w:val="006F734A"/>
    <w:rsid w:val="00700D83"/>
    <w:rsid w:val="00704852"/>
    <w:rsid w:val="00706297"/>
    <w:rsid w:val="00706AD5"/>
    <w:rsid w:val="007074E9"/>
    <w:rsid w:val="00707FC8"/>
    <w:rsid w:val="00713DA4"/>
    <w:rsid w:val="00714BF1"/>
    <w:rsid w:val="00721383"/>
    <w:rsid w:val="00722325"/>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B6034"/>
    <w:rsid w:val="007B73BC"/>
    <w:rsid w:val="007C1FCC"/>
    <w:rsid w:val="007C32A8"/>
    <w:rsid w:val="007C6201"/>
    <w:rsid w:val="007C6988"/>
    <w:rsid w:val="007D28A1"/>
    <w:rsid w:val="007D7C92"/>
    <w:rsid w:val="007E1154"/>
    <w:rsid w:val="007E6BA4"/>
    <w:rsid w:val="007E7678"/>
    <w:rsid w:val="007F41F8"/>
    <w:rsid w:val="0080454E"/>
    <w:rsid w:val="00804C32"/>
    <w:rsid w:val="00806302"/>
    <w:rsid w:val="00807119"/>
    <w:rsid w:val="00817D57"/>
    <w:rsid w:val="00822764"/>
    <w:rsid w:val="0082483F"/>
    <w:rsid w:val="008264CB"/>
    <w:rsid w:val="008279C0"/>
    <w:rsid w:val="00835FD1"/>
    <w:rsid w:val="0084683C"/>
    <w:rsid w:val="00852DDF"/>
    <w:rsid w:val="00853A74"/>
    <w:rsid w:val="008723F3"/>
    <w:rsid w:val="00881DE6"/>
    <w:rsid w:val="008837A6"/>
    <w:rsid w:val="0089145D"/>
    <w:rsid w:val="008A0C6E"/>
    <w:rsid w:val="008A4DF2"/>
    <w:rsid w:val="008A6CFE"/>
    <w:rsid w:val="008B1A08"/>
    <w:rsid w:val="008B2DE3"/>
    <w:rsid w:val="008B5333"/>
    <w:rsid w:val="008B6223"/>
    <w:rsid w:val="008C66E0"/>
    <w:rsid w:val="008E3339"/>
    <w:rsid w:val="008E549B"/>
    <w:rsid w:val="008F18EF"/>
    <w:rsid w:val="008F20FC"/>
    <w:rsid w:val="008F5FFE"/>
    <w:rsid w:val="0090421A"/>
    <w:rsid w:val="00905A43"/>
    <w:rsid w:val="00912C79"/>
    <w:rsid w:val="009260A2"/>
    <w:rsid w:val="00942123"/>
    <w:rsid w:val="0095207B"/>
    <w:rsid w:val="00962045"/>
    <w:rsid w:val="00967EDA"/>
    <w:rsid w:val="00970897"/>
    <w:rsid w:val="00971518"/>
    <w:rsid w:val="00991428"/>
    <w:rsid w:val="00992676"/>
    <w:rsid w:val="00996691"/>
    <w:rsid w:val="009A4880"/>
    <w:rsid w:val="009A7865"/>
    <w:rsid w:val="009B0723"/>
    <w:rsid w:val="009B07AD"/>
    <w:rsid w:val="009B0883"/>
    <w:rsid w:val="009B15E2"/>
    <w:rsid w:val="009B6312"/>
    <w:rsid w:val="009C0850"/>
    <w:rsid w:val="009C0B8E"/>
    <w:rsid w:val="009C1BC8"/>
    <w:rsid w:val="009C2442"/>
    <w:rsid w:val="009D0811"/>
    <w:rsid w:val="009D0EE1"/>
    <w:rsid w:val="009D30BB"/>
    <w:rsid w:val="009D7353"/>
    <w:rsid w:val="009E2AEB"/>
    <w:rsid w:val="009E2E27"/>
    <w:rsid w:val="009E4DE3"/>
    <w:rsid w:val="009F2E1B"/>
    <w:rsid w:val="009F48FC"/>
    <w:rsid w:val="009F5110"/>
    <w:rsid w:val="00A047EE"/>
    <w:rsid w:val="00A114EA"/>
    <w:rsid w:val="00A153F7"/>
    <w:rsid w:val="00A2274A"/>
    <w:rsid w:val="00A235B7"/>
    <w:rsid w:val="00A27A7A"/>
    <w:rsid w:val="00A27EE3"/>
    <w:rsid w:val="00A3147B"/>
    <w:rsid w:val="00A407EF"/>
    <w:rsid w:val="00A46B4C"/>
    <w:rsid w:val="00A5117B"/>
    <w:rsid w:val="00A54689"/>
    <w:rsid w:val="00A60074"/>
    <w:rsid w:val="00A6627C"/>
    <w:rsid w:val="00A71019"/>
    <w:rsid w:val="00A81029"/>
    <w:rsid w:val="00A83CB5"/>
    <w:rsid w:val="00A96489"/>
    <w:rsid w:val="00AA3A42"/>
    <w:rsid w:val="00AA5311"/>
    <w:rsid w:val="00AB0CD9"/>
    <w:rsid w:val="00AB685C"/>
    <w:rsid w:val="00AB6C2D"/>
    <w:rsid w:val="00AC08F7"/>
    <w:rsid w:val="00AC3839"/>
    <w:rsid w:val="00AC7082"/>
    <w:rsid w:val="00AD3FEA"/>
    <w:rsid w:val="00AD7BBD"/>
    <w:rsid w:val="00AF228E"/>
    <w:rsid w:val="00B001A8"/>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D2A69"/>
    <w:rsid w:val="00BE46F2"/>
    <w:rsid w:val="00BF50F7"/>
    <w:rsid w:val="00C02F29"/>
    <w:rsid w:val="00C10C13"/>
    <w:rsid w:val="00C1467C"/>
    <w:rsid w:val="00C17111"/>
    <w:rsid w:val="00C20747"/>
    <w:rsid w:val="00C20AFE"/>
    <w:rsid w:val="00C22A25"/>
    <w:rsid w:val="00C23B79"/>
    <w:rsid w:val="00C27E75"/>
    <w:rsid w:val="00C35671"/>
    <w:rsid w:val="00C35B77"/>
    <w:rsid w:val="00C376EB"/>
    <w:rsid w:val="00C4003A"/>
    <w:rsid w:val="00C46EC1"/>
    <w:rsid w:val="00C504E5"/>
    <w:rsid w:val="00C53E2C"/>
    <w:rsid w:val="00C550C8"/>
    <w:rsid w:val="00C56B61"/>
    <w:rsid w:val="00C606C3"/>
    <w:rsid w:val="00C620F4"/>
    <w:rsid w:val="00C67ECE"/>
    <w:rsid w:val="00C72848"/>
    <w:rsid w:val="00C7736C"/>
    <w:rsid w:val="00C7768D"/>
    <w:rsid w:val="00C82D87"/>
    <w:rsid w:val="00C83310"/>
    <w:rsid w:val="00C841ED"/>
    <w:rsid w:val="00C85F17"/>
    <w:rsid w:val="00C8712A"/>
    <w:rsid w:val="00C963D3"/>
    <w:rsid w:val="00CA6E0D"/>
    <w:rsid w:val="00CB2CBB"/>
    <w:rsid w:val="00CB7CAC"/>
    <w:rsid w:val="00CC0EA0"/>
    <w:rsid w:val="00CC5335"/>
    <w:rsid w:val="00CC5BA4"/>
    <w:rsid w:val="00CC70BB"/>
    <w:rsid w:val="00CD4998"/>
    <w:rsid w:val="00CE1035"/>
    <w:rsid w:val="00CF2819"/>
    <w:rsid w:val="00CF45E3"/>
    <w:rsid w:val="00CF4F9D"/>
    <w:rsid w:val="00CF70DC"/>
    <w:rsid w:val="00D148DC"/>
    <w:rsid w:val="00D17FDC"/>
    <w:rsid w:val="00D444C5"/>
    <w:rsid w:val="00D45AEA"/>
    <w:rsid w:val="00D511A8"/>
    <w:rsid w:val="00D5420E"/>
    <w:rsid w:val="00D56A37"/>
    <w:rsid w:val="00D63EFD"/>
    <w:rsid w:val="00D64826"/>
    <w:rsid w:val="00D739E9"/>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0A50"/>
    <w:rsid w:val="00DD2E11"/>
    <w:rsid w:val="00DE03AF"/>
    <w:rsid w:val="00DE121C"/>
    <w:rsid w:val="00DE2A27"/>
    <w:rsid w:val="00DE3705"/>
    <w:rsid w:val="00DE6633"/>
    <w:rsid w:val="00DF0293"/>
    <w:rsid w:val="00DF75F8"/>
    <w:rsid w:val="00DF7A3A"/>
    <w:rsid w:val="00E00C00"/>
    <w:rsid w:val="00E04A7C"/>
    <w:rsid w:val="00E069C4"/>
    <w:rsid w:val="00E07275"/>
    <w:rsid w:val="00E07866"/>
    <w:rsid w:val="00E07C5A"/>
    <w:rsid w:val="00E10922"/>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8614F"/>
    <w:rsid w:val="00E909F0"/>
    <w:rsid w:val="00E90D47"/>
    <w:rsid w:val="00E93993"/>
    <w:rsid w:val="00E9597C"/>
    <w:rsid w:val="00EA0913"/>
    <w:rsid w:val="00EA0A2F"/>
    <w:rsid w:val="00EA5AA3"/>
    <w:rsid w:val="00EB146B"/>
    <w:rsid w:val="00EB45AC"/>
    <w:rsid w:val="00EC2AEA"/>
    <w:rsid w:val="00EC7B11"/>
    <w:rsid w:val="00ED0BC4"/>
    <w:rsid w:val="00ED3771"/>
    <w:rsid w:val="00ED6A32"/>
    <w:rsid w:val="00EE3009"/>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6AFF"/>
    <w:rsid w:val="00F71433"/>
    <w:rsid w:val="00F7241A"/>
    <w:rsid w:val="00F83E76"/>
    <w:rsid w:val="00F85A05"/>
    <w:rsid w:val="00F90A57"/>
    <w:rsid w:val="00F97C5B"/>
    <w:rsid w:val="00FA359A"/>
    <w:rsid w:val="00FA3D50"/>
    <w:rsid w:val="00FB009F"/>
    <w:rsid w:val="00FB25B0"/>
    <w:rsid w:val="00FB6136"/>
    <w:rsid w:val="00FC374A"/>
    <w:rsid w:val="00FC7B47"/>
    <w:rsid w:val="00FD035C"/>
    <w:rsid w:val="00FD1A35"/>
    <w:rsid w:val="00FD1FE6"/>
    <w:rsid w:val="00FD36C5"/>
    <w:rsid w:val="00FD3AE3"/>
    <w:rsid w:val="00FD428C"/>
    <w:rsid w:val="00FD6310"/>
    <w:rsid w:val="00FD7C7B"/>
    <w:rsid w:val="00FE1D12"/>
    <w:rsid w:val="00FE2122"/>
    <w:rsid w:val="00FE2A86"/>
    <w:rsid w:val="00FE593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BE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3265024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255741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pdf/english/news/EleventhJ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Ware</cp:lastModifiedBy>
  <cp:revision>15</cp:revision>
  <cp:lastPrinted>2019-08-27T05:42:00Z</cp:lastPrinted>
  <dcterms:created xsi:type="dcterms:W3CDTF">2021-07-26T22:29:00Z</dcterms:created>
  <dcterms:modified xsi:type="dcterms:W3CDTF">2021-07-28T12:09:00Z</dcterms:modified>
</cp:coreProperties>
</file>