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IN" w:eastAsia="en-IN"/>
        </w:rPr>
        <w:drawing>
          <wp:inline distT="0" distB="0" distL="0" distR="0" wp14:anchorId="1225066C" wp14:editId="317408F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F0E7F3C" w14:textId="348B53C6" w:rsidR="0011473D" w:rsidRDefault="00C56B61"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13BC1813" w14:textId="608D750E" w:rsidR="002638B0" w:rsidRPr="006B503E" w:rsidRDefault="009164DD"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7CA92CEB" w14:textId="77777777" w:rsidR="00510995" w:rsidRPr="00592F82" w:rsidRDefault="00510995" w:rsidP="0051099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012D27AA" w14:textId="77777777" w:rsidR="00510995" w:rsidRPr="00592F82" w:rsidRDefault="00510995" w:rsidP="00510995">
      <w:pPr>
        <w:jc w:val="both"/>
        <w:rPr>
          <w:rFonts w:ascii="Arial" w:hAnsi="Arial" w:cs="Arial"/>
          <w:sz w:val="22"/>
          <w:szCs w:val="22"/>
          <w:lang w:val="en-GB"/>
        </w:rPr>
      </w:pPr>
    </w:p>
    <w:p w14:paraId="3C5754A3" w14:textId="77777777" w:rsidR="00510995" w:rsidRDefault="00510995" w:rsidP="00510995">
      <w:pPr>
        <w:jc w:val="both"/>
        <w:rPr>
          <w:rFonts w:ascii="Arial" w:hAnsi="Arial" w:cs="Arial"/>
          <w:b/>
          <w:sz w:val="22"/>
          <w:szCs w:val="22"/>
          <w:lang w:val="en-GB"/>
        </w:rPr>
      </w:pPr>
    </w:p>
    <w:p w14:paraId="7D56CDAD" w14:textId="77777777" w:rsidR="00510995" w:rsidRPr="001E23FD" w:rsidRDefault="00510995" w:rsidP="005109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1D50B3" w14:textId="77777777" w:rsidR="00510995" w:rsidRPr="001E23FD" w:rsidRDefault="00510995" w:rsidP="00510995">
      <w:pPr>
        <w:jc w:val="both"/>
        <w:rPr>
          <w:rFonts w:ascii="Arial" w:hAnsi="Arial" w:cs="Arial"/>
          <w:b/>
          <w:sz w:val="22"/>
          <w:szCs w:val="22"/>
          <w:lang w:val="en-GB"/>
        </w:rPr>
      </w:pPr>
    </w:p>
    <w:p w14:paraId="2DAD9767" w14:textId="77777777" w:rsidR="00510995" w:rsidRPr="001E23FD" w:rsidRDefault="00510995" w:rsidP="00510995">
      <w:pPr>
        <w:jc w:val="both"/>
        <w:rPr>
          <w:rFonts w:ascii="Arial" w:hAnsi="Arial" w:cs="Arial"/>
          <w:sz w:val="22"/>
          <w:szCs w:val="22"/>
          <w:lang w:val="en-GB"/>
        </w:rPr>
      </w:pPr>
    </w:p>
    <w:p w14:paraId="779622FB"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C8EBD9" w14:textId="77777777" w:rsidR="00510995" w:rsidRPr="001E23FD" w:rsidRDefault="00510995" w:rsidP="00510995">
      <w:pPr>
        <w:ind w:left="720" w:hanging="720"/>
        <w:jc w:val="both"/>
        <w:rPr>
          <w:rFonts w:ascii="Arial" w:hAnsi="Arial" w:cs="Arial"/>
          <w:sz w:val="22"/>
          <w:szCs w:val="22"/>
          <w:lang w:val="en-GB"/>
        </w:rPr>
      </w:pPr>
    </w:p>
    <w:p w14:paraId="180CB6A1"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AC70D50" w14:textId="77777777" w:rsidR="00510995" w:rsidRPr="001E23FD" w:rsidRDefault="00510995" w:rsidP="00510995">
      <w:pPr>
        <w:ind w:left="720" w:hanging="720"/>
        <w:jc w:val="both"/>
        <w:rPr>
          <w:rFonts w:ascii="Arial" w:hAnsi="Arial" w:cs="Arial"/>
          <w:sz w:val="22"/>
          <w:szCs w:val="22"/>
          <w:lang w:val="en-GB"/>
        </w:rPr>
      </w:pPr>
    </w:p>
    <w:p w14:paraId="01569334"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159DCE6" w14:textId="77777777" w:rsidR="00510995" w:rsidRPr="001E23FD" w:rsidRDefault="00510995" w:rsidP="00510995">
      <w:pPr>
        <w:ind w:left="720" w:hanging="720"/>
        <w:jc w:val="both"/>
        <w:rPr>
          <w:rFonts w:ascii="Arial" w:hAnsi="Arial" w:cs="Arial"/>
          <w:sz w:val="22"/>
          <w:szCs w:val="22"/>
          <w:lang w:val="en-GB"/>
        </w:rPr>
      </w:pPr>
    </w:p>
    <w:p w14:paraId="1F7C4770" w14:textId="11AC3929"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FB3E20">
        <w:rPr>
          <w:rFonts w:ascii="Arial" w:hAnsi="Arial" w:cs="Arial"/>
          <w:b/>
          <w:bCs/>
          <w:sz w:val="22"/>
          <w:szCs w:val="22"/>
          <w:lang w:val="en-GB" w:eastAsia="en-GB"/>
        </w:rPr>
        <w:t>7</w:t>
      </w:r>
      <w:r>
        <w:rPr>
          <w:rFonts w:ascii="Arial" w:hAnsi="Arial" w:cs="Arial"/>
          <w:b/>
          <w:bCs/>
          <w:sz w:val="22"/>
          <w:szCs w:val="22"/>
          <w:lang w:val="en-GB" w:eastAsia="en-GB"/>
        </w:rPr>
        <w:t>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DA4D42">
        <w:rPr>
          <w:rFonts w:ascii="Arial" w:hAnsi="Arial" w:cs="Arial"/>
          <w:sz w:val="22"/>
          <w:szCs w:val="22"/>
          <w:lang w:val="en-GB" w:eastAsia="en-GB"/>
        </w:rPr>
        <w:t>7</w:t>
      </w:r>
      <w:r>
        <w:rPr>
          <w:rFonts w:ascii="Arial" w:hAnsi="Arial" w:cs="Arial"/>
          <w:sz w:val="22"/>
          <w:szCs w:val="22"/>
          <w:lang w:val="en-GB" w:eastAsia="en-GB"/>
        </w:rPr>
        <w:t>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DCD57A5" w14:textId="77777777" w:rsidR="00510995" w:rsidRPr="001E23FD" w:rsidRDefault="00510995" w:rsidP="00510995">
      <w:pPr>
        <w:ind w:left="720" w:hanging="720"/>
        <w:jc w:val="both"/>
        <w:rPr>
          <w:rFonts w:ascii="Arial" w:hAnsi="Arial" w:cs="Arial"/>
          <w:sz w:val="22"/>
          <w:szCs w:val="22"/>
          <w:lang w:val="en-GB"/>
        </w:rPr>
      </w:pPr>
    </w:p>
    <w:p w14:paraId="49A84B7A"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58646EF2" w14:textId="77777777" w:rsidR="00510995" w:rsidRPr="001E23FD" w:rsidRDefault="00510995" w:rsidP="00510995">
      <w:pPr>
        <w:ind w:left="720" w:hanging="720"/>
        <w:jc w:val="both"/>
        <w:rPr>
          <w:rFonts w:ascii="Arial" w:hAnsi="Arial" w:cs="Arial"/>
          <w:sz w:val="22"/>
          <w:szCs w:val="22"/>
          <w:lang w:val="en-GB"/>
        </w:rPr>
      </w:pPr>
    </w:p>
    <w:p w14:paraId="20011BC6" w14:textId="0436AA6A"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815F57">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59336F2" w14:textId="77777777" w:rsidR="00510995" w:rsidRPr="001E23FD" w:rsidRDefault="00510995" w:rsidP="00510995">
      <w:pPr>
        <w:ind w:left="720" w:hanging="720"/>
        <w:jc w:val="both"/>
        <w:rPr>
          <w:rFonts w:ascii="Arial" w:hAnsi="Arial" w:cs="Arial"/>
          <w:sz w:val="22"/>
          <w:szCs w:val="22"/>
          <w:lang w:val="en-GB"/>
        </w:rPr>
      </w:pPr>
    </w:p>
    <w:p w14:paraId="6E51568B" w14:textId="5BAFCEB5" w:rsidR="004A2D83" w:rsidRPr="00592F82" w:rsidRDefault="00510995" w:rsidP="005109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640623">
      <w:pPr>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640623">
      <w:pPr>
        <w:ind w:left="720" w:hanging="720"/>
        <w:rPr>
          <w:rFonts w:ascii="Arial" w:hAnsi="Arial" w:cs="Arial"/>
          <w:sz w:val="22"/>
          <w:szCs w:val="22"/>
          <w:lang w:val="en-GB"/>
        </w:rPr>
      </w:pPr>
    </w:p>
    <w:p w14:paraId="27A9F337" w14:textId="77777777" w:rsidR="005D43E0" w:rsidRPr="00CA448F" w:rsidRDefault="0029433F" w:rsidP="00640623">
      <w:pPr>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640623">
      <w:pPr>
        <w:ind w:left="720" w:hanging="720"/>
        <w:rPr>
          <w:rFonts w:ascii="Arial" w:hAnsi="Arial" w:cs="Arial"/>
          <w:sz w:val="22"/>
          <w:szCs w:val="22"/>
          <w:lang w:val="en-GB"/>
        </w:rPr>
      </w:pPr>
    </w:p>
    <w:p w14:paraId="7CA37521" w14:textId="77777777" w:rsidR="005D43E0" w:rsidRPr="00CA448F" w:rsidRDefault="005D43E0" w:rsidP="00640623">
      <w:pPr>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640623">
      <w:pPr>
        <w:autoSpaceDE w:val="0"/>
        <w:autoSpaceDN w:val="0"/>
        <w:adjustRightInd w:val="0"/>
        <w:rPr>
          <w:rFonts w:ascii="Arial" w:hAnsi="Arial" w:cs="Arial"/>
          <w:sz w:val="22"/>
          <w:szCs w:val="22"/>
        </w:rPr>
      </w:pPr>
    </w:p>
    <w:p w14:paraId="2FE48410" w14:textId="41135781" w:rsidR="002073B6"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640623">
      <w:pPr>
        <w:ind w:left="1440" w:hanging="1440"/>
        <w:rPr>
          <w:rFonts w:ascii="Arial" w:hAnsi="Arial" w:cs="Arial"/>
          <w:sz w:val="22"/>
          <w:szCs w:val="22"/>
          <w:lang w:val="en-GB"/>
        </w:rPr>
      </w:pPr>
    </w:p>
    <w:p w14:paraId="6B27461F" w14:textId="6C4DFD1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The </w:t>
      </w:r>
      <w:r w:rsidRPr="00CA448F">
        <w:rPr>
          <w:rFonts w:ascii="Arial" w:hAnsi="Arial" w:cs="Arial"/>
          <w:b/>
          <w:bCs/>
          <w:sz w:val="22"/>
          <w:szCs w:val="22"/>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640623">
      <w:pPr>
        <w:ind w:left="720" w:hanging="720"/>
        <w:rPr>
          <w:rFonts w:ascii="Arial" w:hAnsi="Arial" w:cs="Arial"/>
          <w:sz w:val="22"/>
          <w:szCs w:val="22"/>
          <w:lang w:val="en-GB"/>
        </w:rPr>
      </w:pPr>
    </w:p>
    <w:p w14:paraId="695E6FD7" w14:textId="59CD2F03" w:rsidR="002073B6" w:rsidRDefault="002073B6" w:rsidP="00640623">
      <w:pPr>
        <w:pStyle w:val="ListParagraph"/>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failure of the responsible authorities to enact laws which would encourage a business rescue culture. </w:t>
      </w:r>
    </w:p>
    <w:p w14:paraId="2F91622E" w14:textId="77777777" w:rsidR="007B4F09" w:rsidRPr="007B4F09" w:rsidRDefault="007B4F09" w:rsidP="007B4F09">
      <w:pPr>
        <w:rPr>
          <w:rFonts w:ascii="Arial" w:hAnsi="Arial" w:cs="Arial"/>
          <w:sz w:val="22"/>
          <w:szCs w:val="22"/>
          <w:lang w:val="en-GB"/>
        </w:rPr>
      </w:pPr>
    </w:p>
    <w:p w14:paraId="72A0E1E1" w14:textId="77703B40" w:rsidR="002073B6" w:rsidRDefault="002073B6" w:rsidP="00640623">
      <w:pPr>
        <w:pStyle w:val="ListParagraph"/>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7B4F09">
      <w:pPr>
        <w:rPr>
          <w:rFonts w:ascii="Arial" w:hAnsi="Arial" w:cs="Arial"/>
          <w:sz w:val="22"/>
          <w:szCs w:val="22"/>
          <w:lang w:val="en-GB"/>
        </w:rPr>
      </w:pPr>
    </w:p>
    <w:p w14:paraId="0FCF7294" w14:textId="73117167" w:rsidR="002073B6" w:rsidRPr="00DF2B2F" w:rsidRDefault="002073B6" w:rsidP="00640623">
      <w:pPr>
        <w:pStyle w:val="ListParagraph"/>
        <w:numPr>
          <w:ilvl w:val="0"/>
          <w:numId w:val="9"/>
        </w:numPr>
        <w:ind w:left="426" w:hanging="426"/>
        <w:rPr>
          <w:rFonts w:ascii="Arial" w:hAnsi="Arial" w:cs="Arial"/>
          <w:sz w:val="22"/>
          <w:szCs w:val="22"/>
          <w:highlight w:val="yellow"/>
          <w:lang w:val="en-GB"/>
        </w:rPr>
      </w:pPr>
      <w:r w:rsidRPr="00DF2B2F">
        <w:rPr>
          <w:rFonts w:ascii="Arial" w:hAnsi="Arial" w:cs="Arial"/>
          <w:sz w:val="22"/>
          <w:szCs w:val="22"/>
          <w:highlight w:val="yellow"/>
          <w:lang w:val="en-GB"/>
        </w:rPr>
        <w:t xml:space="preserve">The owners of failed businesses are liable as a matter of criminal law for the failure of their business.  </w:t>
      </w:r>
    </w:p>
    <w:p w14:paraId="7F387EF1" w14:textId="77777777" w:rsidR="007B4F09" w:rsidRPr="007B4F09" w:rsidRDefault="007B4F09" w:rsidP="007B4F09">
      <w:pPr>
        <w:rPr>
          <w:rFonts w:ascii="Arial" w:hAnsi="Arial" w:cs="Arial"/>
          <w:sz w:val="22"/>
          <w:szCs w:val="22"/>
          <w:lang w:val="en-GB"/>
        </w:rPr>
      </w:pPr>
    </w:p>
    <w:p w14:paraId="45CA5D52" w14:textId="3AA7D3A8" w:rsidR="002073B6" w:rsidRPr="00DF2B2F" w:rsidRDefault="002073B6" w:rsidP="00640623">
      <w:pPr>
        <w:pStyle w:val="ListParagraph"/>
        <w:numPr>
          <w:ilvl w:val="0"/>
          <w:numId w:val="9"/>
        </w:numPr>
        <w:ind w:left="426" w:hanging="426"/>
        <w:rPr>
          <w:rFonts w:ascii="Arial" w:hAnsi="Arial" w:cs="Arial"/>
          <w:bCs/>
          <w:sz w:val="22"/>
          <w:szCs w:val="22"/>
          <w:lang w:val="en-GB"/>
        </w:rPr>
      </w:pPr>
      <w:r w:rsidRPr="00DF2B2F">
        <w:rPr>
          <w:rFonts w:ascii="Arial" w:hAnsi="Arial" w:cs="Arial"/>
          <w:bCs/>
          <w:sz w:val="22"/>
          <w:szCs w:val="22"/>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640623">
      <w:pPr>
        <w:ind w:left="720" w:hanging="720"/>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640623">
      <w:pPr>
        <w:ind w:left="1440" w:hanging="1440"/>
        <w:rPr>
          <w:rFonts w:ascii="Arial" w:hAnsi="Arial" w:cs="Arial"/>
          <w:sz w:val="22"/>
          <w:szCs w:val="22"/>
          <w:lang w:val="en-GB"/>
        </w:rPr>
      </w:pPr>
    </w:p>
    <w:p w14:paraId="450482A6" w14:textId="4D6758B5"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What is the </w:t>
      </w:r>
      <w:r w:rsidRPr="00CA448F">
        <w:rPr>
          <w:rFonts w:ascii="Arial" w:hAnsi="Arial" w:cs="Arial"/>
          <w:b/>
          <w:bCs/>
          <w:sz w:val="22"/>
          <w:szCs w:val="22"/>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640623">
      <w:pPr>
        <w:ind w:left="1440" w:hanging="1440"/>
        <w:rPr>
          <w:rFonts w:ascii="Arial" w:hAnsi="Arial" w:cs="Arial"/>
          <w:sz w:val="22"/>
          <w:szCs w:val="22"/>
          <w:lang w:val="en-GB"/>
        </w:rPr>
      </w:pPr>
    </w:p>
    <w:p w14:paraId="165F64AA" w14:textId="3D9335EE" w:rsidR="002073B6" w:rsidRDefault="002073B6" w:rsidP="00640623">
      <w:pPr>
        <w:pStyle w:val="ListParagraph"/>
        <w:numPr>
          <w:ilvl w:val="0"/>
          <w:numId w:val="11"/>
        </w:numPr>
        <w:ind w:left="426" w:hanging="426"/>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7B4F09">
      <w:pPr>
        <w:rPr>
          <w:rFonts w:ascii="Arial" w:hAnsi="Arial" w:cs="Arial"/>
          <w:sz w:val="22"/>
          <w:szCs w:val="22"/>
          <w:lang w:val="en-GB"/>
        </w:rPr>
      </w:pPr>
    </w:p>
    <w:p w14:paraId="3E66D4EF" w14:textId="42507DC6" w:rsidR="002073B6" w:rsidRDefault="002073B6" w:rsidP="00640623">
      <w:pPr>
        <w:pStyle w:val="ListParagraph"/>
        <w:numPr>
          <w:ilvl w:val="0"/>
          <w:numId w:val="11"/>
        </w:numPr>
        <w:ind w:left="426" w:hanging="426"/>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7B4F09">
      <w:pPr>
        <w:rPr>
          <w:rFonts w:ascii="Arial" w:hAnsi="Arial" w:cs="Arial"/>
          <w:sz w:val="22"/>
          <w:szCs w:val="22"/>
          <w:lang w:val="en-GB"/>
        </w:rPr>
      </w:pPr>
    </w:p>
    <w:p w14:paraId="4714A6AD" w14:textId="07BC456D" w:rsidR="002073B6" w:rsidRPr="009178A9" w:rsidRDefault="002073B6" w:rsidP="00640623">
      <w:pPr>
        <w:pStyle w:val="ListParagraph"/>
        <w:numPr>
          <w:ilvl w:val="0"/>
          <w:numId w:val="11"/>
        </w:numPr>
        <w:ind w:left="426" w:hanging="426"/>
        <w:rPr>
          <w:rFonts w:ascii="Arial" w:hAnsi="Arial" w:cs="Arial"/>
          <w:bCs/>
          <w:sz w:val="22"/>
          <w:szCs w:val="22"/>
          <w:highlight w:val="yellow"/>
          <w:lang w:val="en-GB"/>
        </w:rPr>
      </w:pPr>
      <w:r w:rsidRPr="009178A9">
        <w:rPr>
          <w:rFonts w:ascii="Arial" w:hAnsi="Arial" w:cs="Arial"/>
          <w:bCs/>
          <w:sz w:val="22"/>
          <w:szCs w:val="22"/>
          <w:highlight w:val="yellow"/>
          <w:lang w:val="en-GB"/>
        </w:rPr>
        <w:t>The Bankruptcy Law drew on the experiences of a number of jurisdictions, while the insolvency laws of the financial centres are based on the insolvency laws of one other country.</w:t>
      </w:r>
    </w:p>
    <w:p w14:paraId="5CC01CFF" w14:textId="77777777" w:rsidR="007B4F09" w:rsidRPr="007B4F09" w:rsidRDefault="007B4F09" w:rsidP="007B4F09">
      <w:pPr>
        <w:rPr>
          <w:rFonts w:ascii="Arial" w:hAnsi="Arial" w:cs="Arial"/>
          <w:bCs/>
          <w:sz w:val="22"/>
          <w:szCs w:val="22"/>
          <w:lang w:val="en-GB"/>
        </w:rPr>
      </w:pPr>
    </w:p>
    <w:p w14:paraId="20F83A87" w14:textId="660EAF8A" w:rsidR="002073B6" w:rsidRPr="00CA448F" w:rsidRDefault="002073B6" w:rsidP="00640623">
      <w:pPr>
        <w:pStyle w:val="ListParagraph"/>
        <w:numPr>
          <w:ilvl w:val="0"/>
          <w:numId w:val="11"/>
        </w:numPr>
        <w:ind w:left="426" w:hanging="426"/>
        <w:rPr>
          <w:rFonts w:ascii="Arial" w:hAnsi="Arial" w:cs="Arial"/>
          <w:sz w:val="22"/>
          <w:szCs w:val="22"/>
          <w:lang w:val="en-GB"/>
        </w:rPr>
      </w:pPr>
      <w:r w:rsidRPr="00CA448F">
        <w:rPr>
          <w:rFonts w:ascii="Arial" w:hAnsi="Arial" w:cs="Arial"/>
          <w:sz w:val="22"/>
          <w:szCs w:val="22"/>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640623">
      <w:pPr>
        <w:ind w:left="720" w:hanging="720"/>
        <w:rPr>
          <w:rFonts w:ascii="Arial" w:hAnsi="Arial" w:cs="Arial"/>
          <w:sz w:val="22"/>
          <w:szCs w:val="22"/>
          <w:lang w:val="en-GB"/>
        </w:rPr>
      </w:pPr>
    </w:p>
    <w:p w14:paraId="2C35569C"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640623">
      <w:pPr>
        <w:ind w:left="1440" w:hanging="1440"/>
        <w:rPr>
          <w:rFonts w:ascii="Arial" w:hAnsi="Arial" w:cs="Arial"/>
          <w:sz w:val="22"/>
          <w:szCs w:val="22"/>
          <w:lang w:val="en-GB"/>
        </w:rPr>
      </w:pPr>
    </w:p>
    <w:p w14:paraId="458A3B55" w14:textId="1021EF4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640623">
      <w:pPr>
        <w:ind w:left="720" w:hanging="720"/>
        <w:rPr>
          <w:rFonts w:ascii="Arial" w:hAnsi="Arial" w:cs="Arial"/>
          <w:sz w:val="22"/>
          <w:szCs w:val="22"/>
          <w:lang w:val="en-GB"/>
        </w:rPr>
      </w:pPr>
    </w:p>
    <w:p w14:paraId="6C872D3D" w14:textId="11D5460F" w:rsidR="002073B6" w:rsidRPr="00CA448F"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Pr="009178A9" w:rsidRDefault="002073B6" w:rsidP="00640623">
      <w:pPr>
        <w:pStyle w:val="ListParagraph"/>
        <w:numPr>
          <w:ilvl w:val="0"/>
          <w:numId w:val="13"/>
        </w:numPr>
        <w:ind w:left="426" w:hanging="426"/>
        <w:rPr>
          <w:rFonts w:ascii="Arial" w:hAnsi="Arial" w:cs="Arial"/>
          <w:bCs/>
          <w:sz w:val="22"/>
          <w:szCs w:val="22"/>
          <w:highlight w:val="yellow"/>
          <w:lang w:val="en-GB"/>
        </w:rPr>
      </w:pPr>
      <w:r w:rsidRPr="009178A9">
        <w:rPr>
          <w:rFonts w:ascii="Arial" w:hAnsi="Arial" w:cs="Arial"/>
          <w:bCs/>
          <w:sz w:val="22"/>
          <w:szCs w:val="22"/>
          <w:highlight w:val="yellow"/>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6F58B3">
      <w:pPr>
        <w:rPr>
          <w:rFonts w:ascii="Arial" w:hAnsi="Arial" w:cs="Arial"/>
          <w:bCs/>
          <w:sz w:val="22"/>
          <w:szCs w:val="22"/>
          <w:lang w:val="en-GB"/>
        </w:rPr>
      </w:pPr>
    </w:p>
    <w:p w14:paraId="31128441" w14:textId="375C39FE" w:rsidR="002073B6"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6F58B3">
      <w:pPr>
        <w:rPr>
          <w:rFonts w:ascii="Arial" w:hAnsi="Arial" w:cs="Arial"/>
          <w:sz w:val="22"/>
          <w:szCs w:val="22"/>
          <w:lang w:val="en-GB"/>
        </w:rPr>
      </w:pPr>
    </w:p>
    <w:p w14:paraId="77CF7FF2" w14:textId="60BE4D00" w:rsidR="002073B6" w:rsidRPr="00CA448F"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640623">
      <w:pPr>
        <w:ind w:left="1440" w:hanging="1440"/>
        <w:rPr>
          <w:rFonts w:ascii="Arial" w:hAnsi="Arial" w:cs="Arial"/>
          <w:sz w:val="22"/>
          <w:szCs w:val="22"/>
          <w:lang w:val="en-GB"/>
        </w:rPr>
      </w:pPr>
    </w:p>
    <w:p w14:paraId="0E070D66"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640623">
      <w:pPr>
        <w:ind w:left="1440" w:hanging="1440"/>
        <w:rPr>
          <w:rFonts w:ascii="Arial" w:hAnsi="Arial" w:cs="Arial"/>
          <w:sz w:val="22"/>
          <w:szCs w:val="22"/>
          <w:lang w:val="en-GB"/>
        </w:rPr>
      </w:pPr>
    </w:p>
    <w:p w14:paraId="4CBD3E1A" w14:textId="0B85C495" w:rsidR="002073B6" w:rsidRPr="00CA448F" w:rsidRDefault="005906C2" w:rsidP="00640623">
      <w:pPr>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6F58B3">
        <w:rPr>
          <w:rFonts w:ascii="Arial" w:hAnsi="Arial" w:cs="Arial"/>
          <w:b/>
          <w:bCs/>
          <w:sz w:val="22"/>
          <w:szCs w:val="22"/>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640623">
      <w:pPr>
        <w:ind w:left="720" w:hanging="720"/>
        <w:rPr>
          <w:rFonts w:ascii="Arial" w:hAnsi="Arial" w:cs="Arial"/>
          <w:sz w:val="22"/>
          <w:szCs w:val="22"/>
          <w:lang w:val="en-GB"/>
        </w:rPr>
      </w:pPr>
    </w:p>
    <w:p w14:paraId="23FFE8EC" w14:textId="3CE92B6D" w:rsidR="002073B6" w:rsidRPr="009178A9" w:rsidRDefault="008D1432" w:rsidP="00640623">
      <w:pPr>
        <w:pStyle w:val="ListParagraph"/>
        <w:numPr>
          <w:ilvl w:val="0"/>
          <w:numId w:val="15"/>
        </w:numPr>
        <w:ind w:left="426" w:hanging="426"/>
        <w:rPr>
          <w:rFonts w:ascii="Arial" w:hAnsi="Arial" w:cs="Arial"/>
          <w:bCs/>
          <w:sz w:val="22"/>
          <w:szCs w:val="22"/>
          <w:highlight w:val="yellow"/>
          <w:lang w:val="en-GB"/>
        </w:rPr>
      </w:pPr>
      <w:r w:rsidRPr="009178A9">
        <w:rPr>
          <w:rFonts w:ascii="Arial" w:hAnsi="Arial" w:cs="Arial"/>
          <w:bCs/>
          <w:sz w:val="22"/>
          <w:szCs w:val="22"/>
          <w:highlight w:val="yellow"/>
          <w:lang w:val="en-GB"/>
        </w:rPr>
        <w:t>True</w:t>
      </w:r>
      <w:r w:rsidR="002073B6" w:rsidRPr="009178A9">
        <w:rPr>
          <w:rFonts w:ascii="Arial" w:hAnsi="Arial" w:cs="Arial"/>
          <w:bCs/>
          <w:sz w:val="22"/>
          <w:szCs w:val="22"/>
          <w:highlight w:val="yellow"/>
          <w:lang w:val="en-GB"/>
        </w:rPr>
        <w:t>.</w:t>
      </w:r>
    </w:p>
    <w:p w14:paraId="5833C54B" w14:textId="77777777" w:rsidR="006F58B3" w:rsidRPr="006F58B3" w:rsidRDefault="006F58B3" w:rsidP="006F58B3">
      <w:pPr>
        <w:rPr>
          <w:rFonts w:ascii="Arial" w:hAnsi="Arial" w:cs="Arial"/>
          <w:bCs/>
          <w:sz w:val="22"/>
          <w:szCs w:val="22"/>
          <w:lang w:val="en-GB"/>
        </w:rPr>
      </w:pPr>
    </w:p>
    <w:p w14:paraId="6879FBF6" w14:textId="2A318881" w:rsidR="002073B6" w:rsidRPr="00CA448F" w:rsidRDefault="008D1432" w:rsidP="00640623">
      <w:pPr>
        <w:pStyle w:val="ListParagraph"/>
        <w:numPr>
          <w:ilvl w:val="0"/>
          <w:numId w:val="15"/>
        </w:numPr>
        <w:ind w:left="426" w:hanging="426"/>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640623">
      <w:pPr>
        <w:ind w:left="1440" w:hanging="1440"/>
        <w:rPr>
          <w:rFonts w:ascii="Arial" w:hAnsi="Arial" w:cs="Arial"/>
          <w:sz w:val="22"/>
          <w:szCs w:val="22"/>
          <w:lang w:val="en-GB"/>
        </w:rPr>
      </w:pPr>
    </w:p>
    <w:p w14:paraId="4EE1F5AE"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640623">
      <w:pPr>
        <w:ind w:left="1440" w:hanging="1440"/>
        <w:rPr>
          <w:rFonts w:ascii="Arial" w:hAnsi="Arial" w:cs="Arial"/>
          <w:sz w:val="22"/>
          <w:szCs w:val="22"/>
          <w:lang w:val="en-GB"/>
        </w:rPr>
      </w:pPr>
    </w:p>
    <w:p w14:paraId="29FC5174" w14:textId="173B056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640623">
      <w:pPr>
        <w:ind w:left="720" w:hanging="720"/>
        <w:rPr>
          <w:rFonts w:ascii="Arial" w:hAnsi="Arial" w:cs="Arial"/>
          <w:sz w:val="22"/>
          <w:szCs w:val="22"/>
          <w:lang w:val="en-GB"/>
        </w:rPr>
      </w:pPr>
    </w:p>
    <w:p w14:paraId="1D491458" w14:textId="15767220"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6F58B3">
      <w:pPr>
        <w:rPr>
          <w:rFonts w:ascii="Arial" w:hAnsi="Arial" w:cs="Arial"/>
          <w:sz w:val="22"/>
          <w:szCs w:val="22"/>
          <w:lang w:val="en-GB"/>
        </w:rPr>
      </w:pPr>
    </w:p>
    <w:p w14:paraId="2C1F3246" w14:textId="62BA4443"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6F58B3">
      <w:pPr>
        <w:rPr>
          <w:rFonts w:ascii="Arial" w:hAnsi="Arial" w:cs="Arial"/>
          <w:sz w:val="22"/>
          <w:szCs w:val="22"/>
          <w:lang w:val="en-GB"/>
        </w:rPr>
      </w:pPr>
    </w:p>
    <w:p w14:paraId="616022B5" w14:textId="210B3C35"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6F58B3">
      <w:pPr>
        <w:rPr>
          <w:rFonts w:ascii="Arial" w:hAnsi="Arial" w:cs="Arial"/>
          <w:sz w:val="22"/>
          <w:szCs w:val="22"/>
          <w:lang w:val="en-GB"/>
        </w:rPr>
      </w:pPr>
    </w:p>
    <w:p w14:paraId="337E7C87" w14:textId="32E4E24A" w:rsidR="002073B6" w:rsidRPr="00ED47C8" w:rsidRDefault="002073B6" w:rsidP="00640623">
      <w:pPr>
        <w:pStyle w:val="ListParagraph"/>
        <w:numPr>
          <w:ilvl w:val="0"/>
          <w:numId w:val="17"/>
        </w:numPr>
        <w:ind w:left="426" w:hanging="426"/>
        <w:rPr>
          <w:rFonts w:ascii="Arial" w:hAnsi="Arial" w:cs="Arial"/>
          <w:bCs/>
          <w:sz w:val="22"/>
          <w:szCs w:val="22"/>
          <w:highlight w:val="yellow"/>
          <w:lang w:val="en-GB"/>
        </w:rPr>
      </w:pPr>
      <w:r w:rsidRPr="00ED47C8">
        <w:rPr>
          <w:rFonts w:ascii="Arial" w:hAnsi="Arial" w:cs="Arial"/>
          <w:bCs/>
          <w:sz w:val="22"/>
          <w:szCs w:val="22"/>
          <w:highlight w:val="yellow"/>
          <w:lang w:val="en-GB"/>
        </w:rPr>
        <w:t xml:space="preserve">There are separate registers in which security interests in both land and personal property in the DIFC can be registered. </w:t>
      </w:r>
    </w:p>
    <w:p w14:paraId="167C2861" w14:textId="77777777" w:rsidR="002073B6" w:rsidRPr="00CA448F" w:rsidRDefault="002073B6" w:rsidP="00640623">
      <w:pPr>
        <w:ind w:left="720" w:hanging="720"/>
        <w:rPr>
          <w:rFonts w:ascii="Arial" w:hAnsi="Arial" w:cs="Arial"/>
          <w:b/>
          <w:sz w:val="22"/>
          <w:szCs w:val="22"/>
          <w:lang w:val="en-GB"/>
        </w:rPr>
      </w:pPr>
    </w:p>
    <w:p w14:paraId="59AB1BE2"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640623">
      <w:pPr>
        <w:ind w:left="1440" w:hanging="1440"/>
        <w:rPr>
          <w:rFonts w:ascii="Arial" w:hAnsi="Arial" w:cs="Arial"/>
          <w:sz w:val="22"/>
          <w:szCs w:val="22"/>
          <w:lang w:val="en-GB"/>
        </w:rPr>
      </w:pPr>
    </w:p>
    <w:p w14:paraId="3425C2D8" w14:textId="17457E2A"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A448F">
        <w:rPr>
          <w:rFonts w:ascii="Arial" w:hAnsi="Arial" w:cs="Arial"/>
          <w:b/>
          <w:bCs/>
          <w:sz w:val="22"/>
          <w:szCs w:val="22"/>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640623">
      <w:pPr>
        <w:rPr>
          <w:rFonts w:ascii="Arial" w:hAnsi="Arial" w:cs="Arial"/>
          <w:sz w:val="22"/>
          <w:szCs w:val="22"/>
          <w:lang w:val="en-GB"/>
        </w:rPr>
      </w:pPr>
    </w:p>
    <w:p w14:paraId="3C5FC44B" w14:textId="71B58E6B" w:rsidR="002073B6"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6F58B3">
      <w:pPr>
        <w:rPr>
          <w:rFonts w:ascii="Arial" w:hAnsi="Arial" w:cs="Arial"/>
          <w:sz w:val="22"/>
          <w:szCs w:val="22"/>
          <w:lang w:val="en-GB"/>
        </w:rPr>
      </w:pPr>
    </w:p>
    <w:p w14:paraId="59FA80E0" w14:textId="03D675CC" w:rsidR="002073B6"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6F58B3">
      <w:pPr>
        <w:rPr>
          <w:rFonts w:ascii="Arial" w:hAnsi="Arial" w:cs="Arial"/>
          <w:sz w:val="22"/>
          <w:szCs w:val="22"/>
          <w:lang w:val="en-GB"/>
        </w:rPr>
      </w:pPr>
    </w:p>
    <w:p w14:paraId="75642A41" w14:textId="0B23BFEA" w:rsidR="002073B6" w:rsidRPr="00ED47C8" w:rsidRDefault="002073B6" w:rsidP="00640623">
      <w:pPr>
        <w:pStyle w:val="ListParagraph"/>
        <w:numPr>
          <w:ilvl w:val="0"/>
          <w:numId w:val="18"/>
        </w:numPr>
        <w:ind w:left="426" w:hanging="426"/>
        <w:rPr>
          <w:rFonts w:ascii="Arial" w:hAnsi="Arial" w:cs="Arial"/>
          <w:bCs/>
          <w:sz w:val="22"/>
          <w:szCs w:val="22"/>
          <w:highlight w:val="yellow"/>
          <w:lang w:val="en-GB"/>
        </w:rPr>
      </w:pPr>
      <w:r w:rsidRPr="00ED47C8">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75862E73" w14:textId="77777777" w:rsidR="006F58B3" w:rsidRPr="006F58B3" w:rsidRDefault="006F58B3" w:rsidP="006F58B3">
      <w:pPr>
        <w:rPr>
          <w:rFonts w:ascii="Arial" w:hAnsi="Arial" w:cs="Arial"/>
          <w:bCs/>
          <w:sz w:val="22"/>
          <w:szCs w:val="22"/>
          <w:lang w:val="en-GB"/>
        </w:rPr>
      </w:pPr>
    </w:p>
    <w:p w14:paraId="435272A5" w14:textId="72E6EDEC" w:rsidR="002073B6" w:rsidRPr="00CA448F"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640623">
      <w:pPr>
        <w:ind w:left="1440" w:hanging="1440"/>
        <w:rPr>
          <w:rFonts w:ascii="Arial" w:hAnsi="Arial" w:cs="Arial"/>
          <w:sz w:val="22"/>
          <w:szCs w:val="22"/>
          <w:lang w:val="en-GB"/>
        </w:rPr>
      </w:pPr>
    </w:p>
    <w:p w14:paraId="51C567A2" w14:textId="74C77019"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640623">
      <w:pPr>
        <w:ind w:left="720" w:hanging="720"/>
        <w:rPr>
          <w:rFonts w:ascii="Arial" w:hAnsi="Arial" w:cs="Arial"/>
          <w:sz w:val="22"/>
          <w:szCs w:val="22"/>
          <w:lang w:val="en-GB"/>
        </w:rPr>
      </w:pPr>
    </w:p>
    <w:p w14:paraId="439540AC" w14:textId="6B954BA9" w:rsidR="002073B6" w:rsidRPr="00ED47C8" w:rsidRDefault="002073B6" w:rsidP="00640623">
      <w:pPr>
        <w:pStyle w:val="ListParagraph"/>
        <w:numPr>
          <w:ilvl w:val="0"/>
          <w:numId w:val="20"/>
        </w:numPr>
        <w:ind w:left="426" w:hanging="426"/>
        <w:rPr>
          <w:rFonts w:ascii="Arial" w:hAnsi="Arial" w:cs="Arial"/>
          <w:bCs/>
          <w:sz w:val="22"/>
          <w:szCs w:val="22"/>
          <w:highlight w:val="yellow"/>
          <w:lang w:val="en-GB"/>
        </w:rPr>
      </w:pPr>
      <w:r w:rsidRPr="00ED47C8">
        <w:rPr>
          <w:rFonts w:ascii="Arial" w:hAnsi="Arial" w:cs="Arial"/>
          <w:bCs/>
          <w:sz w:val="22"/>
          <w:szCs w:val="22"/>
          <w:highlight w:val="yellow"/>
          <w:lang w:val="en-GB"/>
        </w:rPr>
        <w:t xml:space="preserve">Interest on debts owed by the debtor stops accruing on the date of commencement of Preventive Composition. </w:t>
      </w:r>
      <w:r w:rsidRPr="00ED47C8">
        <w:rPr>
          <w:rFonts w:ascii="Arial" w:hAnsi="Arial" w:cs="Arial"/>
          <w:bCs/>
          <w:sz w:val="22"/>
          <w:szCs w:val="22"/>
          <w:highlight w:val="yellow"/>
          <w:lang w:val="en-GB"/>
        </w:rPr>
        <w:tab/>
      </w:r>
    </w:p>
    <w:p w14:paraId="59848C9A" w14:textId="77777777" w:rsidR="006F58B3" w:rsidRPr="006F58B3" w:rsidRDefault="006F58B3" w:rsidP="006F58B3">
      <w:pPr>
        <w:rPr>
          <w:rFonts w:ascii="Arial" w:hAnsi="Arial" w:cs="Arial"/>
          <w:bCs/>
          <w:sz w:val="22"/>
          <w:szCs w:val="22"/>
          <w:lang w:val="en-GB"/>
        </w:rPr>
      </w:pPr>
    </w:p>
    <w:p w14:paraId="3492BEDA" w14:textId="4D12D3AD" w:rsidR="002073B6"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6F58B3">
      <w:pPr>
        <w:rPr>
          <w:rFonts w:ascii="Arial" w:hAnsi="Arial" w:cs="Arial"/>
          <w:sz w:val="22"/>
          <w:szCs w:val="22"/>
          <w:lang w:val="en-GB"/>
        </w:rPr>
      </w:pPr>
    </w:p>
    <w:p w14:paraId="190CA9E3" w14:textId="0ED3FA43" w:rsidR="002073B6"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6F58B3">
      <w:pPr>
        <w:rPr>
          <w:rFonts w:ascii="Arial" w:hAnsi="Arial" w:cs="Arial"/>
          <w:sz w:val="22"/>
          <w:szCs w:val="22"/>
          <w:lang w:val="en-GB"/>
        </w:rPr>
      </w:pPr>
    </w:p>
    <w:p w14:paraId="080B7891" w14:textId="0BA9415C" w:rsidR="002073B6" w:rsidRPr="00CA448F"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640623">
      <w:pPr>
        <w:ind w:left="720" w:hanging="720"/>
        <w:rPr>
          <w:rFonts w:ascii="Arial" w:hAnsi="Arial" w:cs="Arial"/>
          <w:sz w:val="22"/>
          <w:szCs w:val="22"/>
          <w:lang w:val="en-GB"/>
        </w:rPr>
      </w:pPr>
    </w:p>
    <w:p w14:paraId="41023C9E"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640623">
      <w:pPr>
        <w:ind w:left="1440" w:hanging="1440"/>
        <w:rPr>
          <w:rFonts w:ascii="Arial" w:hAnsi="Arial" w:cs="Arial"/>
          <w:sz w:val="22"/>
          <w:szCs w:val="22"/>
          <w:lang w:val="en-GB"/>
        </w:rPr>
      </w:pPr>
    </w:p>
    <w:p w14:paraId="64A70AA6" w14:textId="0DDC4647"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640623">
      <w:pPr>
        <w:ind w:left="720" w:hanging="720"/>
        <w:rPr>
          <w:rFonts w:ascii="Arial" w:hAnsi="Arial" w:cs="Arial"/>
          <w:sz w:val="22"/>
          <w:szCs w:val="22"/>
          <w:lang w:val="en-GB"/>
        </w:rPr>
      </w:pPr>
    </w:p>
    <w:p w14:paraId="6119C70B" w14:textId="7AEBD449" w:rsidR="002073B6" w:rsidRPr="00ED47C8" w:rsidRDefault="002073B6" w:rsidP="00640623">
      <w:pPr>
        <w:pStyle w:val="ListParagraph"/>
        <w:numPr>
          <w:ilvl w:val="0"/>
          <w:numId w:val="22"/>
        </w:numPr>
        <w:ind w:left="426" w:hanging="426"/>
        <w:rPr>
          <w:rFonts w:ascii="Arial" w:hAnsi="Arial" w:cs="Arial"/>
          <w:bCs/>
          <w:sz w:val="22"/>
          <w:szCs w:val="22"/>
          <w:highlight w:val="yellow"/>
          <w:lang w:val="en-GB"/>
        </w:rPr>
      </w:pPr>
      <w:r w:rsidRPr="00ED47C8">
        <w:rPr>
          <w:rFonts w:ascii="Arial" w:hAnsi="Arial" w:cs="Arial"/>
          <w:bCs/>
          <w:sz w:val="22"/>
          <w:szCs w:val="22"/>
          <w:highlight w:val="yellow"/>
          <w:lang w:val="en-GB"/>
        </w:rPr>
        <w:t xml:space="preserve">If a secured creditor, having security over all or substantially all of the assets of a debtor, takes steps to enforce its security. </w:t>
      </w:r>
    </w:p>
    <w:p w14:paraId="443BE8CF" w14:textId="77777777" w:rsidR="006F58B3" w:rsidRPr="006F58B3" w:rsidRDefault="006F58B3" w:rsidP="006F58B3">
      <w:pPr>
        <w:rPr>
          <w:rFonts w:ascii="Arial" w:hAnsi="Arial" w:cs="Arial"/>
          <w:bCs/>
          <w:sz w:val="22"/>
          <w:szCs w:val="22"/>
          <w:lang w:val="en-GB"/>
        </w:rPr>
      </w:pPr>
    </w:p>
    <w:p w14:paraId="5605B34F" w14:textId="495F2371" w:rsidR="002073B6"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6F58B3">
      <w:pPr>
        <w:rPr>
          <w:rFonts w:ascii="Arial" w:hAnsi="Arial" w:cs="Arial"/>
          <w:sz w:val="22"/>
          <w:szCs w:val="22"/>
          <w:lang w:val="en-GB"/>
        </w:rPr>
      </w:pPr>
    </w:p>
    <w:p w14:paraId="698F3E2A" w14:textId="569EBAF9" w:rsidR="002073B6"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6F58B3">
      <w:pPr>
        <w:rPr>
          <w:rFonts w:ascii="Arial" w:hAnsi="Arial" w:cs="Arial"/>
          <w:sz w:val="22"/>
          <w:szCs w:val="22"/>
          <w:lang w:val="en-GB"/>
        </w:rPr>
      </w:pPr>
    </w:p>
    <w:p w14:paraId="313E7C06" w14:textId="503D75DC" w:rsidR="002073B6" w:rsidRPr="00CA448F"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640623">
      <w:pPr>
        <w:ind w:left="1440" w:hanging="1440"/>
        <w:rPr>
          <w:rFonts w:ascii="Arial" w:hAnsi="Arial" w:cs="Arial"/>
          <w:sz w:val="22"/>
          <w:szCs w:val="22"/>
          <w:lang w:val="en-GB"/>
        </w:rPr>
      </w:pPr>
    </w:p>
    <w:p w14:paraId="5A2043A9"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640623">
      <w:pPr>
        <w:ind w:left="1440" w:hanging="1440"/>
        <w:rPr>
          <w:rFonts w:ascii="Arial" w:hAnsi="Arial" w:cs="Arial"/>
          <w:sz w:val="22"/>
          <w:szCs w:val="22"/>
          <w:lang w:val="en-GB"/>
        </w:rPr>
      </w:pPr>
    </w:p>
    <w:p w14:paraId="49446C32" w14:textId="0AD6970B" w:rsidR="002073B6" w:rsidRPr="00922A3A" w:rsidRDefault="001A1E2D" w:rsidP="00640623">
      <w:pPr>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In regard to the rehabilitation procedure, which of the following statements is </w:t>
      </w:r>
      <w:r w:rsidR="00BF7738" w:rsidRPr="00BF7738">
        <w:rPr>
          <w:rFonts w:ascii="Arial" w:hAnsi="Arial" w:cs="Arial"/>
          <w:b/>
          <w:bCs/>
          <w:sz w:val="22"/>
          <w:szCs w:val="22"/>
        </w:rPr>
        <w:t>incorrect</w:t>
      </w:r>
      <w:r w:rsidR="00BF7738">
        <w:rPr>
          <w:rFonts w:ascii="Arial" w:hAnsi="Arial" w:cs="Arial"/>
          <w:sz w:val="22"/>
          <w:szCs w:val="22"/>
        </w:rPr>
        <w:t>?</w:t>
      </w:r>
    </w:p>
    <w:p w14:paraId="60F790B4" w14:textId="77777777" w:rsidR="002073B6" w:rsidRPr="00922A3A" w:rsidRDefault="002073B6" w:rsidP="00640623">
      <w:pPr>
        <w:ind w:left="720" w:hanging="720"/>
        <w:rPr>
          <w:rFonts w:ascii="Arial" w:hAnsi="Arial" w:cs="Arial"/>
          <w:sz w:val="22"/>
          <w:szCs w:val="22"/>
          <w:lang w:val="en-GB"/>
        </w:rPr>
      </w:pPr>
    </w:p>
    <w:p w14:paraId="147741BA" w14:textId="5D1C18E7" w:rsidR="002073B6" w:rsidRPr="006F58B3" w:rsidRDefault="00B22E51" w:rsidP="00640623">
      <w:pPr>
        <w:pStyle w:val="ListParagraph"/>
        <w:numPr>
          <w:ilvl w:val="0"/>
          <w:numId w:val="24"/>
        </w:numPr>
        <w:ind w:left="426" w:hanging="426"/>
        <w:rPr>
          <w:rFonts w:ascii="Arial" w:hAnsi="Arial" w:cs="Arial"/>
          <w:sz w:val="22"/>
          <w:szCs w:val="22"/>
          <w:lang w:val="en-GB"/>
        </w:rPr>
      </w:pPr>
      <w:r w:rsidRPr="00B22E51">
        <w:rPr>
          <w:rFonts w:ascii="Arial" w:hAnsi="Arial" w:cs="Arial"/>
          <w:sz w:val="22"/>
          <w:szCs w:val="22"/>
        </w:rPr>
        <w:t xml:space="preserve">In order to initiate the rehabilitation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6F58B3">
      <w:pPr>
        <w:rPr>
          <w:rFonts w:ascii="Arial" w:hAnsi="Arial" w:cs="Arial"/>
          <w:sz w:val="22"/>
          <w:szCs w:val="22"/>
          <w:lang w:val="en-GB"/>
        </w:rPr>
      </w:pPr>
    </w:p>
    <w:p w14:paraId="1E591EB3" w14:textId="48A50DF7" w:rsidR="002073B6" w:rsidRPr="00ED47C8" w:rsidRDefault="00BA06CC" w:rsidP="00640623">
      <w:pPr>
        <w:pStyle w:val="ListParagraph"/>
        <w:numPr>
          <w:ilvl w:val="0"/>
          <w:numId w:val="24"/>
        </w:numPr>
        <w:ind w:left="426" w:hanging="426"/>
        <w:rPr>
          <w:rFonts w:ascii="Arial" w:hAnsi="Arial" w:cs="Arial"/>
          <w:bCs/>
          <w:sz w:val="22"/>
          <w:szCs w:val="22"/>
          <w:highlight w:val="yellow"/>
          <w:lang w:val="en-GB"/>
        </w:rPr>
      </w:pPr>
      <w:r w:rsidRPr="00ED47C8">
        <w:rPr>
          <w:rFonts w:ascii="Arial" w:hAnsi="Arial" w:cs="Arial"/>
          <w:sz w:val="22"/>
          <w:szCs w:val="22"/>
          <w:highlight w:val="yellow"/>
        </w:rPr>
        <w:t>A</w:t>
      </w:r>
      <w:r w:rsidR="00F80E9B" w:rsidRPr="00ED47C8">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ED47C8">
        <w:rPr>
          <w:rFonts w:ascii="Arial" w:hAnsi="Arial" w:cs="Arial"/>
          <w:bCs/>
          <w:sz w:val="22"/>
          <w:szCs w:val="22"/>
          <w:highlight w:val="yellow"/>
          <w:lang w:val="en-GB"/>
        </w:rPr>
        <w:t xml:space="preserve">. </w:t>
      </w:r>
    </w:p>
    <w:p w14:paraId="7F15A46D" w14:textId="77777777" w:rsidR="006F58B3" w:rsidRPr="006F58B3" w:rsidRDefault="006F58B3" w:rsidP="006F58B3">
      <w:pPr>
        <w:rPr>
          <w:rFonts w:ascii="Arial" w:hAnsi="Arial" w:cs="Arial"/>
          <w:bCs/>
          <w:sz w:val="22"/>
          <w:szCs w:val="22"/>
          <w:lang w:val="en-GB"/>
        </w:rPr>
      </w:pPr>
    </w:p>
    <w:p w14:paraId="5B5B360C" w14:textId="7C51F8C8" w:rsidR="002073B6" w:rsidRDefault="00821EDC" w:rsidP="00640623">
      <w:pPr>
        <w:pStyle w:val="ListParagraph"/>
        <w:numPr>
          <w:ilvl w:val="0"/>
          <w:numId w:val="24"/>
        </w:numPr>
        <w:ind w:left="426" w:hanging="426"/>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6F58B3">
      <w:pPr>
        <w:rPr>
          <w:rFonts w:ascii="Arial" w:hAnsi="Arial" w:cs="Arial"/>
          <w:sz w:val="22"/>
          <w:szCs w:val="22"/>
          <w:lang w:val="en-GB"/>
        </w:rPr>
      </w:pPr>
    </w:p>
    <w:p w14:paraId="77B9E7DE" w14:textId="7DC1C200" w:rsidR="002073B6" w:rsidRPr="00FF7906" w:rsidRDefault="00FF7906" w:rsidP="00640623">
      <w:pPr>
        <w:pStyle w:val="ListParagraph"/>
        <w:numPr>
          <w:ilvl w:val="0"/>
          <w:numId w:val="24"/>
        </w:numPr>
        <w:ind w:left="426" w:hanging="426"/>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640623">
      <w:pPr>
        <w:ind w:left="720" w:hanging="720"/>
        <w:rPr>
          <w:rFonts w:ascii="Arial" w:hAnsi="Arial" w:cs="Arial"/>
          <w:sz w:val="22"/>
          <w:szCs w:val="22"/>
          <w:lang w:val="en-GB"/>
        </w:rPr>
      </w:pPr>
    </w:p>
    <w:p w14:paraId="636417FD" w14:textId="11F93528" w:rsidR="006F58B3" w:rsidRDefault="006F58B3" w:rsidP="00640623">
      <w:pPr>
        <w:ind w:left="720" w:hanging="720"/>
        <w:rPr>
          <w:rFonts w:ascii="Arial" w:hAnsi="Arial" w:cs="Arial"/>
          <w:sz w:val="22"/>
          <w:szCs w:val="22"/>
          <w:lang w:val="en-GB"/>
        </w:rPr>
      </w:pPr>
    </w:p>
    <w:p w14:paraId="2078F6C1" w14:textId="5B9F1EEE" w:rsidR="006F58B3" w:rsidRDefault="006F58B3" w:rsidP="00640623">
      <w:pPr>
        <w:ind w:left="720" w:hanging="720"/>
        <w:rPr>
          <w:rFonts w:ascii="Arial" w:hAnsi="Arial" w:cs="Arial"/>
          <w:sz w:val="22"/>
          <w:szCs w:val="22"/>
          <w:lang w:val="en-GB"/>
        </w:rPr>
      </w:pPr>
    </w:p>
    <w:p w14:paraId="027281FB" w14:textId="77777777" w:rsidR="006F58B3" w:rsidRPr="00CA448F" w:rsidRDefault="006F58B3" w:rsidP="00640623">
      <w:pPr>
        <w:ind w:left="720" w:hanging="720"/>
        <w:rPr>
          <w:rFonts w:ascii="Arial" w:hAnsi="Arial" w:cs="Arial"/>
          <w:sz w:val="22"/>
          <w:szCs w:val="22"/>
          <w:lang w:val="en-GB"/>
        </w:rPr>
      </w:pPr>
    </w:p>
    <w:p w14:paraId="2C36B1F5" w14:textId="77777777" w:rsidR="00DE3A7C" w:rsidRPr="00CA448F" w:rsidRDefault="002073B6" w:rsidP="00640623">
      <w:pPr>
        <w:ind w:left="720" w:hanging="720"/>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640623">
      <w:pPr>
        <w:ind w:left="720" w:hanging="720"/>
        <w:rPr>
          <w:rFonts w:ascii="Arial" w:hAnsi="Arial" w:cs="Arial"/>
          <w:sz w:val="22"/>
          <w:szCs w:val="22"/>
          <w:lang w:val="en-GB"/>
        </w:rPr>
      </w:pPr>
    </w:p>
    <w:p w14:paraId="72E60C51" w14:textId="0DD27995" w:rsidR="002073B6" w:rsidRPr="00CA448F" w:rsidRDefault="002073B6" w:rsidP="00640623">
      <w:pPr>
        <w:ind w:left="720" w:hanging="720"/>
        <w:rPr>
          <w:rFonts w:ascii="Arial" w:hAnsi="Arial" w:cs="Arial"/>
          <w:sz w:val="22"/>
          <w:szCs w:val="22"/>
          <w:lang w:val="en-GB"/>
        </w:rPr>
      </w:pPr>
      <w:r w:rsidRPr="00CA448F">
        <w:rPr>
          <w:rFonts w:ascii="Arial" w:hAnsi="Arial" w:cs="Arial"/>
          <w:sz w:val="22"/>
          <w:szCs w:val="22"/>
          <w:lang w:val="en-GB"/>
        </w:rPr>
        <w:t xml:space="preserve">Which of the following statements </w:t>
      </w:r>
      <w:r w:rsidRPr="00CA448F">
        <w:rPr>
          <w:rFonts w:ascii="Arial" w:hAnsi="Arial" w:cs="Arial"/>
          <w:b/>
          <w:bCs/>
          <w:sz w:val="22"/>
          <w:szCs w:val="22"/>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640623">
      <w:pPr>
        <w:ind w:left="720" w:hanging="720"/>
        <w:rPr>
          <w:rFonts w:ascii="Arial" w:hAnsi="Arial" w:cs="Arial"/>
          <w:sz w:val="22"/>
          <w:szCs w:val="22"/>
          <w:lang w:val="en-GB"/>
        </w:rPr>
      </w:pPr>
    </w:p>
    <w:p w14:paraId="30E2AA94" w14:textId="7DF134C6" w:rsidR="002073B6"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6F58B3">
      <w:pPr>
        <w:rPr>
          <w:rFonts w:ascii="Arial" w:hAnsi="Arial" w:cs="Arial"/>
          <w:sz w:val="22"/>
          <w:szCs w:val="22"/>
          <w:lang w:val="en-GB"/>
        </w:rPr>
      </w:pPr>
    </w:p>
    <w:p w14:paraId="3625363A" w14:textId="111F8E2F" w:rsidR="002073B6" w:rsidRPr="007807C6" w:rsidRDefault="002073B6" w:rsidP="00640623">
      <w:pPr>
        <w:pStyle w:val="ListParagraph"/>
        <w:numPr>
          <w:ilvl w:val="0"/>
          <w:numId w:val="25"/>
        </w:numPr>
        <w:ind w:left="426" w:hanging="426"/>
        <w:rPr>
          <w:rFonts w:ascii="Arial" w:hAnsi="Arial" w:cs="Arial"/>
          <w:bCs/>
          <w:sz w:val="22"/>
          <w:szCs w:val="22"/>
          <w:highlight w:val="yellow"/>
          <w:lang w:val="en-GB"/>
        </w:rPr>
      </w:pPr>
      <w:r w:rsidRPr="007807C6">
        <w:rPr>
          <w:rFonts w:ascii="Arial" w:hAnsi="Arial" w:cs="Arial"/>
          <w:bCs/>
          <w:sz w:val="22"/>
          <w:szCs w:val="22"/>
          <w:highlight w:val="yellow"/>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6F58B3">
      <w:pPr>
        <w:rPr>
          <w:rFonts w:ascii="Arial" w:hAnsi="Arial" w:cs="Arial"/>
          <w:bCs/>
          <w:sz w:val="22"/>
          <w:szCs w:val="22"/>
          <w:lang w:val="en-GB"/>
        </w:rPr>
      </w:pPr>
    </w:p>
    <w:p w14:paraId="6A27203B" w14:textId="115A7D29" w:rsidR="002073B6"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6F58B3">
      <w:pPr>
        <w:rPr>
          <w:rFonts w:ascii="Arial" w:hAnsi="Arial" w:cs="Arial"/>
          <w:sz w:val="22"/>
          <w:szCs w:val="22"/>
          <w:lang w:val="en-GB"/>
        </w:rPr>
      </w:pPr>
    </w:p>
    <w:p w14:paraId="02C87DC8" w14:textId="459201FC" w:rsidR="003C6597" w:rsidRPr="00CA448F"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640623">
      <w:pPr>
        <w:rPr>
          <w:rFonts w:ascii="Arial" w:hAnsi="Arial" w:cs="Arial"/>
          <w:bCs/>
          <w:sz w:val="22"/>
          <w:szCs w:val="22"/>
          <w:lang w:val="en-GB"/>
        </w:rPr>
      </w:pPr>
    </w:p>
    <w:p w14:paraId="2310A624" w14:textId="50C26E6C" w:rsidR="002C1EC5" w:rsidRPr="00CA448F" w:rsidRDefault="002C1EC5" w:rsidP="00640623">
      <w:pPr>
        <w:rPr>
          <w:rFonts w:ascii="Arial" w:hAnsi="Arial" w:cs="Arial"/>
          <w:bCs/>
          <w:sz w:val="22"/>
          <w:szCs w:val="22"/>
          <w:lang w:val="en-GB"/>
        </w:rPr>
      </w:pPr>
    </w:p>
    <w:p w14:paraId="458E4DDF" w14:textId="77777777" w:rsidR="00962045"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 2</w:t>
      </w:r>
      <w:r w:rsidR="00962045" w:rsidRPr="00CA448F">
        <w:rPr>
          <w:rFonts w:ascii="Arial" w:hAnsi="Arial" w:cs="Arial"/>
          <w:b/>
          <w:sz w:val="22"/>
          <w:szCs w:val="22"/>
          <w:lang w:val="en-GB"/>
        </w:rPr>
        <w:t xml:space="preserve"> (direct questions) [10 marks] </w:t>
      </w:r>
    </w:p>
    <w:p w14:paraId="7F4E3BF9" w14:textId="77777777" w:rsidR="00962045" w:rsidRPr="00CA448F" w:rsidRDefault="00962045" w:rsidP="00640623">
      <w:pPr>
        <w:ind w:left="720" w:hanging="720"/>
        <w:rPr>
          <w:rFonts w:ascii="Arial" w:hAnsi="Arial" w:cs="Arial"/>
          <w:sz w:val="22"/>
          <w:szCs w:val="22"/>
          <w:lang w:val="en-GB"/>
        </w:rPr>
      </w:pPr>
    </w:p>
    <w:p w14:paraId="71F98141" w14:textId="77777777" w:rsidR="002C13C8" w:rsidRPr="00CA448F" w:rsidRDefault="002C13C8" w:rsidP="00640623">
      <w:pPr>
        <w:ind w:left="720" w:hanging="720"/>
        <w:rPr>
          <w:rFonts w:ascii="Arial" w:hAnsi="Arial" w:cs="Arial"/>
          <w:sz w:val="22"/>
          <w:szCs w:val="22"/>
          <w:lang w:val="en-GB"/>
        </w:rPr>
      </w:pPr>
      <w:r w:rsidRPr="00CA448F">
        <w:rPr>
          <w:rFonts w:ascii="Arial" w:hAnsi="Arial" w:cs="Arial"/>
          <w:b/>
          <w:bCs/>
          <w:sz w:val="22"/>
          <w:szCs w:val="22"/>
          <w:lang w:val="en-GB"/>
        </w:rPr>
        <w:t xml:space="preserve">Question </w:t>
      </w:r>
      <w:r w:rsidR="00962045" w:rsidRPr="00CA448F">
        <w:rPr>
          <w:rFonts w:ascii="Arial" w:hAnsi="Arial" w:cs="Arial"/>
          <w:b/>
          <w:bCs/>
          <w:sz w:val="22"/>
          <w:szCs w:val="22"/>
          <w:lang w:val="en-GB"/>
        </w:rPr>
        <w:t>2.1</w:t>
      </w:r>
      <w:r w:rsidR="00962045" w:rsidRPr="00CA448F">
        <w:rPr>
          <w:rFonts w:ascii="Arial" w:hAnsi="Arial" w:cs="Arial"/>
          <w:b/>
          <w:bCs/>
          <w:sz w:val="22"/>
          <w:szCs w:val="22"/>
          <w:lang w:val="en-GB"/>
        </w:rPr>
        <w:tab/>
      </w:r>
      <w:r w:rsidR="00DE03AF" w:rsidRPr="00CA448F">
        <w:rPr>
          <w:rFonts w:ascii="Arial" w:hAnsi="Arial" w:cs="Arial"/>
          <w:b/>
          <w:bCs/>
          <w:sz w:val="22"/>
          <w:szCs w:val="22"/>
          <w:lang w:val="en-GB"/>
        </w:rPr>
        <w:t>[</w:t>
      </w:r>
      <w:r w:rsidR="00D17FDC" w:rsidRPr="00CA448F">
        <w:rPr>
          <w:rFonts w:ascii="Arial" w:hAnsi="Arial" w:cs="Arial"/>
          <w:b/>
          <w:bCs/>
          <w:sz w:val="22"/>
          <w:szCs w:val="22"/>
          <w:lang w:val="en-GB"/>
        </w:rPr>
        <w:t>m</w:t>
      </w:r>
      <w:r w:rsidR="00DE03AF" w:rsidRPr="00CA448F">
        <w:rPr>
          <w:rFonts w:ascii="Arial" w:hAnsi="Arial" w:cs="Arial"/>
          <w:b/>
          <w:bCs/>
          <w:sz w:val="22"/>
          <w:szCs w:val="22"/>
          <w:lang w:val="en-GB"/>
        </w:rPr>
        <w:t xml:space="preserve">aximum </w:t>
      </w:r>
      <w:r w:rsidR="003C6597" w:rsidRPr="00CA448F">
        <w:rPr>
          <w:rFonts w:ascii="Arial" w:hAnsi="Arial" w:cs="Arial"/>
          <w:b/>
          <w:bCs/>
          <w:sz w:val="22"/>
          <w:szCs w:val="22"/>
          <w:lang w:val="en-GB"/>
        </w:rPr>
        <w:t>2</w:t>
      </w:r>
      <w:r w:rsidR="00DE03AF" w:rsidRPr="00CA448F">
        <w:rPr>
          <w:rFonts w:ascii="Arial" w:hAnsi="Arial" w:cs="Arial"/>
          <w:b/>
          <w:bCs/>
          <w:sz w:val="22"/>
          <w:szCs w:val="22"/>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640623">
      <w:pPr>
        <w:ind w:left="720" w:hanging="720"/>
        <w:rPr>
          <w:rFonts w:ascii="Arial" w:hAnsi="Arial" w:cs="Arial"/>
          <w:sz w:val="22"/>
          <w:szCs w:val="22"/>
          <w:lang w:val="en-GB"/>
        </w:rPr>
      </w:pPr>
    </w:p>
    <w:p w14:paraId="39EB7667" w14:textId="344E90CE" w:rsidR="00007BF3" w:rsidRPr="00CA448F" w:rsidRDefault="006645D6" w:rsidP="00640623">
      <w:pPr>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640623">
      <w:pPr>
        <w:ind w:left="720" w:hanging="720"/>
        <w:rPr>
          <w:rFonts w:ascii="Arial" w:hAnsi="Arial" w:cs="Arial"/>
          <w:sz w:val="22"/>
          <w:szCs w:val="22"/>
          <w:lang w:val="en-GB"/>
        </w:rPr>
      </w:pPr>
    </w:p>
    <w:p w14:paraId="57C72FC7" w14:textId="77777777" w:rsidR="007807C6" w:rsidRDefault="006F58B3" w:rsidP="00640623">
      <w:pPr>
        <w:ind w:left="720" w:hanging="72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7807C6">
        <w:rPr>
          <w:rFonts w:ascii="Arial" w:hAnsi="Arial" w:cs="Arial"/>
          <w:color w:val="808080" w:themeColor="background1" w:themeShade="80"/>
          <w:sz w:val="22"/>
          <w:szCs w:val="22"/>
          <w:lang w:val="en-GB"/>
        </w:rPr>
        <w:t>The key point relating to registration of real property interests in different Emirates of the UAE is that each Emirate maintains its own land registry and system therefor. While there is an overall UAE law for creation of mortgages , there are slight differences in registering these in individual Emirates depending on specific Emirati law.</w:t>
      </w:r>
    </w:p>
    <w:p w14:paraId="582BB8CA" w14:textId="77777777" w:rsidR="007807C6" w:rsidRDefault="007807C6" w:rsidP="00640623">
      <w:pPr>
        <w:ind w:left="720" w:hanging="720"/>
        <w:rPr>
          <w:rFonts w:ascii="Arial" w:hAnsi="Arial" w:cs="Arial"/>
          <w:color w:val="808080" w:themeColor="background1" w:themeShade="80"/>
          <w:sz w:val="22"/>
          <w:szCs w:val="22"/>
          <w:lang w:val="en-GB"/>
        </w:rPr>
      </w:pPr>
    </w:p>
    <w:p w14:paraId="66111F80" w14:textId="77777777" w:rsidR="007D00B7" w:rsidRDefault="007807C6" w:rsidP="00640623">
      <w:pPr>
        <w:ind w:left="720" w:hanging="72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respect of a </w:t>
      </w:r>
      <w:r w:rsidR="007D00B7">
        <w:rPr>
          <w:rFonts w:ascii="Arial" w:hAnsi="Arial" w:cs="Arial"/>
          <w:color w:val="808080" w:themeColor="background1" w:themeShade="80"/>
          <w:sz w:val="22"/>
          <w:szCs w:val="22"/>
          <w:lang w:val="en-GB"/>
        </w:rPr>
        <w:t>sale of mortgaged real property in the event of debtor default , key difference in carrying this out in Mainland UAE and in Financial Free Zone such as DIFC is as follows:</w:t>
      </w:r>
    </w:p>
    <w:p w14:paraId="20710D26" w14:textId="77777777" w:rsidR="007D00B7" w:rsidRDefault="007D00B7" w:rsidP="00640623">
      <w:pPr>
        <w:ind w:left="720" w:hanging="720"/>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r w:rsidRPr="007D00B7">
        <w:rPr>
          <w:rFonts w:ascii="Arial" w:hAnsi="Arial" w:cs="Arial"/>
          <w:b/>
          <w:color w:val="808080" w:themeColor="background1" w:themeShade="80"/>
          <w:sz w:val="22"/>
          <w:szCs w:val="22"/>
          <w:lang w:val="en-GB"/>
        </w:rPr>
        <w:t>Mainland UAE</w:t>
      </w:r>
      <w:r>
        <w:rPr>
          <w:rFonts w:ascii="Arial" w:hAnsi="Arial" w:cs="Arial"/>
          <w:color w:val="808080" w:themeColor="background1" w:themeShade="80"/>
          <w:sz w:val="22"/>
          <w:szCs w:val="22"/>
          <w:lang w:val="en-GB"/>
        </w:rPr>
        <w:t xml:space="preserve"> </w:t>
      </w:r>
      <w:r w:rsidR="007807C6">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The sale requires court intervention</w:t>
      </w:r>
      <w:r w:rsidR="007807C6">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 and can be accomplished only through the Court.</w:t>
      </w:r>
    </w:p>
    <w:p w14:paraId="0A17D9AF" w14:textId="2ADB1167" w:rsidR="00A334F9" w:rsidRPr="00CA448F" w:rsidRDefault="007D00B7" w:rsidP="00640623">
      <w:pPr>
        <w:ind w:left="720" w:hanging="720"/>
        <w:rPr>
          <w:rFonts w:ascii="Arial" w:hAnsi="Arial" w:cs="Arial"/>
          <w:color w:val="808080" w:themeColor="background1" w:themeShade="80"/>
          <w:sz w:val="22"/>
          <w:szCs w:val="22"/>
          <w:lang w:val="en-GB"/>
        </w:rPr>
      </w:pPr>
      <w:r>
        <w:rPr>
          <w:rFonts w:ascii="Arial" w:hAnsi="Arial" w:cs="Arial"/>
          <w:b/>
          <w:color w:val="808080" w:themeColor="background1" w:themeShade="80"/>
          <w:sz w:val="22"/>
          <w:szCs w:val="22"/>
          <w:lang w:val="en-GB"/>
        </w:rPr>
        <w:t xml:space="preserve">  DIFC  </w:t>
      </w:r>
      <w:r>
        <w:rPr>
          <w:rFonts w:ascii="Arial" w:hAnsi="Arial" w:cs="Arial"/>
          <w:color w:val="808080" w:themeColor="background1" w:themeShade="80"/>
          <w:sz w:val="22"/>
          <w:szCs w:val="22"/>
          <w:lang w:val="en-GB"/>
        </w:rPr>
        <w:t xml:space="preserve">A creditor can give 60 days’ notice and if default persists, can enter into possession of the mortgaged real property , and collect rents or sell the property </w:t>
      </w:r>
      <w:r w:rsidR="00DF2B2F">
        <w:rPr>
          <w:rFonts w:ascii="Arial" w:hAnsi="Arial" w:cs="Arial"/>
          <w:color w:val="808080" w:themeColor="background1" w:themeShade="80"/>
          <w:sz w:val="22"/>
          <w:szCs w:val="22"/>
          <w:lang w:val="en-GB"/>
        </w:rPr>
        <w:t>t</w:t>
      </w:r>
      <w:r>
        <w:rPr>
          <w:rFonts w:ascii="Arial" w:hAnsi="Arial" w:cs="Arial"/>
          <w:color w:val="808080" w:themeColor="background1" w:themeShade="80"/>
          <w:sz w:val="22"/>
          <w:szCs w:val="22"/>
          <w:lang w:val="en-GB"/>
        </w:rPr>
        <w:t>o realise dues. There</w:t>
      </w:r>
      <w:r w:rsidR="00DF2B2F">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is no need for Court intervention.</w:t>
      </w:r>
      <w:r w:rsidR="006F58B3">
        <w:rPr>
          <w:rFonts w:ascii="Arial" w:hAnsi="Arial" w:cs="Arial"/>
          <w:color w:val="808080" w:themeColor="background1" w:themeShade="80"/>
          <w:sz w:val="22"/>
          <w:szCs w:val="22"/>
          <w:lang w:val="en-GB"/>
        </w:rPr>
        <w:t>]</w:t>
      </w:r>
    </w:p>
    <w:p w14:paraId="43BB66E0" w14:textId="4B71E8ED" w:rsidR="00A334F9" w:rsidRDefault="00A334F9" w:rsidP="00640623">
      <w:pPr>
        <w:ind w:left="720" w:hanging="720"/>
        <w:rPr>
          <w:rFonts w:ascii="Arial" w:hAnsi="Arial" w:cs="Arial"/>
          <w:color w:val="808080" w:themeColor="background1" w:themeShade="80"/>
          <w:sz w:val="22"/>
          <w:szCs w:val="22"/>
          <w:lang w:val="en-GB"/>
        </w:rPr>
      </w:pPr>
    </w:p>
    <w:p w14:paraId="6C01B871" w14:textId="77777777" w:rsidR="006F58B3" w:rsidRPr="00CA448F" w:rsidRDefault="006F58B3" w:rsidP="00640623">
      <w:pPr>
        <w:ind w:left="720" w:hanging="720"/>
        <w:rPr>
          <w:rFonts w:ascii="Arial" w:hAnsi="Arial" w:cs="Arial"/>
          <w:color w:val="808080" w:themeColor="background1" w:themeShade="80"/>
          <w:sz w:val="22"/>
          <w:szCs w:val="22"/>
          <w:lang w:val="en-GB"/>
        </w:rPr>
      </w:pPr>
    </w:p>
    <w:p w14:paraId="3CAA304C" w14:textId="6EA3C023" w:rsidR="00C72848" w:rsidRPr="00CA448F" w:rsidRDefault="002C13C8" w:rsidP="00640623">
      <w:pPr>
        <w:ind w:left="720" w:hanging="720"/>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640623">
      <w:pPr>
        <w:ind w:left="720" w:hanging="720"/>
        <w:rPr>
          <w:rFonts w:ascii="Arial" w:hAnsi="Arial" w:cs="Arial"/>
          <w:sz w:val="22"/>
          <w:szCs w:val="22"/>
        </w:rPr>
      </w:pPr>
    </w:p>
    <w:p w14:paraId="589D300E" w14:textId="55A1E88D" w:rsidR="00651151" w:rsidRPr="00CA448F" w:rsidRDefault="00651151" w:rsidP="00640623">
      <w:pPr>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a number of similarities regarding the entry into and conduct of each of the respective processes. While the processes are different, various “actors” assume similar roles in each process. For all of the processes, which actor is responsible for each of the following:</w:t>
      </w:r>
    </w:p>
    <w:p w14:paraId="214980C0" w14:textId="77777777" w:rsidR="00651151" w:rsidRPr="00CA448F" w:rsidRDefault="00651151" w:rsidP="00640623">
      <w:pPr>
        <w:rPr>
          <w:rFonts w:ascii="Arial" w:hAnsi="Arial" w:cs="Arial"/>
          <w:sz w:val="22"/>
          <w:szCs w:val="22"/>
          <w:lang w:val="en-GB"/>
        </w:rPr>
      </w:pPr>
    </w:p>
    <w:p w14:paraId="1BDCFC4D" w14:textId="33A85AF2" w:rsidR="00651151" w:rsidRDefault="00651151" w:rsidP="00640623">
      <w:pPr>
        <w:pStyle w:val="ListParagraph"/>
        <w:numPr>
          <w:ilvl w:val="0"/>
          <w:numId w:val="30"/>
        </w:numPr>
        <w:ind w:left="426" w:hanging="426"/>
        <w:rPr>
          <w:rFonts w:ascii="Arial" w:hAnsi="Arial" w:cs="Arial"/>
          <w:sz w:val="22"/>
          <w:szCs w:val="22"/>
          <w:lang w:val="en-GB"/>
        </w:rPr>
      </w:pPr>
      <w:r w:rsidRPr="00CA448F">
        <w:rPr>
          <w:rFonts w:ascii="Arial" w:hAnsi="Arial" w:cs="Arial"/>
          <w:sz w:val="22"/>
          <w:szCs w:val="22"/>
          <w:lang w:val="en-GB"/>
        </w:rPr>
        <w:t>A decision on any application to commence an insolvency process;</w:t>
      </w:r>
      <w:r w:rsidR="007D00B7">
        <w:rPr>
          <w:rFonts w:ascii="Arial" w:hAnsi="Arial" w:cs="Arial"/>
          <w:sz w:val="22"/>
          <w:szCs w:val="22"/>
          <w:lang w:val="en-GB"/>
        </w:rPr>
        <w:t xml:space="preserve"> </w:t>
      </w:r>
    </w:p>
    <w:p w14:paraId="1ED2403E" w14:textId="39945E56" w:rsidR="007D00B7" w:rsidRPr="007D00B7" w:rsidRDefault="007D00B7" w:rsidP="00E80939">
      <w:pPr>
        <w:pStyle w:val="ListParagraph"/>
        <w:ind w:left="426"/>
        <w:rPr>
          <w:rFonts w:ascii="Arial" w:hAnsi="Arial" w:cs="Arial"/>
          <w:sz w:val="22"/>
          <w:szCs w:val="22"/>
          <w:lang w:val="en-GB"/>
        </w:rPr>
      </w:pPr>
      <w:r>
        <w:rPr>
          <w:rFonts w:ascii="Arial" w:hAnsi="Arial" w:cs="Arial"/>
          <w:sz w:val="22"/>
          <w:szCs w:val="22"/>
          <w:lang w:val="en-GB"/>
        </w:rPr>
        <w:t xml:space="preserve">   </w:t>
      </w:r>
    </w:p>
    <w:p w14:paraId="6F4D3B3D" w14:textId="77777777" w:rsidR="006F58B3" w:rsidRPr="006F58B3" w:rsidRDefault="006F58B3" w:rsidP="006F58B3">
      <w:pPr>
        <w:rPr>
          <w:rFonts w:ascii="Arial" w:hAnsi="Arial" w:cs="Arial"/>
          <w:sz w:val="22"/>
          <w:szCs w:val="22"/>
          <w:lang w:val="en-GB"/>
        </w:rPr>
      </w:pPr>
    </w:p>
    <w:p w14:paraId="07C7D272" w14:textId="00E68DAC" w:rsidR="00651151" w:rsidRDefault="00651151" w:rsidP="00640623">
      <w:pPr>
        <w:pStyle w:val="ListParagraph"/>
        <w:numPr>
          <w:ilvl w:val="0"/>
          <w:numId w:val="30"/>
        </w:numPr>
        <w:ind w:left="426" w:hanging="426"/>
        <w:rPr>
          <w:rFonts w:ascii="Arial" w:hAnsi="Arial" w:cs="Arial"/>
          <w:sz w:val="22"/>
          <w:szCs w:val="22"/>
          <w:lang w:val="en-GB"/>
        </w:rPr>
      </w:pPr>
      <w:r w:rsidRPr="00CA448F">
        <w:rPr>
          <w:rFonts w:ascii="Arial" w:hAnsi="Arial" w:cs="Arial"/>
          <w:sz w:val="22"/>
          <w:szCs w:val="22"/>
          <w:lang w:val="en-GB"/>
        </w:rPr>
        <w:lastRenderedPageBreak/>
        <w:t xml:space="preserve">A primary determination as to whether a debtor’s proposal should be adopted; </w:t>
      </w:r>
    </w:p>
    <w:p w14:paraId="27D5B25D" w14:textId="77777777" w:rsidR="006F58B3" w:rsidRPr="006F58B3" w:rsidRDefault="006F58B3" w:rsidP="006F58B3">
      <w:pPr>
        <w:rPr>
          <w:rFonts w:ascii="Arial" w:hAnsi="Arial" w:cs="Arial"/>
          <w:sz w:val="22"/>
          <w:szCs w:val="22"/>
          <w:lang w:val="en-GB"/>
        </w:rPr>
      </w:pPr>
    </w:p>
    <w:p w14:paraId="0F7C4547" w14:textId="4C285A13" w:rsidR="00651151" w:rsidRPr="006F58B3" w:rsidRDefault="00651151" w:rsidP="00640623">
      <w:pPr>
        <w:pStyle w:val="ListParagraph"/>
        <w:widowControl w:val="0"/>
        <w:numPr>
          <w:ilvl w:val="0"/>
          <w:numId w:val="30"/>
        </w:numPr>
        <w:autoSpaceDE w:val="0"/>
        <w:autoSpaceDN w:val="0"/>
        <w:adjustRightInd w:val="0"/>
        <w:ind w:left="426" w:hanging="426"/>
        <w:rPr>
          <w:rFonts w:ascii="Arial" w:hAnsi="Arial" w:cs="Arial"/>
          <w:iCs/>
          <w:sz w:val="22"/>
          <w:szCs w:val="22"/>
        </w:rPr>
      </w:pPr>
      <w:r w:rsidRPr="00CA448F">
        <w:rPr>
          <w:rFonts w:ascii="Arial" w:hAnsi="Arial" w:cs="Arial"/>
          <w:sz w:val="22"/>
          <w:szCs w:val="22"/>
          <w:lang w:val="en-GB"/>
        </w:rPr>
        <w:t>Confirmation of the primary determination as to whether a debtor’s proposal should be adopted;</w:t>
      </w:r>
    </w:p>
    <w:p w14:paraId="43146A66" w14:textId="77777777" w:rsidR="006F58B3" w:rsidRPr="006F58B3" w:rsidRDefault="006F58B3" w:rsidP="006F58B3">
      <w:pPr>
        <w:widowControl w:val="0"/>
        <w:autoSpaceDE w:val="0"/>
        <w:autoSpaceDN w:val="0"/>
        <w:adjustRightInd w:val="0"/>
        <w:rPr>
          <w:rFonts w:ascii="Arial" w:hAnsi="Arial" w:cs="Arial"/>
          <w:iCs/>
          <w:sz w:val="22"/>
          <w:szCs w:val="22"/>
        </w:rPr>
      </w:pPr>
    </w:p>
    <w:p w14:paraId="78B098B3" w14:textId="0222E372" w:rsidR="003C6597" w:rsidRPr="00CA448F" w:rsidRDefault="00651151" w:rsidP="00640623">
      <w:pPr>
        <w:pStyle w:val="ListParagraph"/>
        <w:widowControl w:val="0"/>
        <w:numPr>
          <w:ilvl w:val="0"/>
          <w:numId w:val="30"/>
        </w:numPr>
        <w:autoSpaceDE w:val="0"/>
        <w:autoSpaceDN w:val="0"/>
        <w:adjustRightInd w:val="0"/>
        <w:ind w:left="426" w:hanging="426"/>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52495B01" w:rsidR="00007BF3" w:rsidRPr="00CA448F" w:rsidRDefault="00007BF3" w:rsidP="00640623">
      <w:pPr>
        <w:ind w:left="720" w:hanging="720"/>
        <w:rPr>
          <w:rFonts w:ascii="Arial" w:hAnsi="Arial" w:cs="Arial"/>
          <w:sz w:val="22"/>
          <w:szCs w:val="22"/>
        </w:rPr>
      </w:pPr>
    </w:p>
    <w:p w14:paraId="0F75CC32" w14:textId="6EF20EDA" w:rsidR="00D872CB" w:rsidRDefault="006F58B3" w:rsidP="00E80939">
      <w:pPr>
        <w:ind w:left="720" w:hanging="720"/>
        <w:rPr>
          <w:rFonts w:ascii="Arial" w:hAnsi="Arial" w:cs="Arial"/>
          <w:color w:val="808080" w:themeColor="background1" w:themeShade="80"/>
          <w:sz w:val="22"/>
          <w:szCs w:val="22"/>
        </w:rPr>
      </w:pPr>
      <w:r>
        <w:rPr>
          <w:rFonts w:ascii="Arial" w:hAnsi="Arial" w:cs="Arial"/>
          <w:color w:val="808080" w:themeColor="background1" w:themeShade="80"/>
          <w:sz w:val="22"/>
          <w:szCs w:val="22"/>
        </w:rPr>
        <w:t>[</w:t>
      </w:r>
      <w:r w:rsidR="00E80939">
        <w:rPr>
          <w:rFonts w:ascii="Arial" w:hAnsi="Arial" w:cs="Arial"/>
          <w:color w:val="808080" w:themeColor="background1" w:themeShade="80"/>
          <w:sz w:val="22"/>
          <w:szCs w:val="22"/>
        </w:rPr>
        <w:t xml:space="preserve"> </w:t>
      </w:r>
      <w:r w:rsidR="00E80939" w:rsidRPr="00F250B0">
        <w:rPr>
          <w:rFonts w:ascii="Arial" w:hAnsi="Arial" w:cs="Arial"/>
          <w:b/>
          <w:color w:val="808080" w:themeColor="background1" w:themeShade="80"/>
          <w:sz w:val="22"/>
          <w:szCs w:val="22"/>
          <w:u w:val="single"/>
        </w:rPr>
        <w:t>(a)</w:t>
      </w:r>
      <w:r w:rsidR="00F250B0" w:rsidRPr="00F250B0">
        <w:rPr>
          <w:rFonts w:ascii="Arial" w:hAnsi="Arial" w:cs="Arial"/>
          <w:b/>
          <w:color w:val="808080" w:themeColor="background1" w:themeShade="80"/>
          <w:sz w:val="22"/>
          <w:szCs w:val="22"/>
          <w:u w:val="single"/>
        </w:rPr>
        <w:t>Decision on</w:t>
      </w:r>
      <w:r w:rsidR="00F250B0">
        <w:rPr>
          <w:rFonts w:ascii="Arial" w:hAnsi="Arial" w:cs="Arial"/>
          <w:color w:val="808080" w:themeColor="background1" w:themeShade="80"/>
          <w:sz w:val="22"/>
          <w:szCs w:val="22"/>
        </w:rPr>
        <w:t xml:space="preserve"> </w:t>
      </w:r>
      <w:r w:rsidR="00D872CB" w:rsidRPr="00D872CB">
        <w:rPr>
          <w:rFonts w:ascii="Arial" w:hAnsi="Arial" w:cs="Arial"/>
          <w:b/>
          <w:color w:val="808080" w:themeColor="background1" w:themeShade="80"/>
          <w:sz w:val="22"/>
          <w:szCs w:val="22"/>
          <w:u w:val="single"/>
        </w:rPr>
        <w:t xml:space="preserve"> </w:t>
      </w:r>
      <w:r w:rsidR="00F250B0">
        <w:rPr>
          <w:rFonts w:ascii="Arial" w:hAnsi="Arial" w:cs="Arial"/>
          <w:b/>
          <w:color w:val="808080" w:themeColor="background1" w:themeShade="80"/>
          <w:sz w:val="22"/>
          <w:szCs w:val="22"/>
          <w:u w:val="single"/>
        </w:rPr>
        <w:t xml:space="preserve">any </w:t>
      </w:r>
      <w:r w:rsidR="00D872CB" w:rsidRPr="00D872CB">
        <w:rPr>
          <w:rFonts w:ascii="Arial" w:hAnsi="Arial" w:cs="Arial"/>
          <w:b/>
          <w:color w:val="808080" w:themeColor="background1" w:themeShade="80"/>
          <w:sz w:val="22"/>
          <w:szCs w:val="22"/>
          <w:u w:val="single"/>
        </w:rPr>
        <w:t xml:space="preserve"> </w:t>
      </w:r>
      <w:r w:rsidR="00F250B0">
        <w:rPr>
          <w:rFonts w:ascii="Arial" w:hAnsi="Arial" w:cs="Arial"/>
          <w:b/>
          <w:color w:val="808080" w:themeColor="background1" w:themeShade="80"/>
          <w:sz w:val="22"/>
          <w:szCs w:val="22"/>
          <w:u w:val="single"/>
        </w:rPr>
        <w:t>application to commence an insolvency process</w:t>
      </w:r>
    </w:p>
    <w:p w14:paraId="41476DD3" w14:textId="77777777" w:rsidR="00D872CB" w:rsidRDefault="00D872CB" w:rsidP="00E80939">
      <w:pPr>
        <w:ind w:left="720" w:hanging="720"/>
        <w:rPr>
          <w:rFonts w:ascii="Arial" w:hAnsi="Arial" w:cs="Arial"/>
          <w:color w:val="808080" w:themeColor="background1" w:themeShade="80"/>
          <w:sz w:val="22"/>
          <w:szCs w:val="22"/>
        </w:rPr>
      </w:pPr>
    </w:p>
    <w:p w14:paraId="7306642F" w14:textId="34D7CDC3" w:rsidR="00E80939" w:rsidRPr="00E80939" w:rsidRDefault="00E80939" w:rsidP="00E80939">
      <w:pPr>
        <w:ind w:left="720" w:hanging="720"/>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 </w:t>
      </w:r>
      <w:r w:rsidRPr="00E80939">
        <w:rPr>
          <w:rFonts w:ascii="Arial" w:hAnsi="Arial" w:cs="Arial"/>
          <w:b/>
          <w:color w:val="808080" w:themeColor="background1" w:themeShade="80"/>
          <w:sz w:val="22"/>
          <w:szCs w:val="22"/>
        </w:rPr>
        <w:t>Preventive Composition</w:t>
      </w:r>
      <w:r w:rsidRPr="00E80939">
        <w:rPr>
          <w:rFonts w:ascii="Arial" w:hAnsi="Arial" w:cs="Arial"/>
          <w:color w:val="808080" w:themeColor="background1" w:themeShade="80"/>
          <w:sz w:val="22"/>
          <w:szCs w:val="22"/>
        </w:rPr>
        <w:t xml:space="preserve">   The Court will</w:t>
      </w:r>
      <w:r w:rsidR="00D872CB">
        <w:rPr>
          <w:rFonts w:ascii="Arial" w:hAnsi="Arial" w:cs="Arial"/>
          <w:color w:val="808080" w:themeColor="background1" w:themeShade="80"/>
          <w:sz w:val="22"/>
          <w:szCs w:val="22"/>
        </w:rPr>
        <w:t xml:space="preserve"> </w:t>
      </w:r>
      <w:r w:rsidR="00F250B0">
        <w:rPr>
          <w:rFonts w:ascii="Arial" w:hAnsi="Arial" w:cs="Arial"/>
          <w:color w:val="808080" w:themeColor="background1" w:themeShade="80"/>
          <w:sz w:val="22"/>
          <w:szCs w:val="22"/>
        </w:rPr>
        <w:t>decide on the application filed by the Debtor for commencing preventive composition.</w:t>
      </w:r>
    </w:p>
    <w:p w14:paraId="573E621F" w14:textId="77777777" w:rsidR="00E80939" w:rsidRPr="00E80939" w:rsidRDefault="00E80939" w:rsidP="00E80939">
      <w:pPr>
        <w:ind w:left="720" w:hanging="720"/>
        <w:rPr>
          <w:rFonts w:ascii="Arial" w:hAnsi="Arial" w:cs="Arial"/>
          <w:color w:val="808080" w:themeColor="background1" w:themeShade="80"/>
          <w:sz w:val="22"/>
          <w:szCs w:val="22"/>
        </w:rPr>
      </w:pPr>
    </w:p>
    <w:p w14:paraId="0E316165" w14:textId="77777777" w:rsidR="00E80939" w:rsidRDefault="00E80939" w:rsidP="00E80939">
      <w:pPr>
        <w:ind w:left="720" w:hanging="720"/>
        <w:rPr>
          <w:rFonts w:ascii="Arial" w:hAnsi="Arial" w:cs="Arial"/>
          <w:color w:val="808080" w:themeColor="background1" w:themeShade="80"/>
          <w:sz w:val="22"/>
          <w:szCs w:val="22"/>
        </w:rPr>
      </w:pPr>
      <w:r w:rsidRPr="00E80939">
        <w:rPr>
          <w:rFonts w:ascii="Arial" w:hAnsi="Arial" w:cs="Arial"/>
          <w:b/>
          <w:color w:val="808080" w:themeColor="background1" w:themeShade="80"/>
          <w:sz w:val="22"/>
          <w:szCs w:val="22"/>
        </w:rPr>
        <w:t>Restructuring u/UAE Bankruptcy Law</w:t>
      </w:r>
      <w:r w:rsidRPr="00E80939">
        <w:rPr>
          <w:rFonts w:ascii="Arial" w:hAnsi="Arial" w:cs="Arial"/>
          <w:color w:val="808080" w:themeColor="background1" w:themeShade="80"/>
          <w:sz w:val="22"/>
          <w:szCs w:val="22"/>
        </w:rPr>
        <w:t xml:space="preserve">   The Court will decide on the application for initiating bankruptcy filed by debtor/creditor/controlling body/public prosecutor</w:t>
      </w:r>
    </w:p>
    <w:p w14:paraId="740AE6B3" w14:textId="77777777" w:rsidR="00F250B0" w:rsidRDefault="00F250B0" w:rsidP="00E80939">
      <w:pPr>
        <w:ind w:left="720" w:hanging="720"/>
        <w:rPr>
          <w:rFonts w:ascii="Arial" w:hAnsi="Arial" w:cs="Arial"/>
          <w:color w:val="808080" w:themeColor="background1" w:themeShade="80"/>
          <w:sz w:val="22"/>
          <w:szCs w:val="22"/>
        </w:rPr>
      </w:pPr>
    </w:p>
    <w:p w14:paraId="63350B14" w14:textId="416F2984" w:rsidR="00651151" w:rsidRPr="00F250B0" w:rsidRDefault="00AA6529" w:rsidP="00AA6529">
      <w:pPr>
        <w:pStyle w:val="ListParagraph"/>
        <w:numPr>
          <w:ilvl w:val="0"/>
          <w:numId w:val="37"/>
        </w:numPr>
        <w:rPr>
          <w:rFonts w:ascii="Arial" w:hAnsi="Arial" w:cs="Arial"/>
          <w:color w:val="808080" w:themeColor="background1" w:themeShade="80"/>
          <w:sz w:val="22"/>
          <w:szCs w:val="22"/>
        </w:rPr>
      </w:pPr>
      <w:r w:rsidRPr="00F250B0">
        <w:rPr>
          <w:rFonts w:ascii="Arial" w:hAnsi="Arial" w:cs="Arial"/>
          <w:b/>
          <w:color w:val="808080" w:themeColor="background1" w:themeShade="80"/>
          <w:sz w:val="22"/>
          <w:szCs w:val="22"/>
          <w:u w:val="single"/>
        </w:rPr>
        <w:t>Primary Determination on</w:t>
      </w:r>
      <w:r w:rsidR="00636C0E" w:rsidRPr="00F250B0">
        <w:rPr>
          <w:rFonts w:ascii="Arial" w:hAnsi="Arial" w:cs="Arial"/>
          <w:b/>
          <w:color w:val="808080" w:themeColor="background1" w:themeShade="80"/>
          <w:sz w:val="22"/>
          <w:szCs w:val="22"/>
          <w:u w:val="single"/>
        </w:rPr>
        <w:t xml:space="preserve"> adoption of a </w:t>
      </w:r>
      <w:r w:rsidRPr="00F250B0">
        <w:rPr>
          <w:rFonts w:ascii="Arial" w:hAnsi="Arial" w:cs="Arial"/>
          <w:b/>
          <w:color w:val="808080" w:themeColor="background1" w:themeShade="80"/>
          <w:sz w:val="22"/>
          <w:szCs w:val="22"/>
          <w:u w:val="single"/>
        </w:rPr>
        <w:t xml:space="preserve"> Debtor’s proposal</w:t>
      </w:r>
      <w:r w:rsidR="00F250B0">
        <w:rPr>
          <w:rFonts w:ascii="Arial" w:hAnsi="Arial" w:cs="Arial"/>
          <w:b/>
          <w:color w:val="808080" w:themeColor="background1" w:themeShade="80"/>
          <w:sz w:val="22"/>
          <w:szCs w:val="22"/>
          <w:u w:val="single"/>
        </w:rPr>
        <w:t xml:space="preserve"> </w:t>
      </w:r>
    </w:p>
    <w:p w14:paraId="53FF87DE" w14:textId="77777777" w:rsidR="00F250B0" w:rsidRPr="00AA6529" w:rsidRDefault="00F250B0" w:rsidP="00F250B0">
      <w:pPr>
        <w:pStyle w:val="ListParagraph"/>
        <w:rPr>
          <w:rFonts w:ascii="Arial" w:hAnsi="Arial" w:cs="Arial"/>
          <w:color w:val="808080" w:themeColor="background1" w:themeShade="80"/>
          <w:sz w:val="22"/>
          <w:szCs w:val="22"/>
        </w:rPr>
      </w:pPr>
    </w:p>
    <w:p w14:paraId="115D0320" w14:textId="0A68D2F7" w:rsidR="00651151" w:rsidRDefault="00AA6529" w:rsidP="00AA6529">
      <w:pPr>
        <w:ind w:left="720"/>
        <w:rPr>
          <w:rFonts w:ascii="Arial" w:hAnsi="Arial" w:cs="Arial"/>
          <w:color w:val="808080" w:themeColor="background1" w:themeShade="80"/>
          <w:sz w:val="22"/>
          <w:szCs w:val="22"/>
        </w:rPr>
      </w:pPr>
      <w:r w:rsidRPr="00AA6529">
        <w:rPr>
          <w:rFonts w:ascii="Arial" w:hAnsi="Arial" w:cs="Arial"/>
          <w:b/>
          <w:color w:val="808080" w:themeColor="background1" w:themeShade="80"/>
          <w:sz w:val="22"/>
          <w:szCs w:val="22"/>
        </w:rPr>
        <w:t>Preventive Composition (PC</w:t>
      </w:r>
      <w:r>
        <w:rPr>
          <w:rFonts w:ascii="Arial" w:hAnsi="Arial" w:cs="Arial"/>
          <w:color w:val="808080" w:themeColor="background1" w:themeShade="80"/>
          <w:sz w:val="22"/>
          <w:szCs w:val="22"/>
        </w:rPr>
        <w:t xml:space="preserve">) </w:t>
      </w:r>
      <w:r w:rsidR="000B6911">
        <w:rPr>
          <w:rFonts w:ascii="Arial" w:hAnsi="Arial" w:cs="Arial"/>
          <w:color w:val="808080" w:themeColor="background1" w:themeShade="80"/>
          <w:sz w:val="22"/>
          <w:szCs w:val="22"/>
        </w:rPr>
        <w:t xml:space="preserve">The Court receiving the Debtor’s application for PC will appoint an expert from the Panel of the Financial </w:t>
      </w:r>
      <w:r w:rsidR="003F3C8E">
        <w:rPr>
          <w:rFonts w:ascii="Arial" w:hAnsi="Arial" w:cs="Arial"/>
          <w:color w:val="808080" w:themeColor="background1" w:themeShade="80"/>
          <w:sz w:val="22"/>
          <w:szCs w:val="22"/>
        </w:rPr>
        <w:t>Reorganisation</w:t>
      </w:r>
      <w:r w:rsidR="000B6911">
        <w:rPr>
          <w:rFonts w:ascii="Arial" w:hAnsi="Arial" w:cs="Arial"/>
          <w:color w:val="808080" w:themeColor="background1" w:themeShade="80"/>
          <w:sz w:val="22"/>
          <w:szCs w:val="22"/>
        </w:rPr>
        <w:t xml:space="preserve"> Committee</w:t>
      </w:r>
      <w:r w:rsidR="00636C0E">
        <w:rPr>
          <w:rFonts w:ascii="Arial" w:hAnsi="Arial" w:cs="Arial"/>
          <w:color w:val="808080" w:themeColor="background1" w:themeShade="80"/>
          <w:sz w:val="22"/>
          <w:szCs w:val="22"/>
        </w:rPr>
        <w:t xml:space="preserve"> (FRC Panel)</w:t>
      </w:r>
      <w:r w:rsidR="000B6911">
        <w:rPr>
          <w:rFonts w:ascii="Arial" w:hAnsi="Arial" w:cs="Arial"/>
          <w:color w:val="808080" w:themeColor="background1" w:themeShade="80"/>
          <w:sz w:val="22"/>
          <w:szCs w:val="22"/>
        </w:rPr>
        <w:t xml:space="preserve"> and the Expert will report on whether the application meets the criteria for filing for PC and also </w:t>
      </w:r>
      <w:r w:rsidR="00636C0E">
        <w:rPr>
          <w:rFonts w:ascii="Arial" w:hAnsi="Arial" w:cs="Arial"/>
          <w:color w:val="808080" w:themeColor="background1" w:themeShade="80"/>
          <w:sz w:val="22"/>
          <w:szCs w:val="22"/>
        </w:rPr>
        <w:t>on fin</w:t>
      </w:r>
      <w:r w:rsidR="00D872CB">
        <w:rPr>
          <w:rFonts w:ascii="Arial" w:hAnsi="Arial" w:cs="Arial"/>
          <w:color w:val="808080" w:themeColor="background1" w:themeShade="80"/>
          <w:sz w:val="22"/>
          <w:szCs w:val="22"/>
        </w:rPr>
        <w:t>ancial condition of the debtor. T</w:t>
      </w:r>
      <w:r w:rsidR="00636C0E">
        <w:rPr>
          <w:rFonts w:ascii="Arial" w:hAnsi="Arial" w:cs="Arial"/>
          <w:color w:val="808080" w:themeColor="background1" w:themeShade="80"/>
          <w:sz w:val="22"/>
          <w:szCs w:val="22"/>
        </w:rPr>
        <w:t>he Expert’s report,  make</w:t>
      </w:r>
      <w:r w:rsidR="00D872CB">
        <w:rPr>
          <w:rFonts w:ascii="Arial" w:hAnsi="Arial" w:cs="Arial"/>
          <w:color w:val="808080" w:themeColor="background1" w:themeShade="80"/>
          <w:sz w:val="22"/>
          <w:szCs w:val="22"/>
        </w:rPr>
        <w:t>s</w:t>
      </w:r>
      <w:r w:rsidR="00636C0E">
        <w:rPr>
          <w:rFonts w:ascii="Arial" w:hAnsi="Arial" w:cs="Arial"/>
          <w:color w:val="808080" w:themeColor="background1" w:themeShade="80"/>
          <w:sz w:val="22"/>
          <w:szCs w:val="22"/>
        </w:rPr>
        <w:t xml:space="preserve"> the primary determination  on a</w:t>
      </w:r>
      <w:r w:rsidR="00D872CB">
        <w:rPr>
          <w:rFonts w:ascii="Arial" w:hAnsi="Arial" w:cs="Arial"/>
          <w:color w:val="808080" w:themeColor="background1" w:themeShade="80"/>
          <w:sz w:val="22"/>
          <w:szCs w:val="22"/>
        </w:rPr>
        <w:t xml:space="preserve">doption of </w:t>
      </w:r>
      <w:r w:rsidR="00636C0E">
        <w:rPr>
          <w:rFonts w:ascii="Arial" w:hAnsi="Arial" w:cs="Arial"/>
          <w:color w:val="808080" w:themeColor="background1" w:themeShade="80"/>
          <w:sz w:val="22"/>
          <w:szCs w:val="22"/>
        </w:rPr>
        <w:t xml:space="preserve">the </w:t>
      </w:r>
      <w:r w:rsidR="00D872CB">
        <w:rPr>
          <w:rFonts w:ascii="Arial" w:hAnsi="Arial" w:cs="Arial"/>
          <w:color w:val="808080" w:themeColor="background1" w:themeShade="80"/>
          <w:sz w:val="22"/>
          <w:szCs w:val="22"/>
        </w:rPr>
        <w:t xml:space="preserve">Debtor’s </w:t>
      </w:r>
      <w:r w:rsidR="00636C0E">
        <w:rPr>
          <w:rFonts w:ascii="Arial" w:hAnsi="Arial" w:cs="Arial"/>
          <w:color w:val="808080" w:themeColor="background1" w:themeShade="80"/>
          <w:sz w:val="22"/>
          <w:szCs w:val="22"/>
        </w:rPr>
        <w:t xml:space="preserve">application for PC  </w:t>
      </w:r>
    </w:p>
    <w:p w14:paraId="7553CF63" w14:textId="77777777" w:rsidR="00F250B0" w:rsidRDefault="00F250B0" w:rsidP="00AA6529">
      <w:pPr>
        <w:ind w:left="720"/>
        <w:rPr>
          <w:rFonts w:ascii="Arial" w:hAnsi="Arial" w:cs="Arial"/>
          <w:color w:val="808080" w:themeColor="background1" w:themeShade="80"/>
          <w:sz w:val="22"/>
          <w:szCs w:val="22"/>
        </w:rPr>
      </w:pPr>
    </w:p>
    <w:p w14:paraId="10ED3CB3" w14:textId="61DFAD1D" w:rsidR="006F58B3" w:rsidRDefault="00636C0E" w:rsidP="00640623">
      <w:pPr>
        <w:ind w:left="720" w:hanging="720"/>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             </w:t>
      </w:r>
      <w:r w:rsidRPr="00636C0E">
        <w:rPr>
          <w:rFonts w:ascii="Arial" w:hAnsi="Arial" w:cs="Arial"/>
          <w:b/>
          <w:color w:val="808080" w:themeColor="background1" w:themeShade="80"/>
          <w:sz w:val="22"/>
          <w:szCs w:val="22"/>
        </w:rPr>
        <w:t>Restructuring u/UAE Bankruptcy Law</w:t>
      </w:r>
      <w:r>
        <w:rPr>
          <w:rFonts w:ascii="Arial" w:hAnsi="Arial" w:cs="Arial"/>
          <w:b/>
          <w:color w:val="808080" w:themeColor="background1" w:themeShade="80"/>
          <w:sz w:val="22"/>
          <w:szCs w:val="22"/>
        </w:rPr>
        <w:t xml:space="preserve">    </w:t>
      </w:r>
      <w:r>
        <w:rPr>
          <w:rFonts w:ascii="Arial" w:hAnsi="Arial" w:cs="Arial"/>
          <w:color w:val="808080" w:themeColor="background1" w:themeShade="80"/>
          <w:sz w:val="22"/>
          <w:szCs w:val="22"/>
        </w:rPr>
        <w:t>Court, on receipt of bankruptcy application appoints an expert from FRC Panel and the Expert , inter alia , delivers his opinion on possibility of successful restructuring..</w:t>
      </w:r>
    </w:p>
    <w:p w14:paraId="2B4802A6" w14:textId="77777777" w:rsidR="00F250B0" w:rsidRDefault="00F250B0" w:rsidP="00640623">
      <w:pPr>
        <w:ind w:left="720" w:hanging="720"/>
        <w:rPr>
          <w:rFonts w:ascii="Arial" w:hAnsi="Arial" w:cs="Arial"/>
          <w:color w:val="808080" w:themeColor="background1" w:themeShade="80"/>
          <w:sz w:val="22"/>
          <w:szCs w:val="22"/>
        </w:rPr>
      </w:pPr>
    </w:p>
    <w:p w14:paraId="5D010F0B" w14:textId="7F3C8E91" w:rsidR="00636C0E" w:rsidRPr="00F250B0" w:rsidRDefault="00636C0E" w:rsidP="00636C0E">
      <w:pPr>
        <w:pStyle w:val="ListParagraph"/>
        <w:numPr>
          <w:ilvl w:val="0"/>
          <w:numId w:val="37"/>
        </w:numPr>
        <w:rPr>
          <w:rFonts w:ascii="Arial" w:hAnsi="Arial" w:cs="Arial"/>
          <w:b/>
          <w:color w:val="808080" w:themeColor="background1" w:themeShade="80"/>
          <w:sz w:val="22"/>
          <w:szCs w:val="22"/>
          <w:u w:val="single"/>
        </w:rPr>
      </w:pPr>
      <w:r w:rsidRPr="00F250B0">
        <w:rPr>
          <w:rFonts w:ascii="Arial" w:hAnsi="Arial" w:cs="Arial"/>
          <w:b/>
          <w:color w:val="808080" w:themeColor="background1" w:themeShade="80"/>
          <w:sz w:val="22"/>
          <w:szCs w:val="22"/>
          <w:u w:val="single"/>
        </w:rPr>
        <w:t>Confirmation of the primary determination on adoption of debtor’s proposal</w:t>
      </w:r>
    </w:p>
    <w:p w14:paraId="6098764E" w14:textId="77777777" w:rsidR="00F250B0" w:rsidRDefault="00F250B0" w:rsidP="00636C0E">
      <w:pPr>
        <w:pStyle w:val="ListParagraph"/>
        <w:rPr>
          <w:rFonts w:ascii="Arial" w:hAnsi="Arial" w:cs="Arial"/>
          <w:b/>
          <w:color w:val="808080" w:themeColor="background1" w:themeShade="80"/>
          <w:sz w:val="22"/>
          <w:szCs w:val="22"/>
        </w:rPr>
      </w:pPr>
    </w:p>
    <w:p w14:paraId="2EE9AE15" w14:textId="47A4D37E" w:rsidR="00636C0E" w:rsidRDefault="00577711" w:rsidP="00636C0E">
      <w:pPr>
        <w:pStyle w:val="ListParagraph"/>
        <w:rPr>
          <w:rFonts w:ascii="Arial" w:hAnsi="Arial" w:cs="Arial"/>
          <w:color w:val="808080" w:themeColor="background1" w:themeShade="80"/>
          <w:sz w:val="22"/>
          <w:szCs w:val="22"/>
        </w:rPr>
      </w:pPr>
      <w:r>
        <w:rPr>
          <w:rFonts w:ascii="Arial" w:hAnsi="Arial" w:cs="Arial"/>
          <w:b/>
          <w:color w:val="808080" w:themeColor="background1" w:themeShade="80"/>
          <w:sz w:val="22"/>
          <w:szCs w:val="22"/>
        </w:rPr>
        <w:t xml:space="preserve">PC:  </w:t>
      </w:r>
      <w:r w:rsidR="00722B91">
        <w:rPr>
          <w:rFonts w:ascii="Arial" w:hAnsi="Arial" w:cs="Arial"/>
          <w:color w:val="808080" w:themeColor="background1" w:themeShade="80"/>
          <w:sz w:val="22"/>
          <w:szCs w:val="22"/>
        </w:rPr>
        <w:t>Upon deciding to admit the application for PC, the Court will proceed to appoint a Trustee who, inter alia is required to submit , following some prerequisite steps, to the Court a draft PC Plan (PCP) . At that stage , the Court examines the draft PCP to , inter alia, ensure that it takes acre of the interests of all stakeholders. This is the confirmation of the primary determination , in the case of PC.</w:t>
      </w:r>
    </w:p>
    <w:p w14:paraId="03009019" w14:textId="77777777" w:rsidR="00722B91" w:rsidRDefault="00722B91" w:rsidP="00636C0E">
      <w:pPr>
        <w:pStyle w:val="ListParagraph"/>
        <w:rPr>
          <w:rFonts w:ascii="Arial" w:hAnsi="Arial" w:cs="Arial"/>
          <w:color w:val="808080" w:themeColor="background1" w:themeShade="80"/>
          <w:sz w:val="22"/>
          <w:szCs w:val="22"/>
        </w:rPr>
      </w:pPr>
    </w:p>
    <w:p w14:paraId="19525C66" w14:textId="32551E26" w:rsidR="00722B91" w:rsidRDefault="00722B91" w:rsidP="00636C0E">
      <w:pPr>
        <w:pStyle w:val="ListParagraph"/>
        <w:rPr>
          <w:rFonts w:ascii="Arial" w:hAnsi="Arial" w:cs="Arial"/>
          <w:b/>
          <w:color w:val="808080" w:themeColor="background1" w:themeShade="80"/>
          <w:sz w:val="22"/>
          <w:szCs w:val="22"/>
        </w:rPr>
      </w:pPr>
      <w:r w:rsidRPr="00722B91">
        <w:rPr>
          <w:rFonts w:ascii="Arial" w:hAnsi="Arial" w:cs="Arial"/>
          <w:b/>
          <w:color w:val="808080" w:themeColor="background1" w:themeShade="80"/>
          <w:sz w:val="22"/>
          <w:szCs w:val="22"/>
        </w:rPr>
        <w:t>Restructuring u/UAE Bankruptcy law (R_u/BL)</w:t>
      </w:r>
    </w:p>
    <w:p w14:paraId="2F799387" w14:textId="77777777" w:rsidR="00D50C61" w:rsidRDefault="00D50C61" w:rsidP="00636C0E">
      <w:pPr>
        <w:pStyle w:val="ListParagraph"/>
        <w:rPr>
          <w:rFonts w:ascii="Arial" w:hAnsi="Arial" w:cs="Arial"/>
          <w:b/>
          <w:color w:val="808080" w:themeColor="background1" w:themeShade="80"/>
          <w:sz w:val="22"/>
          <w:szCs w:val="22"/>
        </w:rPr>
      </w:pPr>
    </w:p>
    <w:p w14:paraId="661D5F08" w14:textId="0EB61559" w:rsidR="00D50C61" w:rsidRDefault="00D50C61" w:rsidP="00636C0E">
      <w:pPr>
        <w:pStyle w:val="ListParagraph"/>
        <w:rPr>
          <w:rFonts w:ascii="Arial" w:hAnsi="Arial" w:cs="Arial"/>
          <w:color w:val="808080" w:themeColor="background1" w:themeShade="80"/>
          <w:sz w:val="22"/>
          <w:szCs w:val="22"/>
        </w:rPr>
      </w:pPr>
      <w:r>
        <w:rPr>
          <w:rFonts w:ascii="Arial" w:hAnsi="Arial" w:cs="Arial"/>
          <w:color w:val="808080" w:themeColor="background1" w:themeShade="80"/>
          <w:sz w:val="22"/>
          <w:szCs w:val="22"/>
        </w:rPr>
        <w:t>U/Art 96 of the Bankruptcy Law , the Trustee appointed by the Court on accepting application for bankruptcy and commencing the process, will submit a report on possibility of restructuring. This is a confirmatory step in regard to restructuring u/BankruptcyLaw.</w:t>
      </w:r>
    </w:p>
    <w:p w14:paraId="7796AB8C" w14:textId="77777777" w:rsidR="00D50C61" w:rsidRDefault="00D50C61" w:rsidP="00D50C61">
      <w:pPr>
        <w:rPr>
          <w:rFonts w:ascii="Arial" w:hAnsi="Arial" w:cs="Arial"/>
          <w:color w:val="808080" w:themeColor="background1" w:themeShade="80"/>
          <w:sz w:val="22"/>
          <w:szCs w:val="22"/>
        </w:rPr>
      </w:pPr>
    </w:p>
    <w:p w14:paraId="5C2D9E9C" w14:textId="6802962F" w:rsidR="00D50C61" w:rsidRPr="00D50C61" w:rsidRDefault="00D50C61" w:rsidP="00D50C61">
      <w:pPr>
        <w:pStyle w:val="ListParagraph"/>
        <w:numPr>
          <w:ilvl w:val="0"/>
          <w:numId w:val="37"/>
        </w:numPr>
        <w:rPr>
          <w:rFonts w:ascii="Arial" w:hAnsi="Arial" w:cs="Arial"/>
          <w:b/>
          <w:color w:val="808080" w:themeColor="background1" w:themeShade="80"/>
          <w:sz w:val="22"/>
          <w:szCs w:val="22"/>
          <w:u w:val="single"/>
        </w:rPr>
      </w:pPr>
      <w:r w:rsidRPr="00D50C61">
        <w:rPr>
          <w:rFonts w:ascii="Arial" w:hAnsi="Arial" w:cs="Arial"/>
          <w:b/>
          <w:color w:val="808080" w:themeColor="background1" w:themeShade="80"/>
          <w:sz w:val="22"/>
          <w:szCs w:val="22"/>
          <w:u w:val="single"/>
        </w:rPr>
        <w:t>For supervising the implementation of the insolvency process by the debtor</w:t>
      </w:r>
    </w:p>
    <w:p w14:paraId="5BE5B430" w14:textId="77777777" w:rsidR="00D50C61" w:rsidRDefault="00D50C61" w:rsidP="00636C0E">
      <w:pPr>
        <w:pStyle w:val="ListParagraph"/>
        <w:rPr>
          <w:rFonts w:ascii="Arial" w:hAnsi="Arial" w:cs="Arial"/>
          <w:color w:val="808080" w:themeColor="background1" w:themeShade="80"/>
          <w:sz w:val="22"/>
          <w:szCs w:val="22"/>
        </w:rPr>
      </w:pPr>
    </w:p>
    <w:p w14:paraId="4648672F" w14:textId="7DB9D5BA" w:rsidR="00D50C61" w:rsidRDefault="00D50C61" w:rsidP="00636C0E">
      <w:pPr>
        <w:pStyle w:val="ListParagraph"/>
        <w:rPr>
          <w:rFonts w:ascii="Arial" w:hAnsi="Arial" w:cs="Arial"/>
          <w:color w:val="808080" w:themeColor="background1" w:themeShade="80"/>
          <w:sz w:val="22"/>
          <w:szCs w:val="22"/>
        </w:rPr>
      </w:pPr>
      <w:r w:rsidRPr="00D50C61">
        <w:rPr>
          <w:rFonts w:ascii="Arial" w:hAnsi="Arial" w:cs="Arial"/>
          <w:b/>
          <w:color w:val="808080" w:themeColor="background1" w:themeShade="80"/>
          <w:sz w:val="22"/>
          <w:szCs w:val="22"/>
        </w:rPr>
        <w:t>PC</w:t>
      </w:r>
      <w:r>
        <w:rPr>
          <w:rFonts w:ascii="Arial" w:hAnsi="Arial" w:cs="Arial"/>
          <w:color w:val="808080" w:themeColor="background1" w:themeShade="80"/>
          <w:sz w:val="22"/>
          <w:szCs w:val="22"/>
        </w:rPr>
        <w:t xml:space="preserve">: </w:t>
      </w:r>
    </w:p>
    <w:p w14:paraId="42638172" w14:textId="215A1DFB" w:rsidR="00D50C61" w:rsidRDefault="00D50C61" w:rsidP="00636C0E">
      <w:pPr>
        <w:pStyle w:val="ListParagraph"/>
        <w:rPr>
          <w:rFonts w:ascii="Arial" w:hAnsi="Arial" w:cs="Arial"/>
          <w:color w:val="808080" w:themeColor="background1" w:themeShade="80"/>
          <w:sz w:val="22"/>
          <w:szCs w:val="22"/>
        </w:rPr>
      </w:pPr>
      <w:r>
        <w:rPr>
          <w:rFonts w:ascii="Arial" w:hAnsi="Arial" w:cs="Arial"/>
          <w:color w:val="808080" w:themeColor="background1" w:themeShade="80"/>
          <w:sz w:val="22"/>
          <w:szCs w:val="22"/>
        </w:rPr>
        <w:t>The Trustee appointed by the Court supervises the insolvency process u/PC</w:t>
      </w:r>
      <w:r w:rsidR="003F3C8E">
        <w:rPr>
          <w:rFonts w:ascii="Arial" w:hAnsi="Arial" w:cs="Arial"/>
          <w:color w:val="808080" w:themeColor="background1" w:themeShade="80"/>
          <w:sz w:val="22"/>
          <w:szCs w:val="22"/>
        </w:rPr>
        <w:t xml:space="preserve"> in terms of Art 9(1)(f) of BL. </w:t>
      </w:r>
    </w:p>
    <w:p w14:paraId="7271FAC2" w14:textId="77777777" w:rsidR="003F3C8E" w:rsidRDefault="003F3C8E" w:rsidP="00636C0E">
      <w:pPr>
        <w:pStyle w:val="ListParagraph"/>
        <w:rPr>
          <w:rFonts w:ascii="Arial" w:hAnsi="Arial" w:cs="Arial"/>
          <w:color w:val="808080" w:themeColor="background1" w:themeShade="80"/>
          <w:sz w:val="22"/>
          <w:szCs w:val="22"/>
        </w:rPr>
      </w:pPr>
    </w:p>
    <w:p w14:paraId="19ADEB0D" w14:textId="7D80C036" w:rsidR="003F3C8E" w:rsidRDefault="003F3C8E" w:rsidP="00636C0E">
      <w:pPr>
        <w:pStyle w:val="ListParagraph"/>
        <w:rPr>
          <w:rFonts w:ascii="Arial" w:hAnsi="Arial" w:cs="Arial"/>
          <w:b/>
          <w:color w:val="808080" w:themeColor="background1" w:themeShade="80"/>
          <w:sz w:val="22"/>
          <w:szCs w:val="22"/>
          <w:u w:val="single"/>
        </w:rPr>
      </w:pPr>
      <w:r w:rsidRPr="003F3C8E">
        <w:rPr>
          <w:rFonts w:ascii="Arial" w:hAnsi="Arial" w:cs="Arial"/>
          <w:b/>
          <w:color w:val="808080" w:themeColor="background1" w:themeShade="80"/>
          <w:sz w:val="22"/>
          <w:szCs w:val="22"/>
          <w:u w:val="single"/>
        </w:rPr>
        <w:t>R_u/BL</w:t>
      </w:r>
    </w:p>
    <w:p w14:paraId="1D8EEF10" w14:textId="4B298915" w:rsidR="00577711" w:rsidRDefault="00577711" w:rsidP="003F3C8E">
      <w:pPr>
        <w:rPr>
          <w:rFonts w:ascii="Arial" w:hAnsi="Arial" w:cs="Arial"/>
          <w:b/>
          <w:color w:val="808080" w:themeColor="background1" w:themeShade="80"/>
          <w:sz w:val="22"/>
          <w:szCs w:val="22"/>
          <w:u w:val="single"/>
        </w:rPr>
      </w:pPr>
    </w:p>
    <w:p w14:paraId="0DD563AA" w14:textId="5E5CC737" w:rsidR="006F58B3" w:rsidRPr="000C7A83" w:rsidRDefault="000C7A83" w:rsidP="000C7A83">
      <w:pPr>
        <w:rPr>
          <w:rFonts w:ascii="Arial" w:hAnsi="Arial" w:cs="Arial"/>
          <w:color w:val="808080" w:themeColor="background1" w:themeShade="80"/>
          <w:sz w:val="22"/>
          <w:szCs w:val="22"/>
        </w:rPr>
      </w:pPr>
      <w:r w:rsidRPr="000C7A83">
        <w:rPr>
          <w:rFonts w:ascii="Arial" w:hAnsi="Arial" w:cs="Arial"/>
          <w:color w:val="808080" w:themeColor="background1" w:themeShade="80"/>
          <w:sz w:val="22"/>
          <w:szCs w:val="22"/>
        </w:rPr>
        <w:t xml:space="preserve">             Th</w:t>
      </w:r>
      <w:r>
        <w:rPr>
          <w:rFonts w:ascii="Arial" w:hAnsi="Arial" w:cs="Arial"/>
          <w:color w:val="808080" w:themeColor="background1" w:themeShade="80"/>
          <w:sz w:val="22"/>
          <w:szCs w:val="22"/>
        </w:rPr>
        <w:t>e Trustee appointed by the Court , u/Art 83 and  discharging functions as envisaged u/Art 73(1)(E) , supervises the insolvency process in this case.</w:t>
      </w:r>
      <w:r w:rsidR="00806E7F">
        <w:rPr>
          <w:rFonts w:ascii="Arial" w:hAnsi="Arial" w:cs="Arial"/>
          <w:color w:val="808080" w:themeColor="background1" w:themeShade="80"/>
          <w:sz w:val="22"/>
          <w:szCs w:val="22"/>
        </w:rPr>
        <w:t xml:space="preserve"> </w:t>
      </w:r>
      <w:r>
        <w:rPr>
          <w:rFonts w:ascii="Arial" w:hAnsi="Arial" w:cs="Arial"/>
          <w:color w:val="808080" w:themeColor="background1" w:themeShade="80"/>
          <w:sz w:val="22"/>
          <w:szCs w:val="22"/>
        </w:rPr>
        <w:t xml:space="preserve"> </w:t>
      </w:r>
    </w:p>
    <w:p w14:paraId="64A03659" w14:textId="7151E7F2" w:rsidR="006F58B3" w:rsidRPr="000C7A83" w:rsidRDefault="006F58B3" w:rsidP="00640623">
      <w:pPr>
        <w:ind w:left="720" w:hanging="720"/>
        <w:rPr>
          <w:rFonts w:ascii="Arial" w:hAnsi="Arial" w:cs="Arial"/>
          <w:color w:val="808080" w:themeColor="background1" w:themeShade="80"/>
          <w:sz w:val="22"/>
          <w:szCs w:val="22"/>
        </w:rPr>
      </w:pPr>
    </w:p>
    <w:p w14:paraId="6E3C132A" w14:textId="77777777" w:rsidR="006F58B3" w:rsidRPr="00CA448F" w:rsidRDefault="006F58B3" w:rsidP="00640623">
      <w:pPr>
        <w:ind w:left="720" w:hanging="720"/>
        <w:rPr>
          <w:rFonts w:ascii="Arial" w:hAnsi="Arial" w:cs="Arial"/>
          <w:color w:val="808080" w:themeColor="background1" w:themeShade="80"/>
          <w:sz w:val="22"/>
          <w:szCs w:val="22"/>
        </w:rPr>
      </w:pPr>
    </w:p>
    <w:p w14:paraId="0BC1902C" w14:textId="28450EB5" w:rsidR="00C72848" w:rsidRPr="00CA448F" w:rsidRDefault="00C72848" w:rsidP="00640623">
      <w:pPr>
        <w:ind w:left="720" w:hanging="720"/>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640623">
      <w:pPr>
        <w:ind w:left="720" w:hanging="720"/>
        <w:rPr>
          <w:rFonts w:ascii="Arial" w:hAnsi="Arial" w:cs="Arial"/>
          <w:b/>
          <w:bCs/>
          <w:sz w:val="22"/>
          <w:szCs w:val="22"/>
          <w:lang w:val="en-GB"/>
        </w:rPr>
      </w:pPr>
    </w:p>
    <w:p w14:paraId="480A5E93" w14:textId="2142AA9C" w:rsidR="00822751" w:rsidRPr="00CA448F" w:rsidRDefault="00651151" w:rsidP="00640623">
      <w:pPr>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CA448F" w:rsidRDefault="00651151" w:rsidP="00640623">
      <w:pPr>
        <w:rPr>
          <w:rFonts w:ascii="Arial" w:hAnsi="Arial" w:cs="Arial"/>
          <w:color w:val="808080" w:themeColor="background1" w:themeShade="80"/>
          <w:sz w:val="22"/>
          <w:szCs w:val="22"/>
          <w:lang w:val="en-GB"/>
        </w:rPr>
      </w:pPr>
    </w:p>
    <w:p w14:paraId="3399F10E" w14:textId="77777777" w:rsidR="00486BB8" w:rsidRDefault="00DB522F"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key difference is </w:t>
      </w:r>
      <w:r w:rsidR="00486BB8">
        <w:rPr>
          <w:rFonts w:ascii="Arial" w:hAnsi="Arial" w:cs="Arial"/>
          <w:color w:val="808080" w:themeColor="background1" w:themeShade="80"/>
          <w:sz w:val="22"/>
          <w:szCs w:val="22"/>
          <w:lang w:val="en-GB"/>
        </w:rPr>
        <w:t xml:space="preserve"> as follows :</w:t>
      </w:r>
    </w:p>
    <w:p w14:paraId="4A81AB03" w14:textId="3137664C" w:rsidR="00486BB8" w:rsidRDefault="00486BB8"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w:t>
      </w:r>
      <w:r w:rsidR="00DB522F">
        <w:rPr>
          <w:rFonts w:ascii="Arial" w:hAnsi="Arial" w:cs="Arial"/>
          <w:color w:val="808080" w:themeColor="background1" w:themeShade="80"/>
          <w:sz w:val="22"/>
          <w:szCs w:val="22"/>
          <w:lang w:val="en-GB"/>
        </w:rPr>
        <w:t>n application for Preventive Composition</w:t>
      </w:r>
      <w:r w:rsidR="005F7013">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is available as an option  only to  the debtor and only if the debtor  is not already  in default on any  obligations for 30 or more business days and if the  liabilities do not exceed the value of  assets. The debtor , it is envisaged, however, faces financial hardship and needs assistance to reach a settlement with creditors.</w:t>
      </w:r>
    </w:p>
    <w:p w14:paraId="3A49C4E4" w14:textId="77777777" w:rsidR="00486BB8" w:rsidRDefault="00486BB8" w:rsidP="00640623">
      <w:pPr>
        <w:rPr>
          <w:rFonts w:ascii="Arial" w:hAnsi="Arial" w:cs="Arial"/>
          <w:color w:val="808080" w:themeColor="background1" w:themeShade="80"/>
          <w:sz w:val="22"/>
          <w:szCs w:val="22"/>
          <w:lang w:val="en-GB"/>
        </w:rPr>
      </w:pPr>
    </w:p>
    <w:p w14:paraId="50DAF75B" w14:textId="42C5A5B8" w:rsidR="00C72848" w:rsidRPr="00CA448F" w:rsidRDefault="00486BB8"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debtor, on the other hand, is required  (not optional) to file an application for bankruptcy if the debtor is in default for over 30 business days on any obligations. Also, if there is such default, a creditor may also give notice for payment of dues and if it remains unmet for over 30 business days, the creditor , too can file the application for bankruptcy of the debtor.</w:t>
      </w:r>
      <w:r w:rsidR="006F58B3">
        <w:rPr>
          <w:rFonts w:ascii="Arial" w:hAnsi="Arial" w:cs="Arial"/>
          <w:color w:val="808080" w:themeColor="background1" w:themeShade="80"/>
          <w:sz w:val="22"/>
          <w:szCs w:val="22"/>
          <w:lang w:val="en-GB"/>
        </w:rPr>
        <w:t>]</w:t>
      </w:r>
    </w:p>
    <w:p w14:paraId="00D8F8B8" w14:textId="573F9A16" w:rsidR="00651151" w:rsidRDefault="00651151" w:rsidP="00640623">
      <w:pPr>
        <w:rPr>
          <w:rFonts w:ascii="Arial" w:hAnsi="Arial" w:cs="Arial"/>
          <w:color w:val="808080" w:themeColor="background1" w:themeShade="80"/>
          <w:sz w:val="22"/>
          <w:szCs w:val="22"/>
          <w:lang w:val="en-GB"/>
        </w:rPr>
      </w:pPr>
    </w:p>
    <w:p w14:paraId="3E072ACA" w14:textId="77777777" w:rsidR="00E968BE" w:rsidRPr="00CA448F" w:rsidRDefault="00E968BE" w:rsidP="00640623">
      <w:pPr>
        <w:rPr>
          <w:rFonts w:ascii="Arial" w:hAnsi="Arial" w:cs="Arial"/>
          <w:color w:val="808080" w:themeColor="background1" w:themeShade="80"/>
          <w:sz w:val="22"/>
          <w:szCs w:val="22"/>
          <w:lang w:val="en-GB"/>
        </w:rPr>
      </w:pPr>
    </w:p>
    <w:p w14:paraId="25D57778" w14:textId="28C0BBC8" w:rsidR="00B52047" w:rsidRPr="00CA448F" w:rsidRDefault="00B52047" w:rsidP="00640623">
      <w:pPr>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640623">
      <w:pPr>
        <w:rPr>
          <w:rFonts w:ascii="Arial" w:hAnsi="Arial" w:cs="Arial"/>
          <w:bCs/>
          <w:color w:val="808080" w:themeColor="background1" w:themeShade="80"/>
          <w:sz w:val="22"/>
          <w:szCs w:val="22"/>
          <w:lang w:val="en-GB"/>
        </w:rPr>
      </w:pPr>
    </w:p>
    <w:p w14:paraId="212B0E9B" w14:textId="482EDEBA" w:rsidR="00B52047" w:rsidRPr="00CA448F" w:rsidRDefault="00B52047" w:rsidP="00640623">
      <w:pPr>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640623">
      <w:pPr>
        <w:rPr>
          <w:rFonts w:ascii="Arial" w:hAnsi="Arial" w:cs="Arial"/>
          <w:sz w:val="22"/>
          <w:szCs w:val="22"/>
          <w:lang w:val="en-GB"/>
        </w:rPr>
      </w:pPr>
    </w:p>
    <w:p w14:paraId="102075D7" w14:textId="6093CDC6" w:rsidR="00470D3E" w:rsidRDefault="00E968BE"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470D3E">
        <w:rPr>
          <w:rFonts w:ascii="Arial" w:hAnsi="Arial" w:cs="Arial"/>
          <w:color w:val="808080" w:themeColor="background1" w:themeShade="80"/>
          <w:sz w:val="22"/>
          <w:szCs w:val="22"/>
          <w:lang w:val="en-GB"/>
        </w:rPr>
        <w:t>The key difference for a creditor as between Commencement of Preventive Composition (PC) and Commencement of Bankruptcy (B</w:t>
      </w:r>
      <w:r w:rsidR="00470D3E">
        <w:rPr>
          <w:rFonts w:ascii="Arial" w:hAnsi="Arial" w:cs="Arial"/>
          <w:color w:val="808080" w:themeColor="background1" w:themeShade="80"/>
          <w:sz w:val="22"/>
          <w:szCs w:val="22"/>
          <w:vertAlign w:val="superscript"/>
          <w:lang w:val="en-GB"/>
        </w:rPr>
        <w:t>cy</w:t>
      </w:r>
      <w:r w:rsidR="00470D3E">
        <w:rPr>
          <w:rFonts w:ascii="Arial" w:hAnsi="Arial" w:cs="Arial"/>
          <w:color w:val="808080" w:themeColor="background1" w:themeShade="80"/>
          <w:sz w:val="22"/>
          <w:szCs w:val="22"/>
          <w:lang w:val="en-GB"/>
        </w:rPr>
        <w:t>) is  as follows:</w:t>
      </w:r>
    </w:p>
    <w:p w14:paraId="355C4F32" w14:textId="77777777" w:rsidR="005F7013" w:rsidRDefault="005F7013" w:rsidP="00640623">
      <w:pPr>
        <w:rPr>
          <w:rFonts w:ascii="Arial" w:hAnsi="Arial" w:cs="Arial"/>
          <w:color w:val="808080" w:themeColor="background1" w:themeShade="80"/>
          <w:sz w:val="22"/>
          <w:szCs w:val="22"/>
          <w:lang w:val="en-GB"/>
        </w:rPr>
      </w:pPr>
    </w:p>
    <w:p w14:paraId="315705FC" w14:textId="77777777" w:rsidR="005F7013" w:rsidRDefault="00470D3E"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In both PC and in B</w:t>
      </w:r>
      <w:r>
        <w:rPr>
          <w:rFonts w:ascii="Arial" w:hAnsi="Arial" w:cs="Arial"/>
          <w:color w:val="808080" w:themeColor="background1" w:themeShade="80"/>
          <w:sz w:val="22"/>
          <w:szCs w:val="22"/>
          <w:vertAlign w:val="superscript"/>
          <w:lang w:val="en-GB"/>
        </w:rPr>
        <w:t xml:space="preserve">cy </w:t>
      </w:r>
      <w:r>
        <w:rPr>
          <w:rFonts w:ascii="Arial" w:hAnsi="Arial" w:cs="Arial"/>
          <w:color w:val="808080" w:themeColor="background1" w:themeShade="80"/>
          <w:sz w:val="22"/>
          <w:szCs w:val="22"/>
          <w:lang w:val="en-GB"/>
        </w:rPr>
        <w:t xml:space="preserve"> , secured creditors’ rights remain unaffected though there is suspension of enforcement of security during the insolvency process except with permission of the court. </w:t>
      </w:r>
    </w:p>
    <w:p w14:paraId="349D36FC" w14:textId="77777777" w:rsidR="005F7013" w:rsidRDefault="005F7013" w:rsidP="00640623">
      <w:pPr>
        <w:rPr>
          <w:rFonts w:ascii="Arial" w:hAnsi="Arial" w:cs="Arial"/>
          <w:color w:val="808080" w:themeColor="background1" w:themeShade="80"/>
          <w:sz w:val="22"/>
          <w:szCs w:val="22"/>
          <w:lang w:val="en-GB"/>
        </w:rPr>
      </w:pPr>
    </w:p>
    <w:p w14:paraId="63A31AA1" w14:textId="728D5FB2" w:rsidR="00B52047" w:rsidRPr="00CA448F" w:rsidRDefault="00470D3E"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PC is a debtor-led procedure and specifically allows the debtor , by its design, to secure Court orders for composition scheme to be considered. By contrast, B</w:t>
      </w:r>
      <w:r>
        <w:rPr>
          <w:rFonts w:ascii="Arial" w:hAnsi="Arial" w:cs="Arial"/>
          <w:color w:val="808080" w:themeColor="background1" w:themeShade="80"/>
          <w:sz w:val="22"/>
          <w:szCs w:val="22"/>
          <w:vertAlign w:val="superscript"/>
          <w:lang w:val="en-GB"/>
        </w:rPr>
        <w:t>cy</w:t>
      </w:r>
      <w:r>
        <w:rPr>
          <w:rFonts w:ascii="Arial" w:hAnsi="Arial" w:cs="Arial"/>
          <w:color w:val="808080" w:themeColor="background1" w:themeShade="80"/>
          <w:sz w:val="22"/>
          <w:szCs w:val="22"/>
          <w:lang w:val="en-GB"/>
        </w:rPr>
        <w:t xml:space="preserve"> , while it does have an avenue for restructuring, requires the Trustee to apply for this restructuring option. PC is at an earlier stage, where the debtor is not yet insolvent  and there is greater comfort for the creditor at this stage than in the equivalent B</w:t>
      </w:r>
      <w:r>
        <w:rPr>
          <w:rFonts w:ascii="Arial" w:hAnsi="Arial" w:cs="Arial"/>
          <w:color w:val="808080" w:themeColor="background1" w:themeShade="80"/>
          <w:sz w:val="22"/>
          <w:szCs w:val="22"/>
          <w:vertAlign w:val="superscript"/>
          <w:lang w:val="en-GB"/>
        </w:rPr>
        <w:t xml:space="preserve">cy </w:t>
      </w:r>
      <w:r>
        <w:rPr>
          <w:rFonts w:ascii="Arial" w:hAnsi="Arial" w:cs="Arial"/>
          <w:color w:val="808080" w:themeColor="background1" w:themeShade="80"/>
          <w:sz w:val="22"/>
          <w:szCs w:val="22"/>
          <w:lang w:val="en-GB"/>
        </w:rPr>
        <w:t xml:space="preserve">stage. </w:t>
      </w:r>
      <w:r w:rsidR="00FB55E5">
        <w:rPr>
          <w:rFonts w:ascii="Arial" w:hAnsi="Arial" w:cs="Arial"/>
          <w:color w:val="808080" w:themeColor="background1" w:themeShade="80"/>
          <w:sz w:val="22"/>
          <w:szCs w:val="22"/>
          <w:lang w:val="en-GB"/>
        </w:rPr>
        <w:t>The time period for a PC Plan is envisaged as 3 years , less than the 5 years envisaged under B</w:t>
      </w:r>
      <w:r w:rsidR="00FB55E5">
        <w:rPr>
          <w:rFonts w:ascii="Arial" w:hAnsi="Arial" w:cs="Arial"/>
          <w:color w:val="808080" w:themeColor="background1" w:themeShade="80"/>
          <w:sz w:val="22"/>
          <w:szCs w:val="22"/>
          <w:vertAlign w:val="superscript"/>
          <w:lang w:val="en-GB"/>
        </w:rPr>
        <w:t xml:space="preserve">cy </w:t>
      </w:r>
      <w:r w:rsidR="00FB55E5">
        <w:rPr>
          <w:rFonts w:ascii="Arial" w:hAnsi="Arial" w:cs="Arial"/>
          <w:color w:val="808080" w:themeColor="background1" w:themeShade="80"/>
          <w:sz w:val="22"/>
          <w:szCs w:val="22"/>
          <w:lang w:val="en-GB"/>
        </w:rPr>
        <w:t xml:space="preserve"> restructuring route. Creditors can, therefore, expect to be paid more quickly in PC than in B</w:t>
      </w:r>
      <w:r w:rsidR="00FB55E5">
        <w:rPr>
          <w:rFonts w:ascii="Arial" w:hAnsi="Arial" w:cs="Arial"/>
          <w:color w:val="808080" w:themeColor="background1" w:themeShade="80"/>
          <w:sz w:val="22"/>
          <w:szCs w:val="22"/>
          <w:vertAlign w:val="superscript"/>
          <w:lang w:val="en-GB"/>
        </w:rPr>
        <w:t xml:space="preserve">cy </w:t>
      </w:r>
      <w:r w:rsidR="00FB55E5">
        <w:rPr>
          <w:rFonts w:ascii="Arial" w:hAnsi="Arial" w:cs="Arial"/>
          <w:color w:val="808080" w:themeColor="background1" w:themeShade="80"/>
          <w:sz w:val="22"/>
          <w:szCs w:val="22"/>
          <w:lang w:val="en-GB"/>
        </w:rPr>
        <w:t>.</w:t>
      </w:r>
      <w:r w:rsidR="00E968BE">
        <w:rPr>
          <w:rFonts w:ascii="Arial" w:hAnsi="Arial" w:cs="Arial"/>
          <w:color w:val="808080" w:themeColor="background1" w:themeShade="80"/>
          <w:sz w:val="22"/>
          <w:szCs w:val="22"/>
          <w:lang w:val="en-GB"/>
        </w:rPr>
        <w:t>]</w:t>
      </w:r>
    </w:p>
    <w:p w14:paraId="7D0F34CC" w14:textId="4B697F61" w:rsidR="00B52047" w:rsidRPr="00CA448F" w:rsidRDefault="00B52047" w:rsidP="00640623">
      <w:pPr>
        <w:rPr>
          <w:rFonts w:ascii="Arial" w:hAnsi="Arial" w:cs="Arial"/>
          <w:color w:val="808080" w:themeColor="background1" w:themeShade="80"/>
          <w:sz w:val="22"/>
          <w:szCs w:val="22"/>
          <w:lang w:val="en-GB"/>
        </w:rPr>
      </w:pPr>
    </w:p>
    <w:p w14:paraId="6F5579D9" w14:textId="77777777" w:rsidR="009D3340" w:rsidRPr="00CA448F" w:rsidRDefault="009D3340" w:rsidP="00640623">
      <w:pPr>
        <w:rPr>
          <w:rFonts w:ascii="Arial" w:hAnsi="Arial" w:cs="Arial"/>
          <w:bCs/>
          <w:color w:val="808080" w:themeColor="background1" w:themeShade="80"/>
          <w:sz w:val="22"/>
          <w:szCs w:val="22"/>
          <w:lang w:val="en-GB"/>
        </w:rPr>
      </w:pPr>
    </w:p>
    <w:p w14:paraId="2D0464E7" w14:textId="77777777" w:rsidR="00962045"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640623">
      <w:pPr>
        <w:rPr>
          <w:rFonts w:ascii="Arial" w:hAnsi="Arial" w:cs="Arial"/>
          <w:b/>
          <w:sz w:val="22"/>
          <w:szCs w:val="22"/>
          <w:lang w:val="en-GB"/>
        </w:rPr>
      </w:pPr>
    </w:p>
    <w:p w14:paraId="0AFD4235" w14:textId="3AC6596D" w:rsidR="0077431E" w:rsidRPr="00CA448F" w:rsidRDefault="0077431E" w:rsidP="00640623">
      <w:pPr>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640623">
      <w:pPr>
        <w:rPr>
          <w:rFonts w:ascii="Arial" w:hAnsi="Arial" w:cs="Arial"/>
          <w:sz w:val="22"/>
          <w:szCs w:val="22"/>
          <w:lang w:val="en-GB"/>
        </w:rPr>
      </w:pPr>
    </w:p>
    <w:p w14:paraId="7DC98B29" w14:textId="2CF6A959" w:rsidR="00C550C8" w:rsidRPr="00CA448F" w:rsidRDefault="0077431E" w:rsidP="00640623">
      <w:pPr>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7EC982F" w14:textId="22C8CE57" w:rsidR="00DF75F8" w:rsidRPr="00CA448F" w:rsidRDefault="00DF75F8" w:rsidP="00640623">
      <w:pPr>
        <w:rPr>
          <w:rFonts w:ascii="Arial" w:hAnsi="Arial" w:cs="Arial"/>
          <w:sz w:val="22"/>
          <w:szCs w:val="22"/>
        </w:rPr>
      </w:pPr>
    </w:p>
    <w:p w14:paraId="6F50C120" w14:textId="77777777" w:rsidR="005F7013" w:rsidRDefault="00E968BE" w:rsidP="00640623">
      <w:pPr>
        <w:rPr>
          <w:rFonts w:ascii="Arial" w:hAnsi="Arial" w:cs="Arial"/>
          <w:color w:val="808080" w:themeColor="background1" w:themeShade="80"/>
          <w:sz w:val="22"/>
          <w:szCs w:val="22"/>
        </w:rPr>
      </w:pPr>
      <w:r>
        <w:rPr>
          <w:rFonts w:ascii="Arial" w:hAnsi="Arial" w:cs="Arial"/>
          <w:color w:val="808080" w:themeColor="background1" w:themeShade="80"/>
          <w:sz w:val="22"/>
          <w:szCs w:val="22"/>
        </w:rPr>
        <w:t>[</w:t>
      </w:r>
      <w:r w:rsidR="003352A5">
        <w:rPr>
          <w:rFonts w:ascii="Arial" w:hAnsi="Arial" w:cs="Arial"/>
          <w:color w:val="808080" w:themeColor="background1" w:themeShade="80"/>
          <w:sz w:val="22"/>
          <w:szCs w:val="22"/>
        </w:rPr>
        <w:t xml:space="preserve"> UAE economy began as  a “one-sector economy” driven exclusively by oil and gas in the region. The Commercial Transactions Law of 1993 had terse and brief provisions to cover bankruptcy , </w:t>
      </w:r>
      <w:r w:rsidR="005F7013">
        <w:rPr>
          <w:rFonts w:ascii="Arial" w:hAnsi="Arial" w:cs="Arial"/>
          <w:color w:val="808080" w:themeColor="background1" w:themeShade="80"/>
          <w:sz w:val="22"/>
          <w:szCs w:val="22"/>
        </w:rPr>
        <w:t>and  large element of criminal law remained whi</w:t>
      </w:r>
      <w:r w:rsidR="003352A5">
        <w:rPr>
          <w:rFonts w:ascii="Arial" w:hAnsi="Arial" w:cs="Arial"/>
          <w:color w:val="808080" w:themeColor="background1" w:themeShade="80"/>
          <w:sz w:val="22"/>
          <w:szCs w:val="22"/>
        </w:rPr>
        <w:t xml:space="preserve">ch would be drawn into bankruptcy situations. </w:t>
      </w:r>
    </w:p>
    <w:p w14:paraId="1403D44E" w14:textId="77777777" w:rsidR="005F7013" w:rsidRDefault="005F7013" w:rsidP="00640623">
      <w:pPr>
        <w:rPr>
          <w:rFonts w:ascii="Arial" w:hAnsi="Arial" w:cs="Arial"/>
          <w:color w:val="808080" w:themeColor="background1" w:themeShade="80"/>
          <w:sz w:val="22"/>
          <w:szCs w:val="22"/>
        </w:rPr>
      </w:pPr>
    </w:p>
    <w:p w14:paraId="5960B36E" w14:textId="080DC9D0" w:rsidR="003352A5" w:rsidRDefault="003352A5" w:rsidP="00640623">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economy diversified beyond oil and gas after 1993 , notably into property sector, builders , financial sector, which revealed their potential for volatility and illiquidity in the global financial crisis of 2008-09. Dubai , an Emirate within the UAE ran into crisis with Dubai </w:t>
      </w:r>
      <w:r>
        <w:rPr>
          <w:rFonts w:ascii="Arial" w:hAnsi="Arial" w:cs="Arial"/>
          <w:color w:val="808080" w:themeColor="background1" w:themeShade="80"/>
          <w:sz w:val="22"/>
          <w:szCs w:val="22"/>
        </w:rPr>
        <w:lastRenderedPageBreak/>
        <w:t xml:space="preserve">World (DW)  , a govt-owned entity verging on default on $ 26 billion of debt in Nov 2009. (A special decree no 57 of 2010 was issued for a Special Tribunal for dues of  DW, but DW succeeded in negotiating by early 2010 a restructuring with international lenders for its $ 26 billion debt . DW was also supported by a $ 10 billion funding by Abu Dhabi. That restructuring was further renegotiated in 2014 and extended till 2022 , but  DW has now, by 2020, fully repaid this debt.) </w:t>
      </w:r>
    </w:p>
    <w:p w14:paraId="44DD5D96" w14:textId="77777777" w:rsidR="006C4ACB" w:rsidRDefault="003352A5" w:rsidP="00640623">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These experiences made it desirable and urgent to have in place an Insolvency Law . In 2016, Federal Law no 9 , brought into force, the Bankruptcy Law (BL). BL applies to </w:t>
      </w:r>
      <w:r w:rsidR="006C4ACB">
        <w:rPr>
          <w:rFonts w:ascii="Arial" w:hAnsi="Arial" w:cs="Arial"/>
          <w:color w:val="808080" w:themeColor="background1" w:themeShade="80"/>
          <w:sz w:val="22"/>
          <w:szCs w:val="22"/>
        </w:rPr>
        <w:t>the following :</w:t>
      </w:r>
    </w:p>
    <w:p w14:paraId="35B995E4" w14:textId="77777777" w:rsidR="006C4ACB" w:rsidRDefault="006C4ACB" w:rsidP="006C4ACB">
      <w:pPr>
        <w:pStyle w:val="ListParagraph"/>
        <w:numPr>
          <w:ilvl w:val="0"/>
          <w:numId w:val="38"/>
        </w:numPr>
        <w:rPr>
          <w:rFonts w:ascii="Arial" w:hAnsi="Arial" w:cs="Arial"/>
          <w:color w:val="808080" w:themeColor="background1" w:themeShade="80"/>
          <w:sz w:val="22"/>
          <w:szCs w:val="22"/>
        </w:rPr>
      </w:pPr>
      <w:r>
        <w:rPr>
          <w:rFonts w:ascii="Arial" w:hAnsi="Arial" w:cs="Arial"/>
          <w:color w:val="808080" w:themeColor="background1" w:themeShade="80"/>
          <w:sz w:val="22"/>
          <w:szCs w:val="22"/>
        </w:rPr>
        <w:t>All cos. Governed by the Commercial Cos. Law (the equivalent of Companies Act in Commonwealth countries)</w:t>
      </w:r>
    </w:p>
    <w:p w14:paraId="355D3802" w14:textId="77777777" w:rsidR="006C4ACB" w:rsidRDefault="006C4ACB" w:rsidP="006C4ACB">
      <w:pPr>
        <w:pStyle w:val="ListParagraph"/>
        <w:numPr>
          <w:ilvl w:val="0"/>
          <w:numId w:val="38"/>
        </w:numPr>
        <w:rPr>
          <w:rFonts w:ascii="Arial" w:hAnsi="Arial" w:cs="Arial"/>
          <w:color w:val="808080" w:themeColor="background1" w:themeShade="80"/>
          <w:sz w:val="22"/>
          <w:szCs w:val="22"/>
        </w:rPr>
      </w:pPr>
      <w:r>
        <w:rPr>
          <w:rFonts w:ascii="Arial" w:hAnsi="Arial" w:cs="Arial"/>
          <w:color w:val="808080" w:themeColor="background1" w:themeShade="80"/>
          <w:sz w:val="22"/>
          <w:szCs w:val="22"/>
        </w:rPr>
        <w:t>Any Cos. Established u/other legislation who , by law or their own volition, submit to the BL.</w:t>
      </w:r>
    </w:p>
    <w:p w14:paraId="38707641" w14:textId="77777777" w:rsidR="006C4ACB" w:rsidRDefault="006C4ACB" w:rsidP="006C4ACB">
      <w:pPr>
        <w:pStyle w:val="ListParagraph"/>
        <w:numPr>
          <w:ilvl w:val="0"/>
          <w:numId w:val="38"/>
        </w:num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Free Zone Cos. And establishments not subject to other insolvency provisions </w:t>
      </w:r>
    </w:p>
    <w:p w14:paraId="5B29FB10" w14:textId="77777777" w:rsidR="006C4ACB" w:rsidRDefault="006C4ACB" w:rsidP="006C4ACB">
      <w:pPr>
        <w:pStyle w:val="ListParagraph"/>
        <w:numPr>
          <w:ilvl w:val="0"/>
          <w:numId w:val="38"/>
        </w:numPr>
        <w:rPr>
          <w:rFonts w:ascii="Arial" w:hAnsi="Arial" w:cs="Arial"/>
          <w:color w:val="808080" w:themeColor="background1" w:themeShade="80"/>
          <w:sz w:val="22"/>
          <w:szCs w:val="22"/>
        </w:rPr>
      </w:pPr>
      <w:r>
        <w:rPr>
          <w:rFonts w:ascii="Arial" w:hAnsi="Arial" w:cs="Arial"/>
          <w:color w:val="808080" w:themeColor="background1" w:themeShade="80"/>
          <w:sz w:val="22"/>
          <w:szCs w:val="22"/>
        </w:rPr>
        <w:t>Any person who is a trader</w:t>
      </w:r>
    </w:p>
    <w:p w14:paraId="60BA5DAD" w14:textId="77777777" w:rsidR="006C4ACB" w:rsidRDefault="006C4ACB" w:rsidP="006C4ACB">
      <w:pPr>
        <w:pStyle w:val="ListParagraph"/>
        <w:numPr>
          <w:ilvl w:val="0"/>
          <w:numId w:val="38"/>
        </w:numPr>
        <w:rPr>
          <w:rFonts w:ascii="Arial" w:hAnsi="Arial" w:cs="Arial"/>
          <w:color w:val="808080" w:themeColor="background1" w:themeShade="80"/>
          <w:sz w:val="22"/>
          <w:szCs w:val="22"/>
        </w:rPr>
      </w:pPr>
      <w:r>
        <w:rPr>
          <w:rFonts w:ascii="Arial" w:hAnsi="Arial" w:cs="Arial"/>
          <w:color w:val="808080" w:themeColor="background1" w:themeShade="80"/>
          <w:sz w:val="22"/>
          <w:szCs w:val="22"/>
        </w:rPr>
        <w:t>Licensed civil cos. Of a professional character.</w:t>
      </w:r>
    </w:p>
    <w:p w14:paraId="5862DBB5" w14:textId="77777777" w:rsidR="006C4ACB" w:rsidRDefault="006C4ACB" w:rsidP="006C4ACB">
      <w:pPr>
        <w:ind w:left="240"/>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 </w:t>
      </w:r>
    </w:p>
    <w:p w14:paraId="0CA09841" w14:textId="59C226BC" w:rsidR="001A45DB" w:rsidRPr="006C4ACB" w:rsidRDefault="006C4ACB" w:rsidP="006C4ACB">
      <w:pPr>
        <w:ind w:left="240"/>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reception in the market to the BL notification has been positive , with investors seeing a greater degree of certainty and transparency in outcomes if a credit exposure  runs into trouble. There have not been many </w:t>
      </w:r>
      <w:r w:rsidR="007E06E3">
        <w:rPr>
          <w:rFonts w:ascii="Arial" w:hAnsi="Arial" w:cs="Arial"/>
          <w:color w:val="808080" w:themeColor="background1" w:themeShade="80"/>
          <w:sz w:val="22"/>
          <w:szCs w:val="22"/>
        </w:rPr>
        <w:t>applications under the BL,</w:t>
      </w:r>
      <w:r>
        <w:rPr>
          <w:rFonts w:ascii="Arial" w:hAnsi="Arial" w:cs="Arial"/>
          <w:color w:val="808080" w:themeColor="background1" w:themeShade="80"/>
          <w:sz w:val="22"/>
          <w:szCs w:val="22"/>
        </w:rPr>
        <w:t xml:space="preserve"> as , presumably.</w:t>
      </w:r>
      <w:r w:rsidR="00734FD3">
        <w:rPr>
          <w:rFonts w:ascii="Arial" w:hAnsi="Arial" w:cs="Arial"/>
          <w:color w:val="808080" w:themeColor="background1" w:themeShade="80"/>
          <w:sz w:val="22"/>
          <w:szCs w:val="22"/>
        </w:rPr>
        <w:t>d</w:t>
      </w:r>
      <w:r>
        <w:rPr>
          <w:rFonts w:ascii="Arial" w:hAnsi="Arial" w:cs="Arial"/>
          <w:color w:val="808080" w:themeColor="background1" w:themeShade="80"/>
          <w:sz w:val="22"/>
          <w:szCs w:val="22"/>
        </w:rPr>
        <w:t>efaults are few  in the UAE at present. There is one reported instance of a contracting firm in Abu Dhabi being rescued under the Restructuring provisions of BL.</w:t>
      </w:r>
      <w:r w:rsidR="00734FD3">
        <w:rPr>
          <w:rFonts w:ascii="Arial" w:hAnsi="Arial" w:cs="Arial"/>
          <w:color w:val="808080" w:themeColor="background1" w:themeShade="80"/>
          <w:sz w:val="22"/>
          <w:szCs w:val="22"/>
        </w:rPr>
        <w:t>Not many d</w:t>
      </w:r>
      <w:r>
        <w:rPr>
          <w:rFonts w:ascii="Arial" w:hAnsi="Arial" w:cs="Arial"/>
          <w:color w:val="808080" w:themeColor="background1" w:themeShade="80"/>
          <w:sz w:val="22"/>
          <w:szCs w:val="22"/>
        </w:rPr>
        <w:t>etails are available in that report.</w:t>
      </w:r>
      <w:r w:rsidR="00E968BE" w:rsidRPr="006C4ACB">
        <w:rPr>
          <w:rFonts w:ascii="Arial" w:hAnsi="Arial" w:cs="Arial"/>
          <w:color w:val="808080" w:themeColor="background1" w:themeShade="80"/>
          <w:sz w:val="22"/>
          <w:szCs w:val="22"/>
        </w:rPr>
        <w:t>]</w:t>
      </w:r>
    </w:p>
    <w:p w14:paraId="28BFBABC" w14:textId="77777777" w:rsidR="001A45DB" w:rsidRPr="00CA448F" w:rsidRDefault="001A45DB" w:rsidP="00640623">
      <w:pPr>
        <w:rPr>
          <w:rFonts w:ascii="Arial" w:hAnsi="Arial" w:cs="Arial"/>
          <w:color w:val="808080" w:themeColor="background1" w:themeShade="80"/>
          <w:sz w:val="22"/>
          <w:szCs w:val="22"/>
        </w:rPr>
      </w:pPr>
    </w:p>
    <w:p w14:paraId="0A971952" w14:textId="159C1DB2" w:rsidR="00DF75F8" w:rsidRPr="00CA448F" w:rsidRDefault="00DF75F8" w:rsidP="00640623">
      <w:pPr>
        <w:rPr>
          <w:rFonts w:ascii="Arial" w:hAnsi="Arial" w:cs="Arial"/>
          <w:sz w:val="22"/>
          <w:szCs w:val="22"/>
          <w:lang w:val="en-GB"/>
        </w:rPr>
      </w:pPr>
    </w:p>
    <w:p w14:paraId="2E3527DA" w14:textId="61B44B04" w:rsidR="00D17FDC" w:rsidRPr="00CA448F" w:rsidRDefault="00F76A65" w:rsidP="00640623">
      <w:pPr>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640623">
      <w:pPr>
        <w:rPr>
          <w:rFonts w:ascii="Arial" w:hAnsi="Arial" w:cs="Arial"/>
          <w:sz w:val="22"/>
          <w:szCs w:val="22"/>
          <w:shd w:val="clear" w:color="auto" w:fill="FFFFFF"/>
        </w:rPr>
      </w:pPr>
    </w:p>
    <w:p w14:paraId="0164DF66" w14:textId="24F2BAA8" w:rsidR="00F76A65" w:rsidRPr="00CA448F" w:rsidRDefault="00F76A65" w:rsidP="00640623">
      <w:pPr>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640623">
      <w:pPr>
        <w:rPr>
          <w:rFonts w:ascii="Arial" w:hAnsi="Arial" w:cs="Arial"/>
          <w:sz w:val="22"/>
          <w:szCs w:val="22"/>
          <w:lang w:val="en-GB"/>
        </w:rPr>
      </w:pPr>
    </w:p>
    <w:p w14:paraId="1758E431" w14:textId="77777777" w:rsidR="007E06E3" w:rsidRDefault="00E968BE"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154EF4">
        <w:rPr>
          <w:rFonts w:ascii="Arial" w:hAnsi="Arial" w:cs="Arial"/>
          <w:color w:val="808080" w:themeColor="background1" w:themeShade="80"/>
          <w:sz w:val="22"/>
          <w:szCs w:val="22"/>
          <w:lang w:val="en-GB"/>
        </w:rPr>
        <w:t xml:space="preserve"> In terms of Art 96, the Trustee will submit a report to the Court, inter alia , on the financial condition of the Debtor and prospects for restructuring the dues successfully as well </w:t>
      </w:r>
      <w:r w:rsidR="007E06E3">
        <w:rPr>
          <w:rFonts w:ascii="Arial" w:hAnsi="Arial" w:cs="Arial"/>
          <w:color w:val="808080" w:themeColor="background1" w:themeShade="80"/>
          <w:sz w:val="22"/>
          <w:szCs w:val="22"/>
          <w:lang w:val="en-GB"/>
        </w:rPr>
        <w:t xml:space="preserve">as </w:t>
      </w:r>
      <w:r w:rsidR="00154EF4">
        <w:rPr>
          <w:rFonts w:ascii="Arial" w:hAnsi="Arial" w:cs="Arial"/>
          <w:color w:val="808080" w:themeColor="background1" w:themeShade="80"/>
          <w:sz w:val="22"/>
          <w:szCs w:val="22"/>
          <w:lang w:val="en-GB"/>
        </w:rPr>
        <w:t xml:space="preserve">prospects for sale as a “going concern”. U/Art 97, the Court shall review the Report of the Trustee and  and Art 98 envisages that,,if the Court does not consider liquidation as appropriate, after its review, it may direct  the Trustee to proceed with preparing a Restructuring Plan (RestrucPlan) , provided it also appears to the Court that the business can regain profitable footing in reasonable time and the debtor expresses willingness to continue the business. </w:t>
      </w:r>
    </w:p>
    <w:p w14:paraId="7D73A933" w14:textId="77777777" w:rsidR="007E06E3" w:rsidRDefault="007E06E3" w:rsidP="00640623">
      <w:pPr>
        <w:rPr>
          <w:rFonts w:ascii="Arial" w:hAnsi="Arial" w:cs="Arial"/>
          <w:color w:val="808080" w:themeColor="background1" w:themeShade="80"/>
          <w:sz w:val="22"/>
          <w:szCs w:val="22"/>
          <w:lang w:val="en-GB"/>
        </w:rPr>
      </w:pPr>
    </w:p>
    <w:p w14:paraId="2DD624B3" w14:textId="7E6107FC" w:rsidR="001A45DB" w:rsidRPr="00CA448F" w:rsidRDefault="00154EF4"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Within 3 months, the Trustee (vide Art 99), will submit a draft RestrucPlan , whose necessary contents are spelt out in Articles 101 and 102.The Court will review the draft RestrucPlan u/art 103, and the Trustee will</w:t>
      </w:r>
      <w:r w:rsidR="007E06E3">
        <w:rPr>
          <w:rFonts w:ascii="Arial" w:hAnsi="Arial" w:cs="Arial"/>
          <w:color w:val="808080" w:themeColor="background1" w:themeShade="80"/>
          <w:sz w:val="22"/>
          <w:szCs w:val="22"/>
          <w:lang w:val="en-GB"/>
        </w:rPr>
        <w:t xml:space="preserve"> then,</w:t>
      </w:r>
      <w:r>
        <w:rPr>
          <w:rFonts w:ascii="Arial" w:hAnsi="Arial" w:cs="Arial"/>
          <w:color w:val="808080" w:themeColor="background1" w:themeShade="80"/>
          <w:sz w:val="22"/>
          <w:szCs w:val="22"/>
          <w:lang w:val="en-GB"/>
        </w:rPr>
        <w:t xml:space="preserve"> under Court direction</w:t>
      </w:r>
      <w:r w:rsidR="007E06E3">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hold meetings of creditors to secure approval with requisite majority for the draft RestrucPlan as reviewed by the Court. U/A</w:t>
      </w:r>
      <w:r w:rsidR="00734FD3">
        <w:rPr>
          <w:rFonts w:ascii="Arial" w:hAnsi="Arial" w:cs="Arial"/>
          <w:color w:val="808080" w:themeColor="background1" w:themeShade="80"/>
          <w:sz w:val="22"/>
          <w:szCs w:val="22"/>
          <w:lang w:val="en-GB"/>
        </w:rPr>
        <w:t>r</w:t>
      </w:r>
      <w:r>
        <w:rPr>
          <w:rFonts w:ascii="Arial" w:hAnsi="Arial" w:cs="Arial"/>
          <w:color w:val="808080" w:themeColor="background1" w:themeShade="80"/>
          <w:sz w:val="22"/>
          <w:szCs w:val="22"/>
          <w:lang w:val="en-GB"/>
        </w:rPr>
        <w:t>t 108, the Trustee will then present to the Court , the creditor-approved RestrucPlan</w:t>
      </w:r>
      <w:r w:rsidR="00734FD3">
        <w:rPr>
          <w:rFonts w:ascii="Arial" w:hAnsi="Arial" w:cs="Arial"/>
          <w:color w:val="808080" w:themeColor="background1" w:themeShade="80"/>
          <w:sz w:val="22"/>
          <w:szCs w:val="22"/>
          <w:lang w:val="en-GB"/>
        </w:rPr>
        <w:t xml:space="preserve"> for final Court approval.</w:t>
      </w:r>
      <w:r w:rsidR="00E968BE">
        <w:rPr>
          <w:rFonts w:ascii="Arial" w:hAnsi="Arial" w:cs="Arial"/>
          <w:color w:val="808080" w:themeColor="background1" w:themeShade="80"/>
          <w:sz w:val="22"/>
          <w:szCs w:val="22"/>
          <w:lang w:val="en-GB"/>
        </w:rPr>
        <w:t>]</w:t>
      </w:r>
    </w:p>
    <w:p w14:paraId="7FF1F163" w14:textId="7FC6572D" w:rsidR="001A45DB" w:rsidRPr="00CA448F" w:rsidRDefault="001A45DB" w:rsidP="00640623">
      <w:pPr>
        <w:rPr>
          <w:rFonts w:ascii="Arial" w:hAnsi="Arial" w:cs="Arial"/>
          <w:color w:val="808080" w:themeColor="background1" w:themeShade="80"/>
          <w:sz w:val="22"/>
          <w:szCs w:val="22"/>
          <w:lang w:val="en-GB"/>
        </w:rPr>
      </w:pPr>
    </w:p>
    <w:p w14:paraId="770B4F0F" w14:textId="77777777" w:rsidR="001A45DB" w:rsidRPr="00CA448F" w:rsidRDefault="001A45DB" w:rsidP="00640623">
      <w:pPr>
        <w:rPr>
          <w:rFonts w:ascii="Arial" w:hAnsi="Arial" w:cs="Arial"/>
          <w:sz w:val="22"/>
          <w:szCs w:val="22"/>
          <w:shd w:val="clear" w:color="auto" w:fill="FFFFFF"/>
        </w:rPr>
      </w:pPr>
    </w:p>
    <w:p w14:paraId="2DFE3209" w14:textId="6D58F469" w:rsidR="00122F36" w:rsidRPr="00CA448F" w:rsidRDefault="00122F36" w:rsidP="00640623">
      <w:pPr>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640623">
      <w:pPr>
        <w:rPr>
          <w:rFonts w:ascii="Arial" w:hAnsi="Arial" w:cs="Arial"/>
          <w:sz w:val="22"/>
          <w:szCs w:val="22"/>
          <w:shd w:val="clear" w:color="auto" w:fill="FFFFFF"/>
        </w:rPr>
      </w:pPr>
    </w:p>
    <w:p w14:paraId="24020BB9" w14:textId="766E0D06" w:rsidR="00122F36" w:rsidRPr="00CA448F" w:rsidRDefault="001A45DB" w:rsidP="00640623">
      <w:pPr>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w:t>
      </w:r>
      <w:r w:rsidRPr="00CA448F">
        <w:rPr>
          <w:rFonts w:ascii="Arial" w:hAnsi="Arial" w:cs="Arial"/>
          <w:sz w:val="22"/>
          <w:szCs w:val="22"/>
          <w:lang w:val="en-GB"/>
        </w:rPr>
        <w:lastRenderedPageBreak/>
        <w:t>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640623">
      <w:pPr>
        <w:rPr>
          <w:rFonts w:ascii="Arial" w:hAnsi="Arial" w:cs="Arial"/>
          <w:sz w:val="22"/>
          <w:szCs w:val="22"/>
          <w:shd w:val="clear" w:color="auto" w:fill="FFFFFF"/>
        </w:rPr>
      </w:pPr>
    </w:p>
    <w:p w14:paraId="718EECD5" w14:textId="55B7516C" w:rsidR="001A45DB" w:rsidRPr="00CA448F" w:rsidRDefault="00E968BE" w:rsidP="00640623">
      <w:pPr>
        <w:rPr>
          <w:rFonts w:ascii="Arial" w:hAnsi="Arial" w:cs="Arial"/>
          <w:color w:val="808080" w:themeColor="background1" w:themeShade="80"/>
          <w:sz w:val="22"/>
          <w:szCs w:val="22"/>
          <w:shd w:val="clear" w:color="auto" w:fill="FFFFFF"/>
        </w:rPr>
      </w:pPr>
      <w:r>
        <w:rPr>
          <w:rFonts w:ascii="Arial" w:hAnsi="Arial" w:cs="Arial"/>
          <w:color w:val="808080" w:themeColor="background1" w:themeShade="80"/>
          <w:sz w:val="22"/>
          <w:szCs w:val="22"/>
          <w:shd w:val="clear" w:color="auto" w:fill="FFFFFF"/>
        </w:rPr>
        <w:t>[</w:t>
      </w:r>
      <w:r w:rsidR="007B7517">
        <w:rPr>
          <w:rFonts w:ascii="Arial" w:hAnsi="Arial" w:cs="Arial"/>
          <w:color w:val="808080" w:themeColor="background1" w:themeShade="80"/>
          <w:sz w:val="22"/>
          <w:szCs w:val="22"/>
          <w:shd w:val="clear" w:color="auto" w:fill="FFFFFF"/>
        </w:rPr>
        <w:t>Court involvement is essential since Restructuring u/Bankruptcy Law (R_u/B</w:t>
      </w:r>
      <w:r w:rsidR="007B7517">
        <w:rPr>
          <w:rFonts w:ascii="Arial" w:hAnsi="Arial" w:cs="Arial"/>
          <w:color w:val="808080" w:themeColor="background1" w:themeShade="80"/>
          <w:sz w:val="22"/>
          <w:szCs w:val="22"/>
          <w:shd w:val="clear" w:color="auto" w:fill="FFFFFF"/>
          <w:vertAlign w:val="superscript"/>
        </w:rPr>
        <w:t>cy</w:t>
      </w:r>
      <w:r w:rsidR="007B7517">
        <w:rPr>
          <w:rFonts w:ascii="Arial" w:hAnsi="Arial" w:cs="Arial"/>
          <w:color w:val="808080" w:themeColor="background1" w:themeShade="80"/>
          <w:sz w:val="22"/>
          <w:szCs w:val="22"/>
          <w:shd w:val="clear" w:color="auto" w:fill="FFFFFF"/>
        </w:rPr>
        <w:t>L</w:t>
      </w:r>
      <w:r w:rsidR="007B7517">
        <w:rPr>
          <w:rFonts w:ascii="Arial" w:hAnsi="Arial" w:cs="Arial"/>
          <w:color w:val="808080" w:themeColor="background1" w:themeShade="80"/>
          <w:sz w:val="22"/>
          <w:szCs w:val="22"/>
          <w:shd w:val="clear" w:color="auto" w:fill="FFFFFF"/>
          <w:vertAlign w:val="superscript"/>
        </w:rPr>
        <w:t>w</w:t>
      </w:r>
      <w:r w:rsidR="007B7517">
        <w:rPr>
          <w:rFonts w:ascii="Arial" w:hAnsi="Arial" w:cs="Arial"/>
          <w:color w:val="808080" w:themeColor="background1" w:themeShade="80"/>
          <w:sz w:val="22"/>
          <w:szCs w:val="22"/>
          <w:shd w:val="clear" w:color="auto" w:fill="FFFFFF"/>
        </w:rPr>
        <w:t xml:space="preserve">) allows for imposing a scheme on minority creditors , if the majority of senior creditors vote </w:t>
      </w:r>
      <w:r w:rsidR="007E06E3">
        <w:rPr>
          <w:rFonts w:ascii="Arial" w:hAnsi="Arial" w:cs="Arial"/>
          <w:color w:val="808080" w:themeColor="background1" w:themeShade="80"/>
          <w:sz w:val="22"/>
          <w:szCs w:val="22"/>
          <w:shd w:val="clear" w:color="auto" w:fill="FFFFFF"/>
        </w:rPr>
        <w:t>and</w:t>
      </w:r>
      <w:r w:rsidR="007B7517">
        <w:rPr>
          <w:rFonts w:ascii="Arial" w:hAnsi="Arial" w:cs="Arial"/>
          <w:color w:val="808080" w:themeColor="background1" w:themeShade="80"/>
          <w:sz w:val="22"/>
          <w:szCs w:val="22"/>
          <w:shd w:val="clear" w:color="auto" w:fill="FFFFFF"/>
        </w:rPr>
        <w:t xml:space="preserve"> assent to the scheme. Art 103 of the Bankruptcy Law (BL) envisages that the draft restructuring plan (RestructPlan) will be reviewed by the Court to , inter alia</w:t>
      </w:r>
      <w:r w:rsidR="007E06E3">
        <w:rPr>
          <w:rFonts w:ascii="Arial" w:hAnsi="Arial" w:cs="Arial"/>
          <w:color w:val="808080" w:themeColor="background1" w:themeShade="80"/>
          <w:sz w:val="22"/>
          <w:szCs w:val="22"/>
          <w:shd w:val="clear" w:color="auto" w:fill="FFFFFF"/>
        </w:rPr>
        <w:t>, ensure that the RestructPlan t</w:t>
      </w:r>
      <w:r w:rsidR="007B7517">
        <w:rPr>
          <w:rFonts w:ascii="Arial" w:hAnsi="Arial" w:cs="Arial"/>
          <w:color w:val="808080" w:themeColor="background1" w:themeShade="80"/>
          <w:sz w:val="22"/>
          <w:szCs w:val="22"/>
          <w:shd w:val="clear" w:color="auto" w:fill="FFFFFF"/>
        </w:rPr>
        <w:t xml:space="preserve">akes care of the interests of all stakeholders. This is the first line of defence provided by the Court to minority creditors. </w:t>
      </w:r>
      <w:r w:rsidR="00A76C46">
        <w:rPr>
          <w:rFonts w:ascii="Arial" w:hAnsi="Arial" w:cs="Arial"/>
          <w:color w:val="808080" w:themeColor="background1" w:themeShade="80"/>
          <w:sz w:val="22"/>
          <w:szCs w:val="22"/>
          <w:shd w:val="clear" w:color="auto" w:fill="FFFFFF"/>
        </w:rPr>
        <w:t>Art 108 deals with the approval process by the Court after the requisite majority of creditors has accorded approval for the RestructPlan and the Trustee has submitted it for Court approval. This article also provides an opportunity to the affected minority creditor to raise objection to the RestructPlan in the Court which the Court will hear and decide on. The final protection available is that the Court requires that each affected creditor obtains at least the Liquidation Value that would be available to him/her as on voting day. This provision is  a guardrail against the minority creditors falling off entirely. However, it falls short of what may be a fair value since if the debtor is only financially stressed and not economically unviable, then the true valuation should be “going concern “ value and not only the Liquidation Value. Overall, the extent of Court involvement is appropriate but effectiveness hinges on the availability of good valuation capabilities and access thereto for the Courts.</w:t>
      </w:r>
      <w:r w:rsidR="00224E71">
        <w:rPr>
          <w:rFonts w:ascii="Arial" w:hAnsi="Arial" w:cs="Arial"/>
          <w:color w:val="808080" w:themeColor="background1" w:themeShade="80"/>
          <w:sz w:val="22"/>
          <w:szCs w:val="22"/>
          <w:shd w:val="clear" w:color="auto" w:fill="FFFFFF"/>
        </w:rPr>
        <w:t>]</w:t>
      </w:r>
    </w:p>
    <w:p w14:paraId="603872A3" w14:textId="7092CF06" w:rsidR="001A45DB" w:rsidRPr="00CA448F" w:rsidRDefault="001A45DB" w:rsidP="00640623">
      <w:pPr>
        <w:rPr>
          <w:rFonts w:ascii="Arial" w:hAnsi="Arial" w:cs="Arial"/>
          <w:color w:val="808080" w:themeColor="background1" w:themeShade="80"/>
          <w:sz w:val="22"/>
          <w:szCs w:val="22"/>
          <w:shd w:val="clear" w:color="auto" w:fill="FFFFFF"/>
        </w:rPr>
      </w:pPr>
    </w:p>
    <w:p w14:paraId="5921E84C" w14:textId="7E21B68A" w:rsidR="0077431E" w:rsidRDefault="0077431E" w:rsidP="00640623">
      <w:pPr>
        <w:rPr>
          <w:rFonts w:ascii="Arial" w:hAnsi="Arial" w:cs="Arial"/>
          <w:sz w:val="22"/>
          <w:szCs w:val="22"/>
          <w:shd w:val="clear" w:color="auto" w:fill="FFFFFF"/>
        </w:rPr>
      </w:pPr>
    </w:p>
    <w:p w14:paraId="6E64D493" w14:textId="2D3C02C4" w:rsidR="00224E71" w:rsidRDefault="00224E71" w:rsidP="00640623">
      <w:pPr>
        <w:rPr>
          <w:rFonts w:ascii="Arial" w:hAnsi="Arial" w:cs="Arial"/>
          <w:sz w:val="22"/>
          <w:szCs w:val="22"/>
          <w:shd w:val="clear" w:color="auto" w:fill="FFFFFF"/>
        </w:rPr>
      </w:pPr>
    </w:p>
    <w:p w14:paraId="7242DA50" w14:textId="09BE2959" w:rsidR="00224E71" w:rsidRDefault="00224E71" w:rsidP="00640623">
      <w:pPr>
        <w:rPr>
          <w:rFonts w:ascii="Arial" w:hAnsi="Arial" w:cs="Arial"/>
          <w:sz w:val="22"/>
          <w:szCs w:val="22"/>
          <w:shd w:val="clear" w:color="auto" w:fill="FFFFFF"/>
        </w:rPr>
      </w:pPr>
    </w:p>
    <w:p w14:paraId="5F44FF97" w14:textId="77777777" w:rsidR="00224E71" w:rsidRPr="00CA448F" w:rsidRDefault="00224E71" w:rsidP="00640623">
      <w:pPr>
        <w:rPr>
          <w:rFonts w:ascii="Arial" w:hAnsi="Arial" w:cs="Arial"/>
          <w:sz w:val="22"/>
          <w:szCs w:val="22"/>
          <w:shd w:val="clear" w:color="auto" w:fill="FFFFFF"/>
        </w:rPr>
      </w:pPr>
    </w:p>
    <w:p w14:paraId="48469270" w14:textId="1F769F16" w:rsidR="009B0723"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640623">
      <w:pPr>
        <w:rPr>
          <w:rFonts w:ascii="Arial" w:hAnsi="Arial" w:cs="Arial"/>
          <w:sz w:val="22"/>
          <w:szCs w:val="22"/>
          <w:lang w:val="en-GB"/>
        </w:rPr>
      </w:pPr>
    </w:p>
    <w:p w14:paraId="78252754" w14:textId="3A856A82" w:rsidR="00822751" w:rsidRPr="00CA448F" w:rsidRDefault="003C0156" w:rsidP="00640623">
      <w:pPr>
        <w:rPr>
          <w:rFonts w:ascii="Arial" w:hAnsi="Arial" w:cs="Arial"/>
          <w:sz w:val="22"/>
          <w:szCs w:val="22"/>
          <w:lang w:val="en-GB"/>
        </w:rPr>
      </w:pPr>
      <w:bookmarkStart w:id="0" w:name="_Hlk17745211"/>
      <w:r w:rsidRPr="00CA448F">
        <w:rPr>
          <w:rFonts w:ascii="Arial" w:hAnsi="Arial" w:cs="Arial"/>
          <w:sz w:val="22"/>
          <w:szCs w:val="22"/>
          <w:lang w:val="en-GB"/>
        </w:rPr>
        <w:t>VGK LLC operates a restaurant chain in various locations in Dubai. It was a thriving and successful business but had to cease operations temporarily due to the effects of COVID-19. It has exhausted all available funds and has no cash to pay creditors. VGK LLC owns a restaurant site which is under development, but the development is not expected to be completed for seven months. The site had been purchased by one of VGK LLC’s shareholders and was transferred to VGK LLC on the basis that payment for the site would be made by VGK LLC to the shareholder in full in 202</w:t>
      </w:r>
      <w:r w:rsidR="00BD7133">
        <w:rPr>
          <w:rFonts w:ascii="Arial" w:hAnsi="Arial" w:cs="Arial"/>
          <w:sz w:val="22"/>
          <w:szCs w:val="22"/>
          <w:lang w:val="en-GB"/>
        </w:rPr>
        <w:t>4</w:t>
      </w:r>
      <w:r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640623">
      <w:pPr>
        <w:rPr>
          <w:rFonts w:ascii="Arial" w:hAnsi="Arial" w:cs="Arial"/>
          <w:sz w:val="22"/>
          <w:szCs w:val="22"/>
          <w:lang w:val="en-GB"/>
        </w:rPr>
      </w:pPr>
    </w:p>
    <w:p w14:paraId="0CCF6A97" w14:textId="16884C3F" w:rsidR="004300F1" w:rsidRPr="00CA448F" w:rsidRDefault="004300F1" w:rsidP="00640623">
      <w:pPr>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640623">
      <w:pPr>
        <w:rPr>
          <w:rFonts w:ascii="Arial" w:hAnsi="Arial" w:cs="Arial"/>
          <w:sz w:val="22"/>
          <w:szCs w:val="22"/>
          <w:lang w:val="en-GB"/>
        </w:rPr>
      </w:pPr>
    </w:p>
    <w:p w14:paraId="031F23F4" w14:textId="05838BD6" w:rsidR="003C0156" w:rsidRPr="00CA448F" w:rsidRDefault="003C0156" w:rsidP="00640623">
      <w:pPr>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640623">
      <w:pPr>
        <w:rPr>
          <w:rFonts w:ascii="Arial" w:hAnsi="Arial" w:cs="Arial"/>
          <w:b/>
          <w:sz w:val="22"/>
          <w:szCs w:val="22"/>
          <w:lang w:val="en-GB"/>
        </w:rPr>
      </w:pPr>
    </w:p>
    <w:p w14:paraId="10D2931E" w14:textId="518224AC"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time-frames.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640623">
      <w:pPr>
        <w:rPr>
          <w:rFonts w:ascii="Arial" w:hAnsi="Arial" w:cs="Arial"/>
          <w:sz w:val="22"/>
          <w:szCs w:val="22"/>
          <w:lang w:val="en-GB"/>
        </w:rPr>
      </w:pPr>
    </w:p>
    <w:p w14:paraId="580459A3" w14:textId="60D807CE"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640623">
      <w:pPr>
        <w:rPr>
          <w:rFonts w:ascii="Arial" w:hAnsi="Arial" w:cs="Arial"/>
          <w:sz w:val="22"/>
          <w:szCs w:val="22"/>
          <w:lang w:val="en-GB"/>
        </w:rPr>
      </w:pPr>
    </w:p>
    <w:p w14:paraId="258CB620" w14:textId="09846BFD" w:rsidR="001B7E6E" w:rsidRDefault="00224E71"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1B7E6E">
        <w:rPr>
          <w:rFonts w:ascii="Arial" w:hAnsi="Arial" w:cs="Arial"/>
          <w:color w:val="808080" w:themeColor="background1" w:themeShade="80"/>
          <w:sz w:val="22"/>
          <w:szCs w:val="22"/>
          <w:lang w:val="en-GB"/>
        </w:rPr>
        <w:t xml:space="preserve">  The schedule and steps are tabulated below:</w:t>
      </w:r>
    </w:p>
    <w:p w14:paraId="382F8647" w14:textId="77777777" w:rsidR="001B7E6E" w:rsidRDefault="001B7E6E" w:rsidP="00640623">
      <w:pPr>
        <w:rPr>
          <w:rFonts w:ascii="Arial" w:hAnsi="Arial" w:cs="Arial"/>
          <w:color w:val="808080" w:themeColor="background1" w:themeShade="80"/>
          <w:sz w:val="22"/>
          <w:szCs w:val="22"/>
          <w:lang w:val="en-GB"/>
        </w:rPr>
      </w:pPr>
    </w:p>
    <w:tbl>
      <w:tblPr>
        <w:tblStyle w:val="TableGrid"/>
        <w:tblW w:w="0" w:type="auto"/>
        <w:tblLook w:val="04A0" w:firstRow="1" w:lastRow="0" w:firstColumn="1" w:lastColumn="0" w:noHBand="0" w:noVBand="1"/>
      </w:tblPr>
      <w:tblGrid>
        <w:gridCol w:w="669"/>
        <w:gridCol w:w="6844"/>
        <w:gridCol w:w="1503"/>
      </w:tblGrid>
      <w:tr w:rsidR="001B7E6E" w14:paraId="05A83A2C" w14:textId="77777777" w:rsidTr="001B7E6E">
        <w:tc>
          <w:tcPr>
            <w:tcW w:w="562" w:type="dxa"/>
          </w:tcPr>
          <w:p w14:paraId="670809C0" w14:textId="202D0400" w:rsidR="001B7E6E" w:rsidRDefault="001B7E6E"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Step No</w:t>
            </w:r>
          </w:p>
        </w:tc>
        <w:tc>
          <w:tcPr>
            <w:tcW w:w="6946" w:type="dxa"/>
          </w:tcPr>
          <w:p w14:paraId="3A6B0868" w14:textId="3C39B1C7" w:rsidR="001B7E6E" w:rsidRDefault="001B7E6E"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Pa</w:t>
            </w:r>
            <w:r w:rsidR="00731FD1">
              <w:rPr>
                <w:rFonts w:ascii="Arial" w:hAnsi="Arial" w:cs="Arial"/>
                <w:color w:val="808080" w:themeColor="background1" w:themeShade="80"/>
                <w:sz w:val="22"/>
                <w:szCs w:val="22"/>
                <w:lang w:val="en-GB"/>
              </w:rPr>
              <w:t>rticulars</w:t>
            </w:r>
          </w:p>
        </w:tc>
        <w:tc>
          <w:tcPr>
            <w:tcW w:w="1508" w:type="dxa"/>
          </w:tcPr>
          <w:p w14:paraId="372E48B6" w14:textId="0A4F753B" w:rsidR="001B7E6E" w:rsidRDefault="00D34539" w:rsidP="00D34539">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No.of Business Days  following application filed</w:t>
            </w:r>
          </w:p>
        </w:tc>
      </w:tr>
      <w:tr w:rsidR="001B7E6E" w14:paraId="212FD4D3" w14:textId="77777777" w:rsidTr="001B7E6E">
        <w:tc>
          <w:tcPr>
            <w:tcW w:w="562" w:type="dxa"/>
          </w:tcPr>
          <w:p w14:paraId="21CC6B79" w14:textId="344EBCCC" w:rsidR="001B7E6E" w:rsidRDefault="00731FD1"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1</w:t>
            </w:r>
          </w:p>
        </w:tc>
        <w:tc>
          <w:tcPr>
            <w:tcW w:w="6946" w:type="dxa"/>
          </w:tcPr>
          <w:p w14:paraId="3A43D15B" w14:textId="0F729247" w:rsidR="001B7E6E" w:rsidRDefault="00731FD1"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Application filed for preventive composition (PC)</w:t>
            </w:r>
            <w:r w:rsidR="00F1282D">
              <w:rPr>
                <w:rFonts w:ascii="Arial" w:hAnsi="Arial" w:cs="Arial"/>
                <w:color w:val="808080" w:themeColor="background1" w:themeShade="80"/>
                <w:sz w:val="22"/>
                <w:szCs w:val="22"/>
                <w:lang w:val="en-GB"/>
              </w:rPr>
              <w:t xml:space="preserve"> (on date T , say) </w:t>
            </w:r>
            <w:r>
              <w:rPr>
                <w:rFonts w:ascii="Arial" w:hAnsi="Arial" w:cs="Arial"/>
                <w:color w:val="808080" w:themeColor="background1" w:themeShade="80"/>
                <w:sz w:val="22"/>
                <w:szCs w:val="22"/>
                <w:lang w:val="en-GB"/>
              </w:rPr>
              <w:t>and Court appoints expert</w:t>
            </w:r>
            <w:r w:rsidR="00F1282D">
              <w:rPr>
                <w:rFonts w:ascii="Arial" w:hAnsi="Arial" w:cs="Arial"/>
                <w:color w:val="808080" w:themeColor="background1" w:themeShade="80"/>
                <w:sz w:val="22"/>
                <w:szCs w:val="22"/>
                <w:lang w:val="en-GB"/>
              </w:rPr>
              <w:t xml:space="preserve"> &amp;</w:t>
            </w:r>
            <w:r w:rsidR="00DA356F">
              <w:rPr>
                <w:rFonts w:ascii="Arial" w:hAnsi="Arial" w:cs="Arial"/>
                <w:color w:val="808080" w:themeColor="background1" w:themeShade="80"/>
                <w:sz w:val="22"/>
                <w:szCs w:val="22"/>
                <w:lang w:val="en-GB"/>
              </w:rPr>
              <w:t xml:space="preserve"> </w:t>
            </w:r>
            <w:r w:rsidR="00F1282D">
              <w:rPr>
                <w:rFonts w:ascii="Arial" w:hAnsi="Arial" w:cs="Arial"/>
                <w:color w:val="808080" w:themeColor="background1" w:themeShade="80"/>
                <w:sz w:val="22"/>
                <w:szCs w:val="22"/>
                <w:lang w:val="en-GB"/>
              </w:rPr>
              <w:t>notifies expert of his appointment</w:t>
            </w:r>
          </w:p>
        </w:tc>
        <w:tc>
          <w:tcPr>
            <w:tcW w:w="1508" w:type="dxa"/>
          </w:tcPr>
          <w:p w14:paraId="56C36613" w14:textId="6E87715B" w:rsidR="001B7E6E" w:rsidRDefault="00731FD1"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T</w:t>
            </w:r>
            <w:r w:rsidR="00F1282D">
              <w:rPr>
                <w:rFonts w:ascii="Arial" w:hAnsi="Arial" w:cs="Arial"/>
                <w:color w:val="808080" w:themeColor="background1" w:themeShade="80"/>
                <w:sz w:val="22"/>
                <w:szCs w:val="22"/>
                <w:lang w:val="en-GB"/>
              </w:rPr>
              <w:t>+1</w:t>
            </w:r>
          </w:p>
        </w:tc>
      </w:tr>
      <w:tr w:rsidR="001B7E6E" w14:paraId="25FE92B5" w14:textId="77777777" w:rsidTr="001B7E6E">
        <w:tc>
          <w:tcPr>
            <w:tcW w:w="562" w:type="dxa"/>
          </w:tcPr>
          <w:p w14:paraId="43046809" w14:textId="7DF46653" w:rsidR="001B7E6E" w:rsidRDefault="00731FD1"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2</w:t>
            </w:r>
          </w:p>
        </w:tc>
        <w:tc>
          <w:tcPr>
            <w:tcW w:w="6946" w:type="dxa"/>
          </w:tcPr>
          <w:p w14:paraId="1B1802C1" w14:textId="25A93792" w:rsidR="001B7E6E" w:rsidRDefault="00731FD1"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Expert submits report</w:t>
            </w:r>
          </w:p>
        </w:tc>
        <w:tc>
          <w:tcPr>
            <w:tcW w:w="1508" w:type="dxa"/>
          </w:tcPr>
          <w:p w14:paraId="032E65A8" w14:textId="7B174A66" w:rsidR="001B7E6E" w:rsidRDefault="00731FD1" w:rsidP="00F1282D">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T+2</w:t>
            </w:r>
            <w:r w:rsidR="00F1282D">
              <w:rPr>
                <w:rFonts w:ascii="Arial" w:hAnsi="Arial" w:cs="Arial"/>
                <w:color w:val="808080" w:themeColor="background1" w:themeShade="80"/>
                <w:sz w:val="22"/>
                <w:szCs w:val="22"/>
                <w:lang w:val="en-GB"/>
              </w:rPr>
              <w:t>1</w:t>
            </w:r>
          </w:p>
        </w:tc>
      </w:tr>
      <w:tr w:rsidR="001B7E6E" w14:paraId="5B72DA2B" w14:textId="77777777" w:rsidTr="001B7E6E">
        <w:tc>
          <w:tcPr>
            <w:tcW w:w="562" w:type="dxa"/>
          </w:tcPr>
          <w:p w14:paraId="324EF7D5" w14:textId="67EF7B1D" w:rsidR="001B7E6E" w:rsidRDefault="00731FD1"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3</w:t>
            </w:r>
          </w:p>
        </w:tc>
        <w:tc>
          <w:tcPr>
            <w:tcW w:w="6946" w:type="dxa"/>
          </w:tcPr>
          <w:p w14:paraId="1A867B33" w14:textId="616541B5" w:rsidR="001B7E6E" w:rsidRDefault="00731FD1"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Court accepts Application for Preventive Composition (PC) and appoints Trustee</w:t>
            </w:r>
            <w:r w:rsidR="00F1282D">
              <w:rPr>
                <w:rFonts w:ascii="Arial" w:hAnsi="Arial" w:cs="Arial"/>
                <w:color w:val="808080" w:themeColor="background1" w:themeShade="80"/>
                <w:sz w:val="22"/>
                <w:szCs w:val="22"/>
                <w:lang w:val="en-GB"/>
              </w:rPr>
              <w:t xml:space="preserve"> and notifies Trustee of his appointment</w:t>
            </w:r>
          </w:p>
        </w:tc>
        <w:tc>
          <w:tcPr>
            <w:tcW w:w="1508" w:type="dxa"/>
          </w:tcPr>
          <w:p w14:paraId="34311EAE" w14:textId="2565F9FB" w:rsidR="001B7E6E" w:rsidRDefault="00731FD1" w:rsidP="00F1282D">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T+2</w:t>
            </w:r>
            <w:r w:rsidR="00F1282D">
              <w:rPr>
                <w:rFonts w:ascii="Arial" w:hAnsi="Arial" w:cs="Arial"/>
                <w:color w:val="808080" w:themeColor="background1" w:themeShade="80"/>
                <w:sz w:val="22"/>
                <w:szCs w:val="22"/>
                <w:lang w:val="en-GB"/>
              </w:rPr>
              <w:t>7</w:t>
            </w:r>
          </w:p>
        </w:tc>
      </w:tr>
      <w:tr w:rsidR="001B7E6E" w14:paraId="11CCC35E" w14:textId="77777777" w:rsidTr="001B7E6E">
        <w:tc>
          <w:tcPr>
            <w:tcW w:w="562" w:type="dxa"/>
          </w:tcPr>
          <w:p w14:paraId="60287F1B" w14:textId="13529A0E" w:rsidR="001B7E6E" w:rsidRDefault="00731FD1"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4</w:t>
            </w:r>
          </w:p>
        </w:tc>
        <w:tc>
          <w:tcPr>
            <w:tcW w:w="6946" w:type="dxa"/>
          </w:tcPr>
          <w:p w14:paraId="0CA126B3" w14:textId="4908C5D7" w:rsidR="001B7E6E" w:rsidRDefault="00731FD1" w:rsidP="00F1282D">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Trustee advertises and invites claims with deadline of T+5</w:t>
            </w:r>
            <w:r w:rsidR="00F1282D">
              <w:rPr>
                <w:rFonts w:ascii="Arial" w:hAnsi="Arial" w:cs="Arial"/>
                <w:color w:val="808080" w:themeColor="background1" w:themeShade="80"/>
                <w:sz w:val="22"/>
                <w:szCs w:val="22"/>
                <w:lang w:val="en-GB"/>
              </w:rPr>
              <w:t>2</w:t>
            </w:r>
          </w:p>
        </w:tc>
        <w:tc>
          <w:tcPr>
            <w:tcW w:w="1508" w:type="dxa"/>
          </w:tcPr>
          <w:p w14:paraId="1D56461F" w14:textId="06C8A798" w:rsidR="001B7E6E" w:rsidRDefault="00731FD1" w:rsidP="00F1282D">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F1282D">
              <w:rPr>
                <w:rFonts w:ascii="Arial" w:hAnsi="Arial" w:cs="Arial"/>
                <w:color w:val="808080" w:themeColor="background1" w:themeShade="80"/>
                <w:sz w:val="22"/>
                <w:szCs w:val="22"/>
                <w:lang w:val="en-GB"/>
              </w:rPr>
              <w:t>32</w:t>
            </w:r>
          </w:p>
        </w:tc>
      </w:tr>
      <w:tr w:rsidR="001B7E6E" w14:paraId="5052BE65" w14:textId="77777777" w:rsidTr="001B7E6E">
        <w:tc>
          <w:tcPr>
            <w:tcW w:w="562" w:type="dxa"/>
          </w:tcPr>
          <w:p w14:paraId="776FB826" w14:textId="63A4D0A2" w:rsidR="001B7E6E" w:rsidRDefault="00731FD1"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5</w:t>
            </w:r>
          </w:p>
        </w:tc>
        <w:tc>
          <w:tcPr>
            <w:tcW w:w="6946" w:type="dxa"/>
          </w:tcPr>
          <w:p w14:paraId="13F88331" w14:textId="4C669C3E" w:rsidR="001B7E6E" w:rsidRDefault="00731FD1"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Trustee lodges with Court , the List of Claims</w:t>
            </w:r>
          </w:p>
        </w:tc>
        <w:tc>
          <w:tcPr>
            <w:tcW w:w="1508" w:type="dxa"/>
          </w:tcPr>
          <w:p w14:paraId="3FCDAC2B" w14:textId="759284CB" w:rsidR="001B7E6E" w:rsidRDefault="00731FD1" w:rsidP="00F1282D">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T+6</w:t>
            </w:r>
            <w:r w:rsidR="00F1282D">
              <w:rPr>
                <w:rFonts w:ascii="Arial" w:hAnsi="Arial" w:cs="Arial"/>
                <w:color w:val="808080" w:themeColor="background1" w:themeShade="80"/>
                <w:sz w:val="22"/>
                <w:szCs w:val="22"/>
                <w:lang w:val="en-GB"/>
              </w:rPr>
              <w:t>2</w:t>
            </w:r>
          </w:p>
        </w:tc>
      </w:tr>
      <w:tr w:rsidR="001B7E6E" w14:paraId="19E3D463" w14:textId="77777777" w:rsidTr="001B7E6E">
        <w:tc>
          <w:tcPr>
            <w:tcW w:w="562" w:type="dxa"/>
          </w:tcPr>
          <w:p w14:paraId="115EFB31" w14:textId="5C353D69" w:rsidR="001B7E6E" w:rsidRDefault="00731FD1"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6</w:t>
            </w:r>
          </w:p>
        </w:tc>
        <w:tc>
          <w:tcPr>
            <w:tcW w:w="6946" w:type="dxa"/>
          </w:tcPr>
          <w:p w14:paraId="03D739C2" w14:textId="71D9071D" w:rsidR="001B7E6E" w:rsidRDefault="00731FD1" w:rsidP="00731FD1">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Trustee submits to court the Draft Preventive Composition Scheme </w:t>
            </w:r>
          </w:p>
        </w:tc>
        <w:tc>
          <w:tcPr>
            <w:tcW w:w="1508" w:type="dxa"/>
          </w:tcPr>
          <w:p w14:paraId="72CF685E" w14:textId="1595E26D" w:rsidR="001B7E6E" w:rsidRDefault="00731FD1" w:rsidP="00BC4558">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T+7</w:t>
            </w:r>
            <w:r w:rsidR="00BC4558">
              <w:rPr>
                <w:rFonts w:ascii="Arial" w:hAnsi="Arial" w:cs="Arial"/>
                <w:color w:val="808080" w:themeColor="background1" w:themeShade="80"/>
                <w:sz w:val="22"/>
                <w:szCs w:val="22"/>
                <w:lang w:val="en-GB"/>
              </w:rPr>
              <w:t>7</w:t>
            </w:r>
          </w:p>
        </w:tc>
      </w:tr>
      <w:tr w:rsidR="001B7E6E" w14:paraId="6F1BC880" w14:textId="77777777" w:rsidTr="001B7E6E">
        <w:tc>
          <w:tcPr>
            <w:tcW w:w="562" w:type="dxa"/>
          </w:tcPr>
          <w:p w14:paraId="5457A5B7" w14:textId="3A7BBC36" w:rsidR="001B7E6E" w:rsidRDefault="00731FD1"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7</w:t>
            </w:r>
          </w:p>
        </w:tc>
        <w:tc>
          <w:tcPr>
            <w:tcW w:w="6946" w:type="dxa"/>
          </w:tcPr>
          <w:p w14:paraId="417D4FD2" w14:textId="34CC43EE" w:rsidR="001B7E6E" w:rsidRDefault="00731FD1"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Court reviews Draft Scheme and, on direction of Court , Trustee invites Creditors for a meeting to consider the Draft PC Scheme</w:t>
            </w:r>
          </w:p>
        </w:tc>
        <w:tc>
          <w:tcPr>
            <w:tcW w:w="1508" w:type="dxa"/>
          </w:tcPr>
          <w:p w14:paraId="7F6C0C2B" w14:textId="16DA24C3" w:rsidR="001B7E6E" w:rsidRDefault="00731FD1" w:rsidP="00BC4558">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187780">
              <w:rPr>
                <w:rFonts w:ascii="Arial" w:hAnsi="Arial" w:cs="Arial"/>
                <w:color w:val="808080" w:themeColor="background1" w:themeShade="80"/>
                <w:sz w:val="22"/>
                <w:szCs w:val="22"/>
                <w:lang w:val="en-GB"/>
              </w:rPr>
              <w:t>92</w:t>
            </w:r>
          </w:p>
        </w:tc>
      </w:tr>
      <w:tr w:rsidR="001B7E6E" w14:paraId="0961EBA8" w14:textId="77777777" w:rsidTr="001B7E6E">
        <w:tc>
          <w:tcPr>
            <w:tcW w:w="562" w:type="dxa"/>
          </w:tcPr>
          <w:p w14:paraId="17E7D282" w14:textId="24325E3E" w:rsidR="001B7E6E" w:rsidRDefault="00731FD1"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8</w:t>
            </w:r>
          </w:p>
        </w:tc>
        <w:tc>
          <w:tcPr>
            <w:tcW w:w="6946" w:type="dxa"/>
          </w:tcPr>
          <w:p w14:paraId="33839061" w14:textId="49B98B53" w:rsidR="001B7E6E" w:rsidRDefault="00731FD1"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Creditors meet and vote on draft PC  scheme</w:t>
            </w:r>
          </w:p>
        </w:tc>
        <w:tc>
          <w:tcPr>
            <w:tcW w:w="1508" w:type="dxa"/>
          </w:tcPr>
          <w:p w14:paraId="5946BA32" w14:textId="0EF92C4A" w:rsidR="001B7E6E" w:rsidRDefault="00731FD1" w:rsidP="00BC4558">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187780">
              <w:rPr>
                <w:rFonts w:ascii="Arial" w:hAnsi="Arial" w:cs="Arial"/>
                <w:color w:val="808080" w:themeColor="background1" w:themeShade="80"/>
                <w:sz w:val="22"/>
                <w:szCs w:val="22"/>
                <w:lang w:val="en-GB"/>
              </w:rPr>
              <w:t>107</w:t>
            </w:r>
          </w:p>
        </w:tc>
      </w:tr>
      <w:tr w:rsidR="001B7E6E" w14:paraId="18DD42A3" w14:textId="77777777" w:rsidTr="001B7E6E">
        <w:tc>
          <w:tcPr>
            <w:tcW w:w="562" w:type="dxa"/>
          </w:tcPr>
          <w:p w14:paraId="0C9A3732" w14:textId="7C6C2256" w:rsidR="001B7E6E" w:rsidRDefault="00731FD1"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9</w:t>
            </w:r>
          </w:p>
        </w:tc>
        <w:tc>
          <w:tcPr>
            <w:tcW w:w="6946" w:type="dxa"/>
          </w:tcPr>
          <w:p w14:paraId="13441E42" w14:textId="3861F9F7" w:rsidR="001B7E6E" w:rsidRDefault="00731FD1"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Trustee places for Court approval , the PC Scheme as approved by Creditors with requisite majority</w:t>
            </w:r>
          </w:p>
        </w:tc>
        <w:tc>
          <w:tcPr>
            <w:tcW w:w="1508" w:type="dxa"/>
          </w:tcPr>
          <w:p w14:paraId="37497A15" w14:textId="1BB94ADA" w:rsidR="001B7E6E" w:rsidRDefault="00187780" w:rsidP="00BC4558">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T+110</w:t>
            </w:r>
          </w:p>
        </w:tc>
      </w:tr>
      <w:tr w:rsidR="001B7E6E" w14:paraId="0367667B" w14:textId="77777777" w:rsidTr="001B7E6E">
        <w:tc>
          <w:tcPr>
            <w:tcW w:w="562" w:type="dxa"/>
          </w:tcPr>
          <w:p w14:paraId="7B5213DE" w14:textId="33B39574" w:rsidR="001B7E6E" w:rsidRDefault="00731FD1"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10</w:t>
            </w:r>
          </w:p>
        </w:tc>
        <w:tc>
          <w:tcPr>
            <w:tcW w:w="6946" w:type="dxa"/>
          </w:tcPr>
          <w:p w14:paraId="16D135BE" w14:textId="0253761E" w:rsidR="001B7E6E" w:rsidRDefault="00731FD1"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Court decides on Preventive Composition Plan (PCP) and Trustee makes necessary entries in the company</w:t>
            </w:r>
            <w:r w:rsidR="002F7211">
              <w:rPr>
                <w:rFonts w:ascii="Arial" w:hAnsi="Arial" w:cs="Arial"/>
                <w:color w:val="808080" w:themeColor="background1" w:themeShade="80"/>
                <w:sz w:val="22"/>
                <w:szCs w:val="22"/>
                <w:lang w:val="en-GB"/>
              </w:rPr>
              <w:t xml:space="preserve">’s governmental corporate </w:t>
            </w:r>
            <w:r>
              <w:rPr>
                <w:rFonts w:ascii="Arial" w:hAnsi="Arial" w:cs="Arial"/>
                <w:color w:val="808080" w:themeColor="background1" w:themeShade="80"/>
                <w:sz w:val="22"/>
                <w:szCs w:val="22"/>
                <w:lang w:val="en-GB"/>
              </w:rPr>
              <w:t xml:space="preserve"> register</w:t>
            </w:r>
          </w:p>
        </w:tc>
        <w:tc>
          <w:tcPr>
            <w:tcW w:w="1508" w:type="dxa"/>
          </w:tcPr>
          <w:p w14:paraId="73078ADE" w14:textId="5250CD8D" w:rsidR="001B7E6E" w:rsidRDefault="00731FD1" w:rsidP="00187780">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00187780">
              <w:rPr>
                <w:rFonts w:ascii="Arial" w:hAnsi="Arial" w:cs="Arial"/>
                <w:color w:val="808080" w:themeColor="background1" w:themeShade="80"/>
                <w:sz w:val="22"/>
                <w:szCs w:val="22"/>
                <w:lang w:val="en-GB"/>
              </w:rPr>
              <w:t>117</w:t>
            </w:r>
          </w:p>
        </w:tc>
      </w:tr>
    </w:tbl>
    <w:p w14:paraId="42729223" w14:textId="77777777" w:rsidR="007E06E3" w:rsidRDefault="007E06E3" w:rsidP="00640623">
      <w:pPr>
        <w:rPr>
          <w:rFonts w:ascii="Arial" w:hAnsi="Arial" w:cs="Arial"/>
          <w:color w:val="808080" w:themeColor="background1" w:themeShade="80"/>
          <w:sz w:val="22"/>
          <w:szCs w:val="22"/>
          <w:lang w:val="en-GB"/>
        </w:rPr>
      </w:pPr>
    </w:p>
    <w:p w14:paraId="5D931986" w14:textId="0165766B" w:rsidR="00BD1061" w:rsidRPr="00CA448F" w:rsidRDefault="007E06E3"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maximum period from application date to reach point of commencement of implementation is 1</w:t>
      </w:r>
      <w:r w:rsidR="00187780">
        <w:rPr>
          <w:rFonts w:ascii="Arial" w:hAnsi="Arial" w:cs="Arial"/>
          <w:color w:val="808080" w:themeColor="background1" w:themeShade="80"/>
          <w:sz w:val="22"/>
          <w:szCs w:val="22"/>
          <w:lang w:val="en-GB"/>
        </w:rPr>
        <w:t xml:space="preserve">17 business </w:t>
      </w:r>
      <w:r>
        <w:rPr>
          <w:rFonts w:ascii="Arial" w:hAnsi="Arial" w:cs="Arial"/>
          <w:color w:val="808080" w:themeColor="background1" w:themeShade="80"/>
          <w:sz w:val="22"/>
          <w:szCs w:val="22"/>
          <w:lang w:val="en-GB"/>
        </w:rPr>
        <w:t xml:space="preserve"> days.</w:t>
      </w:r>
      <w:r w:rsidR="00224E71">
        <w:rPr>
          <w:rFonts w:ascii="Arial" w:hAnsi="Arial" w:cs="Arial"/>
          <w:color w:val="808080" w:themeColor="background1" w:themeShade="80"/>
          <w:sz w:val="22"/>
          <w:szCs w:val="22"/>
          <w:lang w:val="en-GB"/>
        </w:rPr>
        <w:t>]</w:t>
      </w:r>
    </w:p>
    <w:p w14:paraId="6CDA2848" w14:textId="08483F1B" w:rsidR="00BD1061" w:rsidRPr="00CA448F" w:rsidRDefault="00BD1061" w:rsidP="00640623">
      <w:pPr>
        <w:rPr>
          <w:rFonts w:ascii="Arial" w:hAnsi="Arial" w:cs="Arial"/>
          <w:color w:val="808080" w:themeColor="background1" w:themeShade="80"/>
          <w:sz w:val="22"/>
          <w:szCs w:val="22"/>
          <w:lang w:val="en-GB"/>
        </w:rPr>
      </w:pPr>
    </w:p>
    <w:p w14:paraId="56A9A67B" w14:textId="77777777" w:rsidR="00BD1061" w:rsidRPr="00CA448F" w:rsidRDefault="00BD1061" w:rsidP="00640623">
      <w:pPr>
        <w:rPr>
          <w:rFonts w:ascii="Arial" w:hAnsi="Arial" w:cs="Arial"/>
          <w:sz w:val="22"/>
          <w:szCs w:val="22"/>
          <w:lang w:val="en-GB"/>
        </w:rPr>
      </w:pPr>
    </w:p>
    <w:p w14:paraId="0A96B7DC" w14:textId="1C377FB3" w:rsidR="003C0156" w:rsidRPr="00CA448F" w:rsidRDefault="003C0156" w:rsidP="00640623">
      <w:pPr>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640623">
      <w:pPr>
        <w:rPr>
          <w:rFonts w:ascii="Arial" w:hAnsi="Arial" w:cs="Arial"/>
          <w:b/>
          <w:sz w:val="22"/>
          <w:szCs w:val="22"/>
          <w:lang w:val="en-GB"/>
        </w:rPr>
      </w:pPr>
    </w:p>
    <w:p w14:paraId="3CBAA349" w14:textId="3916CCDC"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 xml:space="preserve">VGK LLC’s creditors rejected the proposed Preventive Composition scheme after a process of nearly </w:t>
      </w:r>
      <w:r w:rsidR="001C181F" w:rsidRPr="00CA448F">
        <w:rPr>
          <w:rFonts w:ascii="Arial" w:hAnsi="Arial" w:cs="Arial"/>
          <w:sz w:val="22"/>
          <w:szCs w:val="22"/>
          <w:lang w:val="en-GB"/>
        </w:rPr>
        <w:t xml:space="preserve">four </w:t>
      </w:r>
      <w:r w:rsidRPr="00CA448F">
        <w:rPr>
          <w:rFonts w:ascii="Arial" w:hAnsi="Arial" w:cs="Arial"/>
          <w:sz w:val="22"/>
          <w:szCs w:val="22"/>
          <w:lang w:val="en-GB"/>
        </w:rPr>
        <w:t xml:space="preserve">months. During that time, creditors, including staff, were not paid. The owners consider that without creditor support, restructuring would be impossible and liquidation is the only option available. </w:t>
      </w:r>
      <w:r w:rsidR="007A7EA9" w:rsidRPr="00CA448F">
        <w:rPr>
          <w:rFonts w:ascii="Arial" w:hAnsi="Arial" w:cs="Arial"/>
          <w:sz w:val="22"/>
          <w:szCs w:val="22"/>
          <w:lang w:val="en-GB"/>
        </w:rPr>
        <w:t>With specific reference to the facts described above, d</w:t>
      </w:r>
      <w:r w:rsidRPr="00CA448F">
        <w:rPr>
          <w:rFonts w:ascii="Arial" w:hAnsi="Arial" w:cs="Arial"/>
          <w:sz w:val="22"/>
          <w:szCs w:val="22"/>
          <w:lang w:val="en-GB"/>
        </w:rPr>
        <w:t xml:space="preserve">escribe the process that would be followed as part of any liquidation and, in particular, considering who could be appointed as trustee. </w:t>
      </w:r>
    </w:p>
    <w:p w14:paraId="282747A4" w14:textId="05F42072" w:rsidR="009D3106" w:rsidRPr="00CA448F" w:rsidRDefault="009D3106" w:rsidP="00640623">
      <w:pPr>
        <w:rPr>
          <w:rFonts w:ascii="Arial" w:hAnsi="Arial" w:cs="Arial"/>
          <w:sz w:val="22"/>
          <w:szCs w:val="22"/>
          <w:lang w:val="en-GB"/>
        </w:rPr>
      </w:pPr>
    </w:p>
    <w:p w14:paraId="63560FCE" w14:textId="77777777" w:rsidR="006A755E" w:rsidRDefault="00224E71"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6A402D">
        <w:rPr>
          <w:rFonts w:ascii="Arial" w:hAnsi="Arial" w:cs="Arial"/>
          <w:color w:val="808080" w:themeColor="background1" w:themeShade="80"/>
          <w:sz w:val="22"/>
          <w:szCs w:val="22"/>
          <w:lang w:val="en-GB"/>
        </w:rPr>
        <w:t xml:space="preserve"> VGK LLC has been unable to service dues to employees and creditors for 4 months , during which Preventive Composition was abortively attempted. Now, VGK LLC has defaulted to these employees and creditors for over 30 Business Days. Thus, u/Art 68, VGK LLC is obliged to file for bankruptcy </w:t>
      </w:r>
      <w:r w:rsidR="002F7211">
        <w:rPr>
          <w:rFonts w:ascii="Arial" w:hAnsi="Arial" w:cs="Arial"/>
          <w:color w:val="808080" w:themeColor="background1" w:themeShade="80"/>
          <w:sz w:val="22"/>
          <w:szCs w:val="22"/>
          <w:lang w:val="en-GB"/>
        </w:rPr>
        <w:tab/>
      </w:r>
      <w:r w:rsidR="006A402D">
        <w:rPr>
          <w:rFonts w:ascii="Arial" w:hAnsi="Arial" w:cs="Arial"/>
          <w:color w:val="808080" w:themeColor="background1" w:themeShade="80"/>
          <w:sz w:val="22"/>
          <w:szCs w:val="22"/>
          <w:lang w:val="en-GB"/>
        </w:rPr>
        <w:t xml:space="preserve">in Court. </w:t>
      </w:r>
    </w:p>
    <w:p w14:paraId="318FCB6A" w14:textId="77777777" w:rsidR="006A755E" w:rsidRDefault="006A755E" w:rsidP="00640623">
      <w:pPr>
        <w:rPr>
          <w:rFonts w:ascii="Arial" w:hAnsi="Arial" w:cs="Arial"/>
          <w:color w:val="808080" w:themeColor="background1" w:themeShade="80"/>
          <w:sz w:val="22"/>
          <w:szCs w:val="22"/>
          <w:lang w:val="en-GB"/>
        </w:rPr>
      </w:pPr>
    </w:p>
    <w:p w14:paraId="14DD7449" w14:textId="77777777" w:rsidR="006A755E" w:rsidRDefault="006A402D"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Court will appoint an Expert to examine the financial condition of VGK LLC. Since VGK LLC has already decided that restructuring is not possible, the Expert</w:t>
      </w:r>
      <w:r w:rsidR="006A755E">
        <w:rPr>
          <w:rFonts w:ascii="Arial" w:hAnsi="Arial" w:cs="Arial"/>
          <w:color w:val="808080" w:themeColor="background1" w:themeShade="80"/>
          <w:sz w:val="22"/>
          <w:szCs w:val="22"/>
          <w:lang w:val="en-GB"/>
        </w:rPr>
        <w:t>’s report can only record this i</w:t>
      </w:r>
      <w:r>
        <w:rPr>
          <w:rFonts w:ascii="Arial" w:hAnsi="Arial" w:cs="Arial"/>
          <w:color w:val="808080" w:themeColor="background1" w:themeShade="80"/>
          <w:sz w:val="22"/>
          <w:szCs w:val="22"/>
          <w:lang w:val="en-GB"/>
        </w:rPr>
        <w:t xml:space="preserve">nfeasibility of restructuring option and it only remains for the expert to record an opinion on the feasibility of sale as a going concern in lieu of  a piece-wise asset sale. After considering the Expert Report, the Court will </w:t>
      </w:r>
      <w:r w:rsidR="007D612C">
        <w:rPr>
          <w:rFonts w:ascii="Arial" w:hAnsi="Arial" w:cs="Arial"/>
          <w:color w:val="808080" w:themeColor="background1" w:themeShade="80"/>
          <w:sz w:val="22"/>
          <w:szCs w:val="22"/>
          <w:lang w:val="en-GB"/>
        </w:rPr>
        <w:t xml:space="preserve">find that the very application submissions of VGK LLC as well as the Expert’s Report manifestly indicate that restructuring is impossible. Squarely, in terms of Art 124 (3) the Court will </w:t>
      </w:r>
      <w:r>
        <w:rPr>
          <w:rFonts w:ascii="Arial" w:hAnsi="Arial" w:cs="Arial"/>
          <w:color w:val="808080" w:themeColor="background1" w:themeShade="80"/>
          <w:sz w:val="22"/>
          <w:szCs w:val="22"/>
          <w:lang w:val="en-GB"/>
        </w:rPr>
        <w:t xml:space="preserve"> pronounce a judgment declaring VGK LLC as bankrupt and ordering for its liquidation by sale of assets. </w:t>
      </w:r>
    </w:p>
    <w:p w14:paraId="64A70EF7" w14:textId="77777777" w:rsidR="006A755E" w:rsidRDefault="006A755E" w:rsidP="00640623">
      <w:pPr>
        <w:rPr>
          <w:rFonts w:ascii="Arial" w:hAnsi="Arial" w:cs="Arial"/>
          <w:color w:val="808080" w:themeColor="background1" w:themeShade="80"/>
          <w:sz w:val="22"/>
          <w:szCs w:val="22"/>
          <w:lang w:val="en-GB"/>
        </w:rPr>
      </w:pPr>
    </w:p>
    <w:p w14:paraId="77F6125D" w14:textId="77777777" w:rsidR="006A755E" w:rsidRDefault="006A402D"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Simultaneously with this order of liquidation, u/Art 162, a stay comes into force on all legal proceedings for recovery as well as for enforcement of security. There is an exception under which secured creditors can, with Court approval, enforce security for “debts that are due”. VGK LLC has  mortgaged th</w:t>
      </w:r>
      <w:r w:rsidR="007D612C">
        <w:rPr>
          <w:rFonts w:ascii="Arial" w:hAnsi="Arial" w:cs="Arial"/>
          <w:color w:val="808080" w:themeColor="background1" w:themeShade="80"/>
          <w:sz w:val="22"/>
          <w:szCs w:val="22"/>
          <w:lang w:val="en-GB"/>
        </w:rPr>
        <w:t>e</w:t>
      </w:r>
      <w:r>
        <w:rPr>
          <w:rFonts w:ascii="Arial" w:hAnsi="Arial" w:cs="Arial"/>
          <w:color w:val="808080" w:themeColor="background1" w:themeShade="80"/>
          <w:sz w:val="22"/>
          <w:szCs w:val="22"/>
          <w:lang w:val="en-GB"/>
        </w:rPr>
        <w:t xml:space="preserve"> site-under-construction to a shareholder-creditor (Sh</w:t>
      </w:r>
      <w:r>
        <w:rPr>
          <w:rFonts w:ascii="Arial" w:hAnsi="Arial" w:cs="Arial"/>
          <w:color w:val="808080" w:themeColor="background1" w:themeShade="80"/>
          <w:sz w:val="22"/>
          <w:szCs w:val="22"/>
          <w:vertAlign w:val="superscript"/>
          <w:lang w:val="en-GB"/>
        </w:rPr>
        <w:t>r</w:t>
      </w:r>
      <w:r w:rsidR="00ED6D25">
        <w:rPr>
          <w:rFonts w:ascii="Arial" w:hAnsi="Arial" w:cs="Arial"/>
          <w:color w:val="808080" w:themeColor="background1" w:themeShade="80"/>
          <w:sz w:val="22"/>
          <w:szCs w:val="22"/>
          <w:lang w:val="en-GB"/>
        </w:rPr>
        <w:t>-Cr</w:t>
      </w:r>
      <w:r w:rsidR="00ED6D25">
        <w:rPr>
          <w:rFonts w:ascii="Arial" w:hAnsi="Arial" w:cs="Arial"/>
          <w:color w:val="808080" w:themeColor="background1" w:themeShade="80"/>
          <w:sz w:val="22"/>
          <w:szCs w:val="22"/>
          <w:vertAlign w:val="superscript"/>
          <w:lang w:val="en-GB"/>
        </w:rPr>
        <w:t>r</w:t>
      </w:r>
      <w:r w:rsidR="00ED6D25">
        <w:rPr>
          <w:rFonts w:ascii="Arial" w:hAnsi="Arial" w:cs="Arial"/>
          <w:color w:val="808080" w:themeColor="background1" w:themeShade="80"/>
          <w:sz w:val="22"/>
          <w:szCs w:val="22"/>
          <w:lang w:val="en-GB"/>
        </w:rPr>
        <w:t xml:space="preserve">) who </w:t>
      </w:r>
      <w:r w:rsidR="00ED6D25">
        <w:rPr>
          <w:rFonts w:ascii="Arial" w:hAnsi="Arial" w:cs="Arial"/>
          <w:color w:val="808080" w:themeColor="background1" w:themeShade="80"/>
          <w:sz w:val="22"/>
          <w:szCs w:val="22"/>
          <w:lang w:val="en-GB"/>
        </w:rPr>
        <w:lastRenderedPageBreak/>
        <w:t>is thus a secured creditor. However, the amount is contractually due only in 2024 , and is thus not a debt due as on the date of commencement of bankruptcy. As such, Sh</w:t>
      </w:r>
      <w:r w:rsidR="00ED6D25">
        <w:rPr>
          <w:rFonts w:ascii="Arial" w:hAnsi="Arial" w:cs="Arial"/>
          <w:color w:val="808080" w:themeColor="background1" w:themeShade="80"/>
          <w:sz w:val="22"/>
          <w:szCs w:val="22"/>
          <w:vertAlign w:val="superscript"/>
          <w:lang w:val="en-GB"/>
        </w:rPr>
        <w:t>r</w:t>
      </w:r>
      <w:r w:rsidR="00ED6D25">
        <w:rPr>
          <w:rFonts w:ascii="Arial" w:hAnsi="Arial" w:cs="Arial"/>
          <w:color w:val="808080" w:themeColor="background1" w:themeShade="80"/>
          <w:sz w:val="22"/>
          <w:szCs w:val="22"/>
          <w:lang w:val="en-GB"/>
        </w:rPr>
        <w:t>-Cr</w:t>
      </w:r>
      <w:r w:rsidR="00ED6D25">
        <w:rPr>
          <w:rFonts w:ascii="Arial" w:hAnsi="Arial" w:cs="Arial"/>
          <w:color w:val="808080" w:themeColor="background1" w:themeShade="80"/>
          <w:sz w:val="22"/>
          <w:szCs w:val="22"/>
          <w:vertAlign w:val="superscript"/>
          <w:lang w:val="en-GB"/>
        </w:rPr>
        <w:t>r</w:t>
      </w:r>
      <w:r w:rsidR="00ED6D25">
        <w:rPr>
          <w:rFonts w:ascii="Arial" w:hAnsi="Arial" w:cs="Arial"/>
          <w:color w:val="808080" w:themeColor="background1" w:themeShade="80"/>
          <w:sz w:val="22"/>
          <w:szCs w:val="22"/>
          <w:lang w:val="en-GB"/>
        </w:rPr>
        <w:t xml:space="preserve"> cannot foreclose on that security. </w:t>
      </w:r>
    </w:p>
    <w:p w14:paraId="39BD95A5" w14:textId="77777777" w:rsidR="006A755E" w:rsidRDefault="006A755E" w:rsidP="00640623">
      <w:pPr>
        <w:rPr>
          <w:rFonts w:ascii="Arial" w:hAnsi="Arial" w:cs="Arial"/>
          <w:color w:val="808080" w:themeColor="background1" w:themeShade="80"/>
          <w:sz w:val="22"/>
          <w:szCs w:val="22"/>
          <w:lang w:val="en-GB"/>
        </w:rPr>
      </w:pPr>
    </w:p>
    <w:p w14:paraId="5AC4DB78" w14:textId="362B648F" w:rsidR="00ED6D25" w:rsidRDefault="00ED6D25"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U/Art 126 , the Court will appoint a Trustee  . In terms of Art 84, </w:t>
      </w:r>
      <w:r w:rsidRPr="00ED6D25">
        <w:rPr>
          <w:rFonts w:ascii="Arial" w:hAnsi="Arial" w:cs="Arial"/>
          <w:b/>
          <w:color w:val="808080" w:themeColor="background1" w:themeShade="80"/>
          <w:sz w:val="22"/>
          <w:szCs w:val="22"/>
          <w:lang w:val="en-GB"/>
        </w:rPr>
        <w:t>the following cannot be Trustees</w:t>
      </w:r>
      <w:r>
        <w:rPr>
          <w:rFonts w:ascii="Arial" w:hAnsi="Arial" w:cs="Arial"/>
          <w:color w:val="808080" w:themeColor="background1" w:themeShade="80"/>
          <w:sz w:val="22"/>
          <w:szCs w:val="22"/>
          <w:lang w:val="en-GB"/>
        </w:rPr>
        <w:t xml:space="preserve"> :</w:t>
      </w:r>
    </w:p>
    <w:p w14:paraId="5D75D90C" w14:textId="77777777" w:rsidR="00ED6D25" w:rsidRDefault="00ED6D25"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Creditors of VGK LLC</w:t>
      </w:r>
    </w:p>
    <w:p w14:paraId="2EB0A8FD" w14:textId="77777777" w:rsidR="00ED6D25" w:rsidRDefault="00ED6D25"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Related parties  of VGK LLC</w:t>
      </w:r>
    </w:p>
    <w:p w14:paraId="2353DFA9" w14:textId="77777777" w:rsidR="00ED6D25" w:rsidRDefault="00ED6D25"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Convicts of certain offences</w:t>
      </w:r>
    </w:p>
    <w:p w14:paraId="4226A375" w14:textId="77777777" w:rsidR="00ED6D25" w:rsidRDefault="00ED6D25"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Persons who in 2 years preceding have </w:t>
      </w:r>
    </w:p>
    <w:p w14:paraId="41780479" w14:textId="4AB5FA1B" w:rsidR="00ED6D25" w:rsidRDefault="00ED6D25"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r w:rsidR="007D612C">
        <w:rPr>
          <w:rFonts w:ascii="Arial" w:hAnsi="Arial" w:cs="Arial"/>
          <w:color w:val="808080" w:themeColor="background1" w:themeShade="80"/>
          <w:sz w:val="22"/>
          <w:szCs w:val="22"/>
          <w:lang w:val="en-GB"/>
        </w:rPr>
        <w:t>b</w:t>
      </w:r>
      <w:r>
        <w:rPr>
          <w:rFonts w:ascii="Arial" w:hAnsi="Arial" w:cs="Arial"/>
          <w:color w:val="808080" w:themeColor="background1" w:themeShade="80"/>
          <w:sz w:val="22"/>
          <w:szCs w:val="22"/>
          <w:lang w:val="en-GB"/>
        </w:rPr>
        <w:t>een commercially associated with VGK LLC</w:t>
      </w:r>
    </w:p>
    <w:p w14:paraId="4248C9C8" w14:textId="77777777" w:rsidR="007D612C" w:rsidRDefault="007D612C" w:rsidP="00640623">
      <w:pPr>
        <w:rPr>
          <w:rFonts w:ascii="Arial" w:hAnsi="Arial" w:cs="Arial"/>
          <w:color w:val="808080" w:themeColor="background1" w:themeShade="80"/>
          <w:sz w:val="22"/>
          <w:szCs w:val="22"/>
          <w:lang w:val="en-GB"/>
        </w:rPr>
      </w:pPr>
    </w:p>
    <w:p w14:paraId="3922B0A9" w14:textId="77777777" w:rsidR="006A755E" w:rsidRDefault="007D612C"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Trustee , u/Art 128 issues an advertisement as public notice of the Court decision on liquidation of VGK LLC. Also, u/Art 129, Trustee invites final claims being claims not previously submitted by the  VGK LLC creditors. </w:t>
      </w:r>
      <w:r w:rsidR="00CF28FE">
        <w:rPr>
          <w:rFonts w:ascii="Arial" w:hAnsi="Arial" w:cs="Arial"/>
          <w:color w:val="808080" w:themeColor="background1" w:themeShade="80"/>
          <w:sz w:val="22"/>
          <w:szCs w:val="22"/>
          <w:lang w:val="en-GB"/>
        </w:rPr>
        <w:t>U/ART 130, the Trustee will also undertake a final audit of all claims received .</w:t>
      </w:r>
      <w:r>
        <w:rPr>
          <w:rFonts w:ascii="Arial" w:hAnsi="Arial" w:cs="Arial"/>
          <w:color w:val="808080" w:themeColor="background1" w:themeShade="80"/>
          <w:sz w:val="22"/>
          <w:szCs w:val="22"/>
          <w:lang w:val="en-GB"/>
        </w:rPr>
        <w:t>Art 131 envisages that , on Trustee’s request , Court can allow VGK LLC to continue the business for some time if that will facilitate selling the business.Conjointly with this. u/Art 161 , the Trustee can direct VGK LLC to perform outstanding contracts if necessary to preserve the interests of businesses run by the company.</w:t>
      </w:r>
    </w:p>
    <w:p w14:paraId="69A365EB" w14:textId="77777777" w:rsidR="006A755E" w:rsidRDefault="006A755E" w:rsidP="00640623">
      <w:pPr>
        <w:rPr>
          <w:rFonts w:ascii="Arial" w:hAnsi="Arial" w:cs="Arial"/>
          <w:color w:val="808080" w:themeColor="background1" w:themeShade="80"/>
          <w:sz w:val="22"/>
          <w:szCs w:val="22"/>
          <w:lang w:val="en-GB"/>
        </w:rPr>
      </w:pPr>
    </w:p>
    <w:p w14:paraId="7D71CDAD" w14:textId="0CD82FB1" w:rsidR="007D612C" w:rsidRDefault="007D612C"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U/Art 134, any proposals received by VGK LLC for all or some of VGK LLC’s businesses as going concern will be forwarded to the Court through the Trustee. </w:t>
      </w:r>
      <w:r w:rsidR="00CF28FE">
        <w:rPr>
          <w:rFonts w:ascii="Arial" w:hAnsi="Arial" w:cs="Arial"/>
          <w:color w:val="808080" w:themeColor="background1" w:themeShade="80"/>
          <w:sz w:val="22"/>
          <w:szCs w:val="22"/>
          <w:lang w:val="en-GB"/>
        </w:rPr>
        <w:t>If such going concern sale does not materialise, the Trustee is left with only the option of sale of assets individually.The Trustee can secure Court approval u/Art 132 for sale of identified assets of VGK LLC. The Court can order for sale by auction and also , by means other than auction. Sale proceeds will be used to pay claims received. In this connection, it may be noted that Sh</w:t>
      </w:r>
      <w:r w:rsidR="00CF28FE">
        <w:rPr>
          <w:rFonts w:ascii="Arial" w:hAnsi="Arial" w:cs="Arial"/>
          <w:color w:val="808080" w:themeColor="background1" w:themeShade="80"/>
          <w:sz w:val="22"/>
          <w:szCs w:val="22"/>
          <w:vertAlign w:val="superscript"/>
          <w:lang w:val="en-GB"/>
        </w:rPr>
        <w:t>r</w:t>
      </w:r>
      <w:r w:rsidR="00CF28FE">
        <w:rPr>
          <w:rFonts w:ascii="Arial" w:hAnsi="Arial" w:cs="Arial"/>
          <w:color w:val="808080" w:themeColor="background1" w:themeShade="80"/>
          <w:sz w:val="22"/>
          <w:szCs w:val="22"/>
          <w:lang w:val="en-GB"/>
        </w:rPr>
        <w:t>-Cr</w:t>
      </w:r>
      <w:r w:rsidR="00CF28FE">
        <w:rPr>
          <w:rFonts w:ascii="Arial" w:hAnsi="Arial" w:cs="Arial"/>
          <w:color w:val="808080" w:themeColor="background1" w:themeShade="80"/>
          <w:sz w:val="22"/>
          <w:szCs w:val="22"/>
          <w:vertAlign w:val="superscript"/>
          <w:lang w:val="en-GB"/>
        </w:rPr>
        <w:t xml:space="preserve">r </w:t>
      </w:r>
      <w:r w:rsidR="00CF28FE">
        <w:rPr>
          <w:rFonts w:ascii="Arial" w:hAnsi="Arial" w:cs="Arial"/>
          <w:color w:val="808080" w:themeColor="background1" w:themeShade="80"/>
          <w:sz w:val="22"/>
          <w:szCs w:val="22"/>
          <w:lang w:val="en-GB"/>
        </w:rPr>
        <w:t xml:space="preserve"> has a</w:t>
      </w:r>
      <w:r w:rsidR="006A755E">
        <w:rPr>
          <w:rFonts w:ascii="Arial" w:hAnsi="Arial" w:cs="Arial"/>
          <w:color w:val="808080" w:themeColor="background1" w:themeShade="80"/>
          <w:sz w:val="22"/>
          <w:szCs w:val="22"/>
          <w:lang w:val="en-GB"/>
        </w:rPr>
        <w:t>n</w:t>
      </w:r>
      <w:r w:rsidR="00CF28FE">
        <w:rPr>
          <w:rFonts w:ascii="Arial" w:hAnsi="Arial" w:cs="Arial"/>
          <w:color w:val="808080" w:themeColor="background1" w:themeShade="80"/>
          <w:sz w:val="22"/>
          <w:szCs w:val="22"/>
          <w:lang w:val="en-GB"/>
        </w:rPr>
        <w:t xml:space="preserve"> </w:t>
      </w:r>
      <w:r w:rsidR="006A755E">
        <w:rPr>
          <w:rFonts w:ascii="Arial" w:hAnsi="Arial" w:cs="Arial"/>
          <w:color w:val="808080" w:themeColor="background1" w:themeShade="80"/>
          <w:sz w:val="22"/>
          <w:szCs w:val="22"/>
          <w:lang w:val="en-GB"/>
        </w:rPr>
        <w:t>a</w:t>
      </w:r>
      <w:r w:rsidR="00CF28FE">
        <w:rPr>
          <w:rFonts w:ascii="Arial" w:hAnsi="Arial" w:cs="Arial"/>
          <w:color w:val="808080" w:themeColor="background1" w:themeShade="80"/>
          <w:sz w:val="22"/>
          <w:szCs w:val="22"/>
          <w:lang w:val="en-GB"/>
        </w:rPr>
        <w:t>mount due only in 2024. This is a deferred debt, and u/Art 135, the Court may deduct from the amount due, legal interest for the period from commencement of bankruptcy to the due date.</w:t>
      </w:r>
    </w:p>
    <w:p w14:paraId="0D701324" w14:textId="77777777" w:rsidR="00CF28FE" w:rsidRDefault="00CF28FE" w:rsidP="00640623">
      <w:pPr>
        <w:rPr>
          <w:rFonts w:ascii="Arial" w:hAnsi="Arial" w:cs="Arial"/>
          <w:color w:val="808080" w:themeColor="background1" w:themeShade="80"/>
          <w:sz w:val="22"/>
          <w:szCs w:val="22"/>
          <w:lang w:val="en-GB"/>
        </w:rPr>
      </w:pPr>
    </w:p>
    <w:p w14:paraId="1AD1962A" w14:textId="33470885" w:rsidR="00CF28FE" w:rsidRDefault="00CF28FE"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Distribution of proceeds is as per priority laid out in Art 137/Sec 6 of Chapter 5 (incl Art 189). The order of priority would be :</w:t>
      </w:r>
    </w:p>
    <w:p w14:paraId="471E9615" w14:textId="4D838292" w:rsidR="00CF28FE" w:rsidRDefault="00CF28FE" w:rsidP="00CF28FE">
      <w:pPr>
        <w:pStyle w:val="ListParagraph"/>
        <w:numPr>
          <w:ilvl w:val="0"/>
          <w:numId w:val="39"/>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Court fees/costs/expenses, Trustee expenses etc</w:t>
      </w:r>
    </w:p>
    <w:p w14:paraId="5B32F8E6" w14:textId="523FA923" w:rsidR="00CF28FE" w:rsidRDefault="00CF28FE" w:rsidP="00CF28FE">
      <w:pPr>
        <w:pStyle w:val="ListParagraph"/>
        <w:numPr>
          <w:ilvl w:val="0"/>
          <w:numId w:val="39"/>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Employee dues including gratuity/wages and salaries,.</w:t>
      </w:r>
    </w:p>
    <w:p w14:paraId="727D76B3" w14:textId="15975DE6" w:rsidR="00CF28FE" w:rsidRDefault="00CF28FE" w:rsidP="00CF28FE">
      <w:pPr>
        <w:pStyle w:val="ListParagraph"/>
        <w:numPr>
          <w:ilvl w:val="0"/>
          <w:numId w:val="39"/>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Govt dues</w:t>
      </w:r>
    </w:p>
    <w:p w14:paraId="4C0276E0" w14:textId="46545973" w:rsidR="00CF28FE" w:rsidRDefault="00CF28FE" w:rsidP="00CF28FE">
      <w:pPr>
        <w:pStyle w:val="ListParagraph"/>
        <w:numPr>
          <w:ilvl w:val="0"/>
          <w:numId w:val="39"/>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Post-commencement expenses incurred for goods supplied or services rendered.</w:t>
      </w:r>
    </w:p>
    <w:p w14:paraId="2B17ACFE" w14:textId="4DA8EF03" w:rsidR="00CF28FE" w:rsidRDefault="00CF28FE" w:rsidP="00CF28FE">
      <w:pPr>
        <w:pStyle w:val="ListParagraph"/>
        <w:numPr>
          <w:ilvl w:val="0"/>
          <w:numId w:val="39"/>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Secured Creditor Dues</w:t>
      </w:r>
    </w:p>
    <w:p w14:paraId="53A720FA" w14:textId="2FE2458E" w:rsidR="00CF28FE" w:rsidRDefault="00CF28FE" w:rsidP="00CF28FE">
      <w:pPr>
        <w:pStyle w:val="ListParagraph"/>
        <w:numPr>
          <w:ilvl w:val="0"/>
          <w:numId w:val="39"/>
        </w:num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Unsecured Creditor dues.</w:t>
      </w:r>
    </w:p>
    <w:p w14:paraId="16931D86" w14:textId="77777777" w:rsidR="00CF28FE" w:rsidRDefault="00CF28FE" w:rsidP="00CF28FE">
      <w:pPr>
        <w:rPr>
          <w:rFonts w:ascii="Arial" w:hAnsi="Arial" w:cs="Arial"/>
          <w:color w:val="808080" w:themeColor="background1" w:themeShade="80"/>
          <w:sz w:val="22"/>
          <w:szCs w:val="22"/>
          <w:lang w:val="en-GB"/>
        </w:rPr>
      </w:pPr>
    </w:p>
    <w:p w14:paraId="08161517" w14:textId="4CA2057A" w:rsidR="00DB339B" w:rsidRPr="00CF28FE" w:rsidRDefault="00DB339B" w:rsidP="00CF28FE">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Upon completion of distribution, u/Art 138, Court will order for closure, which decision will also be published and notified.</w:t>
      </w:r>
    </w:p>
    <w:p w14:paraId="0A205657" w14:textId="77777777" w:rsidR="00ED6D25" w:rsidRDefault="00ED6D25" w:rsidP="00640623">
      <w:pPr>
        <w:rPr>
          <w:rFonts w:ascii="Arial" w:hAnsi="Arial" w:cs="Arial"/>
          <w:color w:val="808080" w:themeColor="background1" w:themeShade="80"/>
          <w:sz w:val="22"/>
          <w:szCs w:val="22"/>
          <w:lang w:val="en-GB"/>
        </w:rPr>
      </w:pPr>
    </w:p>
    <w:p w14:paraId="018D5BEE" w14:textId="4B8736AB" w:rsidR="009D3106" w:rsidRPr="00CA448F" w:rsidRDefault="00ED6D25" w:rsidP="00640623">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        </w:t>
      </w:r>
      <w:r w:rsidR="002F7211">
        <w:rPr>
          <w:rFonts w:ascii="Arial" w:hAnsi="Arial" w:cs="Arial"/>
          <w:color w:val="808080" w:themeColor="background1" w:themeShade="80"/>
          <w:sz w:val="22"/>
          <w:szCs w:val="22"/>
          <w:lang w:val="en-GB"/>
        </w:rPr>
        <w:tab/>
      </w:r>
      <w:r w:rsidR="002F7211">
        <w:rPr>
          <w:rFonts w:ascii="Arial" w:hAnsi="Arial" w:cs="Arial"/>
          <w:color w:val="808080" w:themeColor="background1" w:themeShade="80"/>
          <w:sz w:val="22"/>
          <w:szCs w:val="22"/>
          <w:lang w:val="en-GB"/>
        </w:rPr>
        <w:tab/>
      </w:r>
      <w:r w:rsidR="002F7211">
        <w:rPr>
          <w:rFonts w:ascii="Arial" w:hAnsi="Arial" w:cs="Arial"/>
          <w:color w:val="808080" w:themeColor="background1" w:themeShade="80"/>
          <w:sz w:val="22"/>
          <w:szCs w:val="22"/>
          <w:lang w:val="en-GB"/>
        </w:rPr>
        <w:tab/>
      </w:r>
      <w:r w:rsidR="002F7211">
        <w:rPr>
          <w:rFonts w:ascii="Arial" w:hAnsi="Arial" w:cs="Arial"/>
          <w:color w:val="808080" w:themeColor="background1" w:themeShade="80"/>
          <w:sz w:val="22"/>
          <w:szCs w:val="22"/>
          <w:lang w:val="en-GB"/>
        </w:rPr>
        <w:tab/>
      </w:r>
      <w:r w:rsidR="002F7211">
        <w:rPr>
          <w:rFonts w:ascii="Arial" w:hAnsi="Arial" w:cs="Arial"/>
          <w:color w:val="808080" w:themeColor="background1" w:themeShade="80"/>
          <w:sz w:val="22"/>
          <w:szCs w:val="22"/>
          <w:lang w:val="en-GB"/>
        </w:rPr>
        <w:tab/>
      </w:r>
      <w:r w:rsidR="00224E71">
        <w:rPr>
          <w:rFonts w:ascii="Arial" w:hAnsi="Arial" w:cs="Arial"/>
          <w:color w:val="808080" w:themeColor="background1" w:themeShade="80"/>
          <w:sz w:val="22"/>
          <w:szCs w:val="22"/>
          <w:lang w:val="en-GB"/>
        </w:rPr>
        <w:t>]</w:t>
      </w:r>
    </w:p>
    <w:p w14:paraId="4DBB2753" w14:textId="1FE0791D" w:rsidR="009D3106" w:rsidRPr="00CA448F" w:rsidRDefault="009D3106" w:rsidP="00640623">
      <w:pPr>
        <w:rPr>
          <w:rFonts w:ascii="Arial" w:hAnsi="Arial" w:cs="Arial"/>
          <w:color w:val="808080" w:themeColor="background1" w:themeShade="80"/>
          <w:sz w:val="22"/>
          <w:szCs w:val="22"/>
          <w:lang w:val="en-GB"/>
        </w:rPr>
      </w:pPr>
    </w:p>
    <w:p w14:paraId="5F170A59" w14:textId="77777777" w:rsidR="003C0156" w:rsidRPr="00CA448F" w:rsidRDefault="003C0156" w:rsidP="00640623">
      <w:pPr>
        <w:rPr>
          <w:rFonts w:ascii="Arial" w:hAnsi="Arial" w:cs="Arial"/>
          <w:sz w:val="22"/>
          <w:szCs w:val="22"/>
          <w:lang w:val="en-GB"/>
        </w:rPr>
      </w:pPr>
    </w:p>
    <w:p w14:paraId="5BE1299C" w14:textId="7B3C0E9C" w:rsidR="003C0156" w:rsidRPr="00CA448F" w:rsidRDefault="003C0156" w:rsidP="00640623">
      <w:pPr>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640623">
      <w:pPr>
        <w:rPr>
          <w:rFonts w:ascii="Arial" w:hAnsi="Arial" w:cs="Arial"/>
          <w:sz w:val="22"/>
          <w:szCs w:val="22"/>
          <w:lang w:val="en-GB"/>
        </w:rPr>
      </w:pPr>
    </w:p>
    <w:p w14:paraId="4DB41691" w14:textId="62D31E95"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VGK LLC incorporated and registered a fully-owned subsidiary company in the DIFC to operate a restaurant in the DIFC, The subsidiary is called VGK Limited and it is incorporated as a DIFC company. VGK Limited is also unable to pay its debts. What actions can VGK Limited’s creditors take if they wish to see VGK Limited liquidated in the DIFC? In particular, who can take such actions</w:t>
      </w:r>
      <w:r w:rsidR="001D0A61" w:rsidRPr="00CA448F">
        <w:rPr>
          <w:rFonts w:ascii="Arial" w:hAnsi="Arial" w:cs="Arial"/>
          <w:sz w:val="22"/>
          <w:szCs w:val="22"/>
          <w:lang w:val="en-GB"/>
        </w:rPr>
        <w:t xml:space="preserve"> and</w:t>
      </w:r>
      <w:r w:rsidRPr="00CA448F">
        <w:rPr>
          <w:rFonts w:ascii="Arial" w:hAnsi="Arial" w:cs="Arial"/>
          <w:sz w:val="22"/>
          <w:szCs w:val="22"/>
          <w:lang w:val="en-GB"/>
        </w:rPr>
        <w:t xml:space="preserve"> what steps would have to be taken? If the VGK was to be wound up, who would be responsible for it and what process would be adopted for addressing creditor claims in the winding up?</w:t>
      </w:r>
    </w:p>
    <w:p w14:paraId="547A8353" w14:textId="7B0CE2A3" w:rsidR="00640623" w:rsidRPr="00CA448F" w:rsidRDefault="00640623" w:rsidP="00640623">
      <w:pPr>
        <w:rPr>
          <w:rFonts w:ascii="Arial" w:hAnsi="Arial" w:cs="Arial"/>
          <w:sz w:val="22"/>
          <w:szCs w:val="22"/>
          <w:lang w:val="en-GB"/>
        </w:rPr>
      </w:pPr>
    </w:p>
    <w:p w14:paraId="0D32924E" w14:textId="77777777" w:rsidR="006A755E" w:rsidRDefault="00DA4D42" w:rsidP="00C714B0">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t>
      </w:r>
      <w:r w:rsidR="00E8326B">
        <w:rPr>
          <w:rFonts w:ascii="Arial" w:hAnsi="Arial" w:cs="Arial"/>
          <w:color w:val="808080" w:themeColor="background1" w:themeShade="80"/>
          <w:sz w:val="22"/>
          <w:szCs w:val="22"/>
          <w:lang w:val="en-GB"/>
        </w:rPr>
        <w:t>VGK LTD’s Creditors ( individually Cr</w:t>
      </w:r>
      <w:r w:rsidR="00E8326B">
        <w:rPr>
          <w:rFonts w:ascii="Arial" w:hAnsi="Arial" w:cs="Arial"/>
          <w:color w:val="808080" w:themeColor="background1" w:themeShade="80"/>
          <w:sz w:val="22"/>
          <w:szCs w:val="22"/>
          <w:vertAlign w:val="superscript"/>
          <w:lang w:val="en-GB"/>
        </w:rPr>
        <w:t>r</w:t>
      </w:r>
      <w:r w:rsidR="00E8326B">
        <w:rPr>
          <w:rFonts w:ascii="Arial" w:hAnsi="Arial" w:cs="Arial"/>
          <w:color w:val="808080" w:themeColor="background1" w:themeShade="80"/>
          <w:sz w:val="22"/>
          <w:szCs w:val="22"/>
          <w:lang w:val="en-GB"/>
        </w:rPr>
        <w:t>_VGKL)   can individually as well as collectively take certain actions given the default of VGK Ltd.  Cr</w:t>
      </w:r>
      <w:r w:rsidR="00E8326B">
        <w:rPr>
          <w:rFonts w:ascii="Arial" w:hAnsi="Arial" w:cs="Arial"/>
          <w:color w:val="808080" w:themeColor="background1" w:themeShade="80"/>
          <w:sz w:val="22"/>
          <w:szCs w:val="22"/>
          <w:vertAlign w:val="superscript"/>
          <w:lang w:val="en-GB"/>
        </w:rPr>
        <w:t>r</w:t>
      </w:r>
      <w:r w:rsidR="00E8326B">
        <w:rPr>
          <w:rFonts w:ascii="Arial" w:hAnsi="Arial" w:cs="Arial"/>
          <w:color w:val="808080" w:themeColor="background1" w:themeShade="80"/>
          <w:sz w:val="22"/>
          <w:szCs w:val="22"/>
          <w:lang w:val="en-GB"/>
        </w:rPr>
        <w:t>_VGKL must first issue demand  notice for amount due exceedin</w:t>
      </w:r>
      <w:r w:rsidR="006A755E">
        <w:rPr>
          <w:rFonts w:ascii="Arial" w:hAnsi="Arial" w:cs="Arial"/>
          <w:color w:val="808080" w:themeColor="background1" w:themeShade="80"/>
          <w:sz w:val="22"/>
          <w:szCs w:val="22"/>
          <w:lang w:val="en-GB"/>
        </w:rPr>
        <w:t xml:space="preserve">g USD 2000/- to VGK Ltd. After a </w:t>
      </w:r>
      <w:r w:rsidR="00E8326B">
        <w:rPr>
          <w:rFonts w:ascii="Arial" w:hAnsi="Arial" w:cs="Arial"/>
          <w:color w:val="808080" w:themeColor="background1" w:themeShade="80"/>
          <w:sz w:val="22"/>
          <w:szCs w:val="22"/>
          <w:lang w:val="en-GB"/>
        </w:rPr>
        <w:t>lapse of 3 weeks , if the amount remains unpaid, Cr</w:t>
      </w:r>
      <w:r w:rsidR="00E8326B">
        <w:rPr>
          <w:rFonts w:ascii="Arial" w:hAnsi="Arial" w:cs="Arial"/>
          <w:color w:val="808080" w:themeColor="background1" w:themeShade="80"/>
          <w:sz w:val="22"/>
          <w:szCs w:val="22"/>
          <w:vertAlign w:val="superscript"/>
          <w:lang w:val="en-GB"/>
        </w:rPr>
        <w:t>r</w:t>
      </w:r>
      <w:r w:rsidR="00E8326B">
        <w:rPr>
          <w:rFonts w:ascii="Arial" w:hAnsi="Arial" w:cs="Arial"/>
          <w:color w:val="808080" w:themeColor="background1" w:themeShade="80"/>
          <w:sz w:val="22"/>
          <w:szCs w:val="22"/>
          <w:lang w:val="en-GB"/>
        </w:rPr>
        <w:t>_VGKL can file an application in the DIFC Court seeking Compulsory Winding Up (W/U) u/Art 81 (c ) of DIFC Insolvency Law. Cr</w:t>
      </w:r>
      <w:r w:rsidR="00E8326B">
        <w:rPr>
          <w:rFonts w:ascii="Arial" w:hAnsi="Arial" w:cs="Arial"/>
          <w:color w:val="808080" w:themeColor="background1" w:themeShade="80"/>
          <w:sz w:val="22"/>
          <w:szCs w:val="22"/>
          <w:vertAlign w:val="superscript"/>
          <w:lang w:val="en-GB"/>
        </w:rPr>
        <w:t>r</w:t>
      </w:r>
      <w:r w:rsidR="00E8326B">
        <w:rPr>
          <w:rFonts w:ascii="Arial" w:hAnsi="Arial" w:cs="Arial"/>
          <w:color w:val="808080" w:themeColor="background1" w:themeShade="80"/>
          <w:sz w:val="22"/>
          <w:szCs w:val="22"/>
          <w:lang w:val="en-GB"/>
        </w:rPr>
        <w:t xml:space="preserve">_VGKL can also nominate a qualified Insolvency Professional to act as Liquidator. </w:t>
      </w:r>
    </w:p>
    <w:p w14:paraId="348B9B77" w14:textId="77777777" w:rsidR="006A755E" w:rsidRDefault="006A755E" w:rsidP="00C714B0">
      <w:pPr>
        <w:rPr>
          <w:rFonts w:ascii="Arial" w:hAnsi="Arial" w:cs="Arial"/>
          <w:color w:val="808080" w:themeColor="background1" w:themeShade="80"/>
          <w:sz w:val="22"/>
          <w:szCs w:val="22"/>
          <w:lang w:val="en-GB"/>
        </w:rPr>
      </w:pPr>
    </w:p>
    <w:p w14:paraId="767B59BB" w14:textId="68237D52" w:rsidR="00C714B0" w:rsidRPr="00C714B0" w:rsidRDefault="00E8326B" w:rsidP="00C714B0">
      <w:pPr>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Court may appoint u/Art 90(1) ,this nominee of creditors  or another qualified professional  to act as Liquidator. </w:t>
      </w:r>
      <w:r w:rsidR="00C714B0">
        <w:rPr>
          <w:rFonts w:ascii="Arial" w:hAnsi="Arial" w:cs="Arial"/>
          <w:color w:val="808080" w:themeColor="background1" w:themeShade="80"/>
          <w:sz w:val="22"/>
          <w:szCs w:val="22"/>
          <w:lang w:val="en-GB"/>
        </w:rPr>
        <w:t xml:space="preserve">U/Art 94, the property of VGK Ltd now vests in the Liquidator. The Winding Up </w:t>
      </w:r>
      <w:r>
        <w:rPr>
          <w:rFonts w:ascii="Arial" w:hAnsi="Arial" w:cs="Arial"/>
          <w:color w:val="808080" w:themeColor="background1" w:themeShade="80"/>
          <w:sz w:val="22"/>
          <w:szCs w:val="22"/>
          <w:lang w:val="en-GB"/>
        </w:rPr>
        <w:t>is deemed to have commenced from the date of filing of application by Cr</w:t>
      </w:r>
      <w:r>
        <w:rPr>
          <w:rFonts w:ascii="Arial" w:hAnsi="Arial" w:cs="Arial"/>
          <w:color w:val="808080" w:themeColor="background1" w:themeShade="80"/>
          <w:sz w:val="22"/>
          <w:szCs w:val="22"/>
          <w:vertAlign w:val="superscript"/>
          <w:lang w:val="en-GB"/>
        </w:rPr>
        <w:t>r</w:t>
      </w:r>
      <w:r>
        <w:rPr>
          <w:rFonts w:ascii="Arial" w:hAnsi="Arial" w:cs="Arial"/>
          <w:color w:val="808080" w:themeColor="background1" w:themeShade="80"/>
          <w:sz w:val="22"/>
          <w:szCs w:val="22"/>
          <w:lang w:val="en-GB"/>
        </w:rPr>
        <w:t xml:space="preserve">_VGKL. </w:t>
      </w:r>
      <w:r w:rsidR="00C714B0">
        <w:rPr>
          <w:rFonts w:ascii="Arial" w:hAnsi="Arial" w:cs="Arial"/>
          <w:color w:val="808080" w:themeColor="background1" w:themeShade="80"/>
          <w:sz w:val="22"/>
          <w:szCs w:val="22"/>
          <w:lang w:val="en-GB"/>
        </w:rPr>
        <w:t xml:space="preserve">The functions of the Liquidator is  </w:t>
      </w:r>
      <w:r w:rsidR="00C714B0" w:rsidRPr="00C714B0">
        <w:rPr>
          <w:rFonts w:ascii="Arial" w:hAnsi="Arial" w:cs="Arial"/>
          <w:color w:val="808080" w:themeColor="background1" w:themeShade="80"/>
          <w:sz w:val="22"/>
          <w:szCs w:val="22"/>
          <w:lang w:val="en-GB"/>
        </w:rPr>
        <w:t>to ensure that the assets of the Company are got in or otherwise secured, realised and distributed to the Company's creditors and, if there is a surplus, to the persons entitled to it.</w:t>
      </w:r>
      <w:r w:rsidR="00C714B0" w:rsidRPr="00C714B0">
        <w:t xml:space="preserve"> </w:t>
      </w:r>
      <w:r w:rsidR="00C714B0" w:rsidRPr="00C714B0">
        <w:rPr>
          <w:rFonts w:ascii="Arial" w:hAnsi="Arial" w:cs="Arial"/>
          <w:color w:val="808080" w:themeColor="background1" w:themeShade="80"/>
          <w:sz w:val="22"/>
          <w:szCs w:val="22"/>
          <w:lang w:val="en-GB"/>
        </w:rPr>
        <w:t xml:space="preserve"> </w:t>
      </w:r>
      <w:r w:rsidR="00C714B0">
        <w:rPr>
          <w:rFonts w:ascii="Arial" w:hAnsi="Arial" w:cs="Arial"/>
          <w:color w:val="808080" w:themeColor="background1" w:themeShade="80"/>
          <w:sz w:val="22"/>
          <w:szCs w:val="22"/>
          <w:lang w:val="en-GB"/>
        </w:rPr>
        <w:t>Schedule 3 to DIFC Insolvency Law , inter alia , empowers the Liquidator with “</w:t>
      </w:r>
      <w:r w:rsidR="00C714B0" w:rsidRPr="00C714B0">
        <w:rPr>
          <w:rFonts w:ascii="Arial" w:hAnsi="Arial" w:cs="Arial"/>
          <w:color w:val="808080" w:themeColor="background1" w:themeShade="80"/>
          <w:sz w:val="22"/>
          <w:szCs w:val="22"/>
          <w:lang w:val="en-GB"/>
        </w:rPr>
        <w:t>Power to do all such other things as may be necessary for winding up the Company's affairs and distributing its assets</w:t>
      </w:r>
      <w:r w:rsidR="00C714B0">
        <w:rPr>
          <w:rFonts w:ascii="Arial" w:hAnsi="Arial" w:cs="Arial"/>
          <w:color w:val="808080" w:themeColor="background1" w:themeShade="80"/>
          <w:sz w:val="22"/>
          <w:szCs w:val="22"/>
          <w:lang w:val="en-GB"/>
        </w:rPr>
        <w:t>”</w:t>
      </w:r>
      <w:r w:rsidR="00C714B0" w:rsidRPr="00C714B0">
        <w:rPr>
          <w:rFonts w:ascii="Arial" w:hAnsi="Arial" w:cs="Arial"/>
          <w:color w:val="808080" w:themeColor="background1" w:themeShade="80"/>
          <w:sz w:val="22"/>
          <w:szCs w:val="22"/>
          <w:lang w:val="en-GB"/>
        </w:rPr>
        <w:t>.</w:t>
      </w:r>
      <w:r w:rsidR="00C714B0">
        <w:rPr>
          <w:rFonts w:ascii="Arial" w:hAnsi="Arial" w:cs="Arial"/>
          <w:color w:val="808080" w:themeColor="background1" w:themeShade="80"/>
          <w:sz w:val="22"/>
          <w:szCs w:val="22"/>
          <w:lang w:val="en-GB"/>
        </w:rPr>
        <w:t xml:space="preserve"> This broad power allows Liquidator , to, inter alia, invite claims , ask creditors to prove their clams, sell assets , and distribute proceeds </w:t>
      </w:r>
      <w:r w:rsidR="00C714B0" w:rsidRPr="00C714B0">
        <w:rPr>
          <w:rFonts w:ascii="Arial" w:hAnsi="Arial" w:cs="Arial"/>
          <w:color w:val="808080" w:themeColor="background1" w:themeShade="80"/>
          <w:sz w:val="22"/>
          <w:szCs w:val="22"/>
          <w:lang w:val="en-GB"/>
        </w:rPr>
        <w:t xml:space="preserve"> </w:t>
      </w:r>
      <w:r w:rsidR="00C714B0">
        <w:rPr>
          <w:rFonts w:ascii="Arial" w:hAnsi="Arial" w:cs="Arial"/>
          <w:color w:val="808080" w:themeColor="background1" w:themeShade="80"/>
          <w:sz w:val="22"/>
          <w:szCs w:val="22"/>
          <w:lang w:val="en-GB"/>
        </w:rPr>
        <w:t xml:space="preserve"> to secured and unsecured creditors.</w:t>
      </w:r>
      <w:r w:rsidR="00C714B0" w:rsidRPr="00C714B0">
        <w:rPr>
          <w:rFonts w:ascii="Arial" w:hAnsi="Arial" w:cs="Arial"/>
          <w:color w:val="808080" w:themeColor="background1" w:themeShade="80"/>
          <w:sz w:val="22"/>
          <w:szCs w:val="22"/>
          <w:lang w:val="en-GB"/>
        </w:rPr>
        <w:t>]</w:t>
      </w:r>
    </w:p>
    <w:p w14:paraId="4462B235" w14:textId="77777777" w:rsidR="009B0723" w:rsidRPr="00CA448F" w:rsidRDefault="009B0723" w:rsidP="00640623">
      <w:pPr>
        <w:autoSpaceDE w:val="0"/>
        <w:autoSpaceDN w:val="0"/>
        <w:adjustRightInd w:val="0"/>
        <w:rPr>
          <w:rFonts w:ascii="Arial" w:hAnsi="Arial" w:cs="Arial"/>
          <w:color w:val="808080" w:themeColor="background1" w:themeShade="80"/>
          <w:sz w:val="22"/>
          <w:szCs w:val="22"/>
          <w:lang w:val="en-GB"/>
        </w:rPr>
      </w:pPr>
    </w:p>
    <w:bookmarkEnd w:id="0"/>
    <w:p w14:paraId="195B7C4A" w14:textId="23AEEE67" w:rsidR="0077498C" w:rsidRPr="00CA448F" w:rsidRDefault="0077498C" w:rsidP="00640623">
      <w:pPr>
        <w:autoSpaceDE w:val="0"/>
        <w:autoSpaceDN w:val="0"/>
        <w:adjustRightInd w:val="0"/>
        <w:rPr>
          <w:rFonts w:ascii="Arial" w:hAnsi="Arial" w:cs="Arial"/>
          <w:sz w:val="22"/>
          <w:szCs w:val="22"/>
          <w:lang w:val="en-GB"/>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4CA45" w14:textId="77777777" w:rsidR="002E498E" w:rsidRDefault="002E498E" w:rsidP="00241B44">
      <w:r>
        <w:separator/>
      </w:r>
    </w:p>
  </w:endnote>
  <w:endnote w:type="continuationSeparator" w:id="0">
    <w:p w14:paraId="60649570" w14:textId="77777777" w:rsidR="002E498E" w:rsidRDefault="002E498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D6D25" w:rsidRPr="00FC7B47" w:rsidRDefault="00ED6D2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D6D25" w:rsidRPr="00FC7B47" w:rsidRDefault="00ED6D2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ED6D25" w:rsidRPr="009B4976" w:rsidRDefault="00ED6D25" w:rsidP="00154EF4">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D47F1F">
          <w:rPr>
            <w:rStyle w:val="PageNumber"/>
            <w:rFonts w:ascii="Arial" w:hAnsi="Arial" w:cs="Arial"/>
            <w:b/>
            <w:bCs/>
            <w:noProof/>
            <w:sz w:val="18"/>
            <w:szCs w:val="18"/>
          </w:rPr>
          <w:t>13</w:t>
        </w:r>
        <w:r w:rsidRPr="0010593A">
          <w:rPr>
            <w:rStyle w:val="PageNumber"/>
            <w:rFonts w:ascii="Arial" w:hAnsi="Arial" w:cs="Arial"/>
            <w:b/>
            <w:bCs/>
            <w:sz w:val="18"/>
            <w:szCs w:val="18"/>
          </w:rPr>
          <w:fldChar w:fldCharType="end"/>
        </w:r>
      </w:p>
    </w:sdtContent>
  </w:sdt>
  <w:p w14:paraId="1F59BECD" w14:textId="0FB0F30E" w:rsidR="00ED6D25" w:rsidRDefault="007D1A37" w:rsidP="009B4976">
    <w:pPr>
      <w:pStyle w:val="Footer"/>
      <w:ind w:right="360"/>
      <w:rPr>
        <w:rFonts w:ascii="Arial" w:hAnsi="Arial" w:cs="Arial"/>
        <w:sz w:val="18"/>
        <w:szCs w:val="18"/>
        <w:lang w:val="en-GB"/>
      </w:rPr>
    </w:pPr>
    <w:r>
      <w:rPr>
        <w:rFonts w:ascii="Arial" w:hAnsi="Arial" w:cs="Arial"/>
        <w:sz w:val="18"/>
        <w:szCs w:val="18"/>
        <w:lang w:val="en-GB"/>
      </w:rPr>
      <w:t>202021IFU</w:t>
    </w:r>
    <w:r w:rsidR="005F7013">
      <w:rPr>
        <w:rFonts w:ascii="Arial" w:hAnsi="Arial" w:cs="Arial"/>
        <w:sz w:val="18"/>
        <w:szCs w:val="18"/>
        <w:lang w:val="en-GB"/>
      </w:rPr>
      <w:t>-</w:t>
    </w:r>
    <w:r>
      <w:rPr>
        <w:rFonts w:ascii="Arial" w:hAnsi="Arial" w:cs="Arial"/>
        <w:sz w:val="18"/>
        <w:szCs w:val="18"/>
        <w:lang w:val="en-GB"/>
      </w:rPr>
      <w:t>301</w:t>
    </w:r>
    <w:r w:rsidR="00ED6D25" w:rsidRPr="009B4976">
      <w:rPr>
        <w:rFonts w:ascii="Arial" w:hAnsi="Arial" w:cs="Arial"/>
        <w:sz w:val="18"/>
        <w:szCs w:val="18"/>
        <w:lang w:val="en-GB"/>
      </w:rPr>
      <w:t>.assessment</w:t>
    </w:r>
    <w:r w:rsidR="00ED6D25">
      <w:rPr>
        <w:rFonts w:ascii="Arial" w:hAnsi="Arial" w:cs="Arial"/>
        <w:sz w:val="18"/>
        <w:szCs w:val="18"/>
        <w:lang w:val="en-GB"/>
      </w:rPr>
      <w:t>7E.docx</w:t>
    </w:r>
  </w:p>
  <w:p w14:paraId="5655B0BE" w14:textId="77777777" w:rsidR="007D1A37" w:rsidRPr="009B4976" w:rsidRDefault="007D1A37" w:rsidP="009B4976">
    <w:pPr>
      <w:pStyle w:val="Footer"/>
      <w:ind w:right="360"/>
      <w:rPr>
        <w:rFonts w:ascii="Arial" w:hAnsi="Arial" w:cs="Arial"/>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C377" w14:textId="77777777" w:rsidR="002E498E" w:rsidRDefault="002E498E" w:rsidP="00241B44">
      <w:r>
        <w:separator/>
      </w:r>
    </w:p>
  </w:footnote>
  <w:footnote w:type="continuationSeparator" w:id="0">
    <w:p w14:paraId="1E12850A" w14:textId="77777777" w:rsidR="002E498E" w:rsidRDefault="002E498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76A4A1D"/>
    <w:multiLevelType w:val="hybridMultilevel"/>
    <w:tmpl w:val="B1C6908E"/>
    <w:lvl w:ilvl="0" w:tplc="18A26AD6">
      <w:start w:val="2"/>
      <w:numFmt w:val="lowerLetter"/>
      <w:lvlText w:val="(%1)"/>
      <w:lvlJc w:val="left"/>
      <w:pPr>
        <w:ind w:left="720" w:hanging="360"/>
      </w:pPr>
      <w:rPr>
        <w:rFonts w:hint="default"/>
        <w:b/>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1" w15:restartNumberingAfterBreak="0">
    <w:nsid w:val="440C439F"/>
    <w:multiLevelType w:val="hybridMultilevel"/>
    <w:tmpl w:val="CAE41072"/>
    <w:lvl w:ilvl="0" w:tplc="37807AA0">
      <w:start w:val="1"/>
      <w:numFmt w:val="lowerRoman"/>
      <w:lvlText w:val="(%1)"/>
      <w:lvlJc w:val="left"/>
      <w:pPr>
        <w:ind w:left="960" w:hanging="720"/>
      </w:pPr>
      <w:rPr>
        <w:rFonts w:hint="default"/>
      </w:rPr>
    </w:lvl>
    <w:lvl w:ilvl="1" w:tplc="40090019" w:tentative="1">
      <w:start w:val="1"/>
      <w:numFmt w:val="lowerLetter"/>
      <w:lvlText w:val="%2."/>
      <w:lvlJc w:val="left"/>
      <w:pPr>
        <w:ind w:left="1320" w:hanging="360"/>
      </w:pPr>
    </w:lvl>
    <w:lvl w:ilvl="2" w:tplc="4009001B" w:tentative="1">
      <w:start w:val="1"/>
      <w:numFmt w:val="lowerRoman"/>
      <w:lvlText w:val="%3."/>
      <w:lvlJc w:val="right"/>
      <w:pPr>
        <w:ind w:left="2040" w:hanging="180"/>
      </w:pPr>
    </w:lvl>
    <w:lvl w:ilvl="3" w:tplc="4009000F" w:tentative="1">
      <w:start w:val="1"/>
      <w:numFmt w:val="decimal"/>
      <w:lvlText w:val="%4."/>
      <w:lvlJc w:val="left"/>
      <w:pPr>
        <w:ind w:left="2760" w:hanging="360"/>
      </w:pPr>
    </w:lvl>
    <w:lvl w:ilvl="4" w:tplc="40090019" w:tentative="1">
      <w:start w:val="1"/>
      <w:numFmt w:val="lowerLetter"/>
      <w:lvlText w:val="%5."/>
      <w:lvlJc w:val="left"/>
      <w:pPr>
        <w:ind w:left="3480" w:hanging="360"/>
      </w:pPr>
    </w:lvl>
    <w:lvl w:ilvl="5" w:tplc="4009001B" w:tentative="1">
      <w:start w:val="1"/>
      <w:numFmt w:val="lowerRoman"/>
      <w:lvlText w:val="%6."/>
      <w:lvlJc w:val="right"/>
      <w:pPr>
        <w:ind w:left="4200" w:hanging="180"/>
      </w:pPr>
    </w:lvl>
    <w:lvl w:ilvl="6" w:tplc="4009000F" w:tentative="1">
      <w:start w:val="1"/>
      <w:numFmt w:val="decimal"/>
      <w:lvlText w:val="%7."/>
      <w:lvlJc w:val="left"/>
      <w:pPr>
        <w:ind w:left="4920" w:hanging="360"/>
      </w:pPr>
    </w:lvl>
    <w:lvl w:ilvl="7" w:tplc="40090019" w:tentative="1">
      <w:start w:val="1"/>
      <w:numFmt w:val="lowerLetter"/>
      <w:lvlText w:val="%8."/>
      <w:lvlJc w:val="left"/>
      <w:pPr>
        <w:ind w:left="5640" w:hanging="360"/>
      </w:pPr>
    </w:lvl>
    <w:lvl w:ilvl="8" w:tplc="4009001B" w:tentative="1">
      <w:start w:val="1"/>
      <w:numFmt w:val="lowerRoman"/>
      <w:lvlText w:val="%9."/>
      <w:lvlJc w:val="right"/>
      <w:pPr>
        <w:ind w:left="6360" w:hanging="180"/>
      </w:pPr>
    </w:lvl>
  </w:abstractNum>
  <w:abstractNum w:abstractNumId="22"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8A05F9F"/>
    <w:multiLevelType w:val="hybridMultilevel"/>
    <w:tmpl w:val="E966B4E2"/>
    <w:lvl w:ilvl="0" w:tplc="424499FC">
      <w:start w:val="1"/>
      <w:numFmt w:val="decimal"/>
      <w:lvlText w:val="%1."/>
      <w:lvlJc w:val="left"/>
      <w:pPr>
        <w:ind w:left="850" w:hanging="360"/>
      </w:pPr>
      <w:rPr>
        <w:rFonts w:hint="default"/>
      </w:rPr>
    </w:lvl>
    <w:lvl w:ilvl="1" w:tplc="40090019" w:tentative="1">
      <w:start w:val="1"/>
      <w:numFmt w:val="lowerLetter"/>
      <w:lvlText w:val="%2."/>
      <w:lvlJc w:val="left"/>
      <w:pPr>
        <w:ind w:left="1570" w:hanging="360"/>
      </w:pPr>
    </w:lvl>
    <w:lvl w:ilvl="2" w:tplc="4009001B" w:tentative="1">
      <w:start w:val="1"/>
      <w:numFmt w:val="lowerRoman"/>
      <w:lvlText w:val="%3."/>
      <w:lvlJc w:val="right"/>
      <w:pPr>
        <w:ind w:left="2290" w:hanging="180"/>
      </w:pPr>
    </w:lvl>
    <w:lvl w:ilvl="3" w:tplc="4009000F" w:tentative="1">
      <w:start w:val="1"/>
      <w:numFmt w:val="decimal"/>
      <w:lvlText w:val="%4."/>
      <w:lvlJc w:val="left"/>
      <w:pPr>
        <w:ind w:left="3010" w:hanging="360"/>
      </w:pPr>
    </w:lvl>
    <w:lvl w:ilvl="4" w:tplc="40090019" w:tentative="1">
      <w:start w:val="1"/>
      <w:numFmt w:val="lowerLetter"/>
      <w:lvlText w:val="%5."/>
      <w:lvlJc w:val="left"/>
      <w:pPr>
        <w:ind w:left="3730" w:hanging="360"/>
      </w:pPr>
    </w:lvl>
    <w:lvl w:ilvl="5" w:tplc="4009001B" w:tentative="1">
      <w:start w:val="1"/>
      <w:numFmt w:val="lowerRoman"/>
      <w:lvlText w:val="%6."/>
      <w:lvlJc w:val="right"/>
      <w:pPr>
        <w:ind w:left="4450" w:hanging="180"/>
      </w:pPr>
    </w:lvl>
    <w:lvl w:ilvl="6" w:tplc="4009000F" w:tentative="1">
      <w:start w:val="1"/>
      <w:numFmt w:val="decimal"/>
      <w:lvlText w:val="%7."/>
      <w:lvlJc w:val="left"/>
      <w:pPr>
        <w:ind w:left="5170" w:hanging="360"/>
      </w:pPr>
    </w:lvl>
    <w:lvl w:ilvl="7" w:tplc="40090019" w:tentative="1">
      <w:start w:val="1"/>
      <w:numFmt w:val="lowerLetter"/>
      <w:lvlText w:val="%8."/>
      <w:lvlJc w:val="left"/>
      <w:pPr>
        <w:ind w:left="5890" w:hanging="360"/>
      </w:pPr>
    </w:lvl>
    <w:lvl w:ilvl="8" w:tplc="4009001B" w:tentative="1">
      <w:start w:val="1"/>
      <w:numFmt w:val="lowerRoman"/>
      <w:lvlText w:val="%9."/>
      <w:lvlJc w:val="right"/>
      <w:pPr>
        <w:ind w:left="6610" w:hanging="180"/>
      </w:pPr>
    </w:lvl>
  </w:abstractNum>
  <w:abstractNum w:abstractNumId="26"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9"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0"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5"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7"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9"/>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5"/>
  </w:num>
  <w:num w:numId="5">
    <w:abstractNumId w:val="37"/>
  </w:num>
  <w:num w:numId="6">
    <w:abstractNumId w:val="8"/>
  </w:num>
  <w:num w:numId="7">
    <w:abstractNumId w:val="36"/>
  </w:num>
  <w:num w:numId="8">
    <w:abstractNumId w:val="6"/>
  </w:num>
  <w:num w:numId="9">
    <w:abstractNumId w:val="7"/>
  </w:num>
  <w:num w:numId="10">
    <w:abstractNumId w:val="4"/>
  </w:num>
  <w:num w:numId="11">
    <w:abstractNumId w:val="18"/>
  </w:num>
  <w:num w:numId="12">
    <w:abstractNumId w:val="14"/>
  </w:num>
  <w:num w:numId="13">
    <w:abstractNumId w:val="28"/>
  </w:num>
  <w:num w:numId="14">
    <w:abstractNumId w:val="20"/>
  </w:num>
  <w:num w:numId="15">
    <w:abstractNumId w:val="33"/>
  </w:num>
  <w:num w:numId="16">
    <w:abstractNumId w:val="0"/>
  </w:num>
  <w:num w:numId="17">
    <w:abstractNumId w:val="10"/>
  </w:num>
  <w:num w:numId="18">
    <w:abstractNumId w:val="17"/>
  </w:num>
  <w:num w:numId="19">
    <w:abstractNumId w:val="23"/>
  </w:num>
  <w:num w:numId="20">
    <w:abstractNumId w:val="22"/>
  </w:num>
  <w:num w:numId="21">
    <w:abstractNumId w:val="5"/>
  </w:num>
  <w:num w:numId="22">
    <w:abstractNumId w:val="27"/>
  </w:num>
  <w:num w:numId="23">
    <w:abstractNumId w:val="3"/>
  </w:num>
  <w:num w:numId="24">
    <w:abstractNumId w:val="26"/>
  </w:num>
  <w:num w:numId="25">
    <w:abstractNumId w:val="13"/>
  </w:num>
  <w:num w:numId="26">
    <w:abstractNumId w:val="32"/>
  </w:num>
  <w:num w:numId="27">
    <w:abstractNumId w:val="11"/>
  </w:num>
  <w:num w:numId="28">
    <w:abstractNumId w:val="1"/>
  </w:num>
  <w:num w:numId="29">
    <w:abstractNumId w:val="9"/>
  </w:num>
  <w:num w:numId="30">
    <w:abstractNumId w:val="24"/>
  </w:num>
  <w:num w:numId="31">
    <w:abstractNumId w:val="19"/>
  </w:num>
  <w:num w:numId="32">
    <w:abstractNumId w:val="15"/>
  </w:num>
  <w:num w:numId="33">
    <w:abstractNumId w:val="2"/>
  </w:num>
  <w:num w:numId="34">
    <w:abstractNumId w:val="30"/>
  </w:num>
  <w:num w:numId="35">
    <w:abstractNumId w:val="31"/>
  </w:num>
  <w:num w:numId="36">
    <w:abstractNumId w:val="12"/>
  </w:num>
  <w:num w:numId="37">
    <w:abstractNumId w:val="16"/>
  </w:num>
  <w:num w:numId="38">
    <w:abstractNumId w:val="21"/>
  </w:num>
  <w:num w:numId="3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07C38"/>
    <w:rsid w:val="00010BA0"/>
    <w:rsid w:val="00020557"/>
    <w:rsid w:val="00021FC2"/>
    <w:rsid w:val="000250C7"/>
    <w:rsid w:val="000265C1"/>
    <w:rsid w:val="00026F16"/>
    <w:rsid w:val="00037621"/>
    <w:rsid w:val="00044D46"/>
    <w:rsid w:val="00045088"/>
    <w:rsid w:val="00045904"/>
    <w:rsid w:val="000502FD"/>
    <w:rsid w:val="00065166"/>
    <w:rsid w:val="00082609"/>
    <w:rsid w:val="000851CC"/>
    <w:rsid w:val="00085C85"/>
    <w:rsid w:val="00087F21"/>
    <w:rsid w:val="00093BE8"/>
    <w:rsid w:val="000A407B"/>
    <w:rsid w:val="000A68ED"/>
    <w:rsid w:val="000B5FF1"/>
    <w:rsid w:val="000B609F"/>
    <w:rsid w:val="000B6911"/>
    <w:rsid w:val="000C7A83"/>
    <w:rsid w:val="000D55A8"/>
    <w:rsid w:val="000E4841"/>
    <w:rsid w:val="000E4FA3"/>
    <w:rsid w:val="000F1677"/>
    <w:rsid w:val="000F3D6C"/>
    <w:rsid w:val="00101707"/>
    <w:rsid w:val="00102CC9"/>
    <w:rsid w:val="0010593A"/>
    <w:rsid w:val="0011008F"/>
    <w:rsid w:val="00111F83"/>
    <w:rsid w:val="0011473D"/>
    <w:rsid w:val="00115C85"/>
    <w:rsid w:val="00122F36"/>
    <w:rsid w:val="00123855"/>
    <w:rsid w:val="00126A4D"/>
    <w:rsid w:val="00136839"/>
    <w:rsid w:val="0014171F"/>
    <w:rsid w:val="0014622C"/>
    <w:rsid w:val="00152348"/>
    <w:rsid w:val="0015456D"/>
    <w:rsid w:val="00154EF4"/>
    <w:rsid w:val="00155FA2"/>
    <w:rsid w:val="00161F1B"/>
    <w:rsid w:val="00162829"/>
    <w:rsid w:val="00173A3F"/>
    <w:rsid w:val="00180548"/>
    <w:rsid w:val="00180AC4"/>
    <w:rsid w:val="00180CCE"/>
    <w:rsid w:val="0018267A"/>
    <w:rsid w:val="00182779"/>
    <w:rsid w:val="001830DF"/>
    <w:rsid w:val="00187780"/>
    <w:rsid w:val="001966D9"/>
    <w:rsid w:val="001A007A"/>
    <w:rsid w:val="001A1E2D"/>
    <w:rsid w:val="001A45DB"/>
    <w:rsid w:val="001A7E9A"/>
    <w:rsid w:val="001B0F70"/>
    <w:rsid w:val="001B5016"/>
    <w:rsid w:val="001B7E6E"/>
    <w:rsid w:val="001C181F"/>
    <w:rsid w:val="001C45FC"/>
    <w:rsid w:val="001D0469"/>
    <w:rsid w:val="001D0A61"/>
    <w:rsid w:val="001D2985"/>
    <w:rsid w:val="001D29C0"/>
    <w:rsid w:val="001D4862"/>
    <w:rsid w:val="001E25B9"/>
    <w:rsid w:val="001E49E0"/>
    <w:rsid w:val="001E7B5A"/>
    <w:rsid w:val="001F7412"/>
    <w:rsid w:val="0020090A"/>
    <w:rsid w:val="00202DFE"/>
    <w:rsid w:val="0020725B"/>
    <w:rsid w:val="002073B6"/>
    <w:rsid w:val="00207C3D"/>
    <w:rsid w:val="002110F1"/>
    <w:rsid w:val="00221D20"/>
    <w:rsid w:val="00224E71"/>
    <w:rsid w:val="00226CB6"/>
    <w:rsid w:val="002356EA"/>
    <w:rsid w:val="00240C69"/>
    <w:rsid w:val="0024116D"/>
    <w:rsid w:val="00241B44"/>
    <w:rsid w:val="00241FA3"/>
    <w:rsid w:val="00245EFB"/>
    <w:rsid w:val="0025386E"/>
    <w:rsid w:val="0026338D"/>
    <w:rsid w:val="002638B0"/>
    <w:rsid w:val="0026647A"/>
    <w:rsid w:val="002668D3"/>
    <w:rsid w:val="002677FF"/>
    <w:rsid w:val="002722CA"/>
    <w:rsid w:val="0027299F"/>
    <w:rsid w:val="00274BC3"/>
    <w:rsid w:val="00284EBE"/>
    <w:rsid w:val="002903A7"/>
    <w:rsid w:val="0029433F"/>
    <w:rsid w:val="00294829"/>
    <w:rsid w:val="0029690F"/>
    <w:rsid w:val="00297C8A"/>
    <w:rsid w:val="002A2A60"/>
    <w:rsid w:val="002A37BB"/>
    <w:rsid w:val="002B1C45"/>
    <w:rsid w:val="002C13C8"/>
    <w:rsid w:val="002C1EC5"/>
    <w:rsid w:val="002C2FDA"/>
    <w:rsid w:val="002C3547"/>
    <w:rsid w:val="002D0021"/>
    <w:rsid w:val="002D299D"/>
    <w:rsid w:val="002D3473"/>
    <w:rsid w:val="002E498E"/>
    <w:rsid w:val="002F1956"/>
    <w:rsid w:val="002F3440"/>
    <w:rsid w:val="002F7211"/>
    <w:rsid w:val="002F75A3"/>
    <w:rsid w:val="00303C2F"/>
    <w:rsid w:val="00305E53"/>
    <w:rsid w:val="00307D85"/>
    <w:rsid w:val="003144EF"/>
    <w:rsid w:val="00320701"/>
    <w:rsid w:val="00326292"/>
    <w:rsid w:val="00326415"/>
    <w:rsid w:val="00330937"/>
    <w:rsid w:val="00330F31"/>
    <w:rsid w:val="00334648"/>
    <w:rsid w:val="003352A5"/>
    <w:rsid w:val="0033768C"/>
    <w:rsid w:val="00337938"/>
    <w:rsid w:val="00340769"/>
    <w:rsid w:val="00341AA6"/>
    <w:rsid w:val="00361A0A"/>
    <w:rsid w:val="00364369"/>
    <w:rsid w:val="00364836"/>
    <w:rsid w:val="0036565C"/>
    <w:rsid w:val="0036625E"/>
    <w:rsid w:val="00366ACE"/>
    <w:rsid w:val="003703F4"/>
    <w:rsid w:val="0037465A"/>
    <w:rsid w:val="00382C98"/>
    <w:rsid w:val="0038533C"/>
    <w:rsid w:val="00386568"/>
    <w:rsid w:val="00390B57"/>
    <w:rsid w:val="003948D5"/>
    <w:rsid w:val="00396821"/>
    <w:rsid w:val="00397D3A"/>
    <w:rsid w:val="003A051E"/>
    <w:rsid w:val="003B170F"/>
    <w:rsid w:val="003B3C5F"/>
    <w:rsid w:val="003C0156"/>
    <w:rsid w:val="003C4471"/>
    <w:rsid w:val="003C6597"/>
    <w:rsid w:val="003D0A6D"/>
    <w:rsid w:val="003E0B16"/>
    <w:rsid w:val="003E67D1"/>
    <w:rsid w:val="003F3C8E"/>
    <w:rsid w:val="003F739C"/>
    <w:rsid w:val="0040332F"/>
    <w:rsid w:val="00404329"/>
    <w:rsid w:val="00405DC1"/>
    <w:rsid w:val="00412107"/>
    <w:rsid w:val="00415F1F"/>
    <w:rsid w:val="0042108F"/>
    <w:rsid w:val="004300F1"/>
    <w:rsid w:val="00430FED"/>
    <w:rsid w:val="00434A8C"/>
    <w:rsid w:val="00437297"/>
    <w:rsid w:val="004402DC"/>
    <w:rsid w:val="00444284"/>
    <w:rsid w:val="00445CE6"/>
    <w:rsid w:val="004534C2"/>
    <w:rsid w:val="0045446F"/>
    <w:rsid w:val="00454E2B"/>
    <w:rsid w:val="0045683E"/>
    <w:rsid w:val="00470D3E"/>
    <w:rsid w:val="00477C72"/>
    <w:rsid w:val="00481D6B"/>
    <w:rsid w:val="00484B29"/>
    <w:rsid w:val="00486BB8"/>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3068"/>
    <w:rsid w:val="00504765"/>
    <w:rsid w:val="00510995"/>
    <w:rsid w:val="005154D1"/>
    <w:rsid w:val="00515890"/>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77711"/>
    <w:rsid w:val="005833D0"/>
    <w:rsid w:val="005846F3"/>
    <w:rsid w:val="005854B7"/>
    <w:rsid w:val="0058622F"/>
    <w:rsid w:val="005906C2"/>
    <w:rsid w:val="005919BD"/>
    <w:rsid w:val="00592F82"/>
    <w:rsid w:val="005A0CCA"/>
    <w:rsid w:val="005A6FF2"/>
    <w:rsid w:val="005A726D"/>
    <w:rsid w:val="005B67AC"/>
    <w:rsid w:val="005B79F4"/>
    <w:rsid w:val="005D16DD"/>
    <w:rsid w:val="005D43E0"/>
    <w:rsid w:val="005D58A3"/>
    <w:rsid w:val="005E1B79"/>
    <w:rsid w:val="005E6076"/>
    <w:rsid w:val="005E7008"/>
    <w:rsid w:val="005F026D"/>
    <w:rsid w:val="005F1424"/>
    <w:rsid w:val="005F2AEA"/>
    <w:rsid w:val="005F2D0B"/>
    <w:rsid w:val="005F4B31"/>
    <w:rsid w:val="005F53AD"/>
    <w:rsid w:val="005F7013"/>
    <w:rsid w:val="00610388"/>
    <w:rsid w:val="00610AC7"/>
    <w:rsid w:val="00612CA5"/>
    <w:rsid w:val="0061326D"/>
    <w:rsid w:val="006153EC"/>
    <w:rsid w:val="00621A17"/>
    <w:rsid w:val="00627CC9"/>
    <w:rsid w:val="00627E7B"/>
    <w:rsid w:val="00630542"/>
    <w:rsid w:val="00632E44"/>
    <w:rsid w:val="00634622"/>
    <w:rsid w:val="00636808"/>
    <w:rsid w:val="00636C0E"/>
    <w:rsid w:val="00640623"/>
    <w:rsid w:val="00641515"/>
    <w:rsid w:val="00651151"/>
    <w:rsid w:val="00654C2F"/>
    <w:rsid w:val="00657087"/>
    <w:rsid w:val="006639DB"/>
    <w:rsid w:val="006645D6"/>
    <w:rsid w:val="006661EF"/>
    <w:rsid w:val="00677AEB"/>
    <w:rsid w:val="00680EF2"/>
    <w:rsid w:val="00687A1D"/>
    <w:rsid w:val="00697EA1"/>
    <w:rsid w:val="006A2646"/>
    <w:rsid w:val="006A402D"/>
    <w:rsid w:val="006A6530"/>
    <w:rsid w:val="006A755E"/>
    <w:rsid w:val="006B435A"/>
    <w:rsid w:val="006B4C64"/>
    <w:rsid w:val="006B503E"/>
    <w:rsid w:val="006C146A"/>
    <w:rsid w:val="006C4ACB"/>
    <w:rsid w:val="006D6BD5"/>
    <w:rsid w:val="006E481A"/>
    <w:rsid w:val="006E5298"/>
    <w:rsid w:val="006F41CC"/>
    <w:rsid w:val="006F4A78"/>
    <w:rsid w:val="006F58B3"/>
    <w:rsid w:val="006F734A"/>
    <w:rsid w:val="00700D83"/>
    <w:rsid w:val="0070415A"/>
    <w:rsid w:val="00704852"/>
    <w:rsid w:val="007074E9"/>
    <w:rsid w:val="00713DA4"/>
    <w:rsid w:val="00714BF1"/>
    <w:rsid w:val="00721383"/>
    <w:rsid w:val="00722B91"/>
    <w:rsid w:val="0072681C"/>
    <w:rsid w:val="0073158B"/>
    <w:rsid w:val="00731FD1"/>
    <w:rsid w:val="007333CC"/>
    <w:rsid w:val="0073399A"/>
    <w:rsid w:val="00734FD3"/>
    <w:rsid w:val="00737C86"/>
    <w:rsid w:val="00740DAD"/>
    <w:rsid w:val="007566B8"/>
    <w:rsid w:val="007603F5"/>
    <w:rsid w:val="00764DB0"/>
    <w:rsid w:val="0076764D"/>
    <w:rsid w:val="0077431E"/>
    <w:rsid w:val="0077498C"/>
    <w:rsid w:val="007807C6"/>
    <w:rsid w:val="007809BC"/>
    <w:rsid w:val="00784128"/>
    <w:rsid w:val="00787BCC"/>
    <w:rsid w:val="00793173"/>
    <w:rsid w:val="007A2A33"/>
    <w:rsid w:val="007A7EA9"/>
    <w:rsid w:val="007B4F09"/>
    <w:rsid w:val="007B58FF"/>
    <w:rsid w:val="007B5C89"/>
    <w:rsid w:val="007B7517"/>
    <w:rsid w:val="007C1FCC"/>
    <w:rsid w:val="007C6201"/>
    <w:rsid w:val="007D00B7"/>
    <w:rsid w:val="007D1A37"/>
    <w:rsid w:val="007D612C"/>
    <w:rsid w:val="007D7C92"/>
    <w:rsid w:val="007E06E3"/>
    <w:rsid w:val="007E1154"/>
    <w:rsid w:val="007E6BA4"/>
    <w:rsid w:val="007F41F8"/>
    <w:rsid w:val="007F659B"/>
    <w:rsid w:val="00803040"/>
    <w:rsid w:val="0080454E"/>
    <w:rsid w:val="00804C32"/>
    <w:rsid w:val="00806302"/>
    <w:rsid w:val="00806E0A"/>
    <w:rsid w:val="00806E7F"/>
    <w:rsid w:val="00807119"/>
    <w:rsid w:val="00815F57"/>
    <w:rsid w:val="00821EDC"/>
    <w:rsid w:val="00822751"/>
    <w:rsid w:val="0082483F"/>
    <w:rsid w:val="008279C0"/>
    <w:rsid w:val="00830004"/>
    <w:rsid w:val="00830097"/>
    <w:rsid w:val="008670BF"/>
    <w:rsid w:val="00867701"/>
    <w:rsid w:val="008723F3"/>
    <w:rsid w:val="00876F56"/>
    <w:rsid w:val="00881DE6"/>
    <w:rsid w:val="008837A6"/>
    <w:rsid w:val="0089145D"/>
    <w:rsid w:val="008A4DF2"/>
    <w:rsid w:val="008A6CFE"/>
    <w:rsid w:val="008B403D"/>
    <w:rsid w:val="008B5333"/>
    <w:rsid w:val="008B6223"/>
    <w:rsid w:val="008C2BD9"/>
    <w:rsid w:val="008C66E0"/>
    <w:rsid w:val="008D06B0"/>
    <w:rsid w:val="008D1432"/>
    <w:rsid w:val="008E3339"/>
    <w:rsid w:val="008F20FC"/>
    <w:rsid w:val="008F5FFE"/>
    <w:rsid w:val="0090239E"/>
    <w:rsid w:val="00905A43"/>
    <w:rsid w:val="00912C79"/>
    <w:rsid w:val="009164DD"/>
    <w:rsid w:val="009178A9"/>
    <w:rsid w:val="00921B8C"/>
    <w:rsid w:val="00922A3A"/>
    <w:rsid w:val="00942123"/>
    <w:rsid w:val="0095207B"/>
    <w:rsid w:val="00953349"/>
    <w:rsid w:val="00962045"/>
    <w:rsid w:val="00965804"/>
    <w:rsid w:val="00971CDF"/>
    <w:rsid w:val="00973D6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106"/>
    <w:rsid w:val="009D3340"/>
    <w:rsid w:val="009D6501"/>
    <w:rsid w:val="009E2AEB"/>
    <w:rsid w:val="009E2E27"/>
    <w:rsid w:val="009E45DF"/>
    <w:rsid w:val="009E4DE3"/>
    <w:rsid w:val="009E6997"/>
    <w:rsid w:val="009F275E"/>
    <w:rsid w:val="00A047EE"/>
    <w:rsid w:val="00A2274A"/>
    <w:rsid w:val="00A235B7"/>
    <w:rsid w:val="00A27A7A"/>
    <w:rsid w:val="00A334F9"/>
    <w:rsid w:val="00A34ABE"/>
    <w:rsid w:val="00A407EF"/>
    <w:rsid w:val="00A44EE1"/>
    <w:rsid w:val="00A46B4C"/>
    <w:rsid w:val="00A5117B"/>
    <w:rsid w:val="00A55A47"/>
    <w:rsid w:val="00A56D34"/>
    <w:rsid w:val="00A60074"/>
    <w:rsid w:val="00A6627C"/>
    <w:rsid w:val="00A71019"/>
    <w:rsid w:val="00A76C46"/>
    <w:rsid w:val="00A81029"/>
    <w:rsid w:val="00A845F5"/>
    <w:rsid w:val="00A96489"/>
    <w:rsid w:val="00AA6529"/>
    <w:rsid w:val="00AB2425"/>
    <w:rsid w:val="00AB685C"/>
    <w:rsid w:val="00AB6C2D"/>
    <w:rsid w:val="00AC08F7"/>
    <w:rsid w:val="00AC3839"/>
    <w:rsid w:val="00AC7082"/>
    <w:rsid w:val="00AD4BE8"/>
    <w:rsid w:val="00AD6545"/>
    <w:rsid w:val="00AE1A12"/>
    <w:rsid w:val="00AF228E"/>
    <w:rsid w:val="00AF2595"/>
    <w:rsid w:val="00AF771B"/>
    <w:rsid w:val="00B007F7"/>
    <w:rsid w:val="00B016A8"/>
    <w:rsid w:val="00B14819"/>
    <w:rsid w:val="00B15E2F"/>
    <w:rsid w:val="00B17AA9"/>
    <w:rsid w:val="00B22A28"/>
    <w:rsid w:val="00B22E51"/>
    <w:rsid w:val="00B2589E"/>
    <w:rsid w:val="00B44713"/>
    <w:rsid w:val="00B46C4B"/>
    <w:rsid w:val="00B51B95"/>
    <w:rsid w:val="00B52047"/>
    <w:rsid w:val="00B56103"/>
    <w:rsid w:val="00B64929"/>
    <w:rsid w:val="00B71885"/>
    <w:rsid w:val="00B736DF"/>
    <w:rsid w:val="00B743D6"/>
    <w:rsid w:val="00B74FBD"/>
    <w:rsid w:val="00B77F46"/>
    <w:rsid w:val="00B82586"/>
    <w:rsid w:val="00B829A3"/>
    <w:rsid w:val="00B86DB1"/>
    <w:rsid w:val="00B87869"/>
    <w:rsid w:val="00B90B05"/>
    <w:rsid w:val="00B94841"/>
    <w:rsid w:val="00B960A8"/>
    <w:rsid w:val="00B9639B"/>
    <w:rsid w:val="00BA06CC"/>
    <w:rsid w:val="00BB0F2B"/>
    <w:rsid w:val="00BC4558"/>
    <w:rsid w:val="00BD1061"/>
    <w:rsid w:val="00BD5C7A"/>
    <w:rsid w:val="00BD7133"/>
    <w:rsid w:val="00BE0C4E"/>
    <w:rsid w:val="00BE4FF3"/>
    <w:rsid w:val="00BE5D2E"/>
    <w:rsid w:val="00BF1640"/>
    <w:rsid w:val="00BF50F7"/>
    <w:rsid w:val="00BF7738"/>
    <w:rsid w:val="00C02F29"/>
    <w:rsid w:val="00C17718"/>
    <w:rsid w:val="00C2018C"/>
    <w:rsid w:val="00C20AFE"/>
    <w:rsid w:val="00C22A25"/>
    <w:rsid w:val="00C24907"/>
    <w:rsid w:val="00C35671"/>
    <w:rsid w:val="00C35B77"/>
    <w:rsid w:val="00C376EB"/>
    <w:rsid w:val="00C46A92"/>
    <w:rsid w:val="00C46EC1"/>
    <w:rsid w:val="00C52796"/>
    <w:rsid w:val="00C53E2C"/>
    <w:rsid w:val="00C550C8"/>
    <w:rsid w:val="00C55824"/>
    <w:rsid w:val="00C56B61"/>
    <w:rsid w:val="00C606C3"/>
    <w:rsid w:val="00C620F4"/>
    <w:rsid w:val="00C714B0"/>
    <w:rsid w:val="00C72848"/>
    <w:rsid w:val="00C7736C"/>
    <w:rsid w:val="00C77784"/>
    <w:rsid w:val="00C82D87"/>
    <w:rsid w:val="00C8712A"/>
    <w:rsid w:val="00C902C8"/>
    <w:rsid w:val="00C919D1"/>
    <w:rsid w:val="00C963D3"/>
    <w:rsid w:val="00CA448F"/>
    <w:rsid w:val="00CB1983"/>
    <w:rsid w:val="00CB2CBB"/>
    <w:rsid w:val="00CB7CAC"/>
    <w:rsid w:val="00CC5335"/>
    <w:rsid w:val="00CC5451"/>
    <w:rsid w:val="00CC5BA4"/>
    <w:rsid w:val="00CD4998"/>
    <w:rsid w:val="00CD707C"/>
    <w:rsid w:val="00CE1035"/>
    <w:rsid w:val="00CE6E50"/>
    <w:rsid w:val="00CF0079"/>
    <w:rsid w:val="00CF2819"/>
    <w:rsid w:val="00CF28FE"/>
    <w:rsid w:val="00CF4F9D"/>
    <w:rsid w:val="00CF70DC"/>
    <w:rsid w:val="00D06723"/>
    <w:rsid w:val="00D148DC"/>
    <w:rsid w:val="00D17FDC"/>
    <w:rsid w:val="00D21D8C"/>
    <w:rsid w:val="00D34539"/>
    <w:rsid w:val="00D41FDB"/>
    <w:rsid w:val="00D47F1F"/>
    <w:rsid w:val="00D50C61"/>
    <w:rsid w:val="00D53719"/>
    <w:rsid w:val="00D63EFD"/>
    <w:rsid w:val="00D83191"/>
    <w:rsid w:val="00D83F0F"/>
    <w:rsid w:val="00D84752"/>
    <w:rsid w:val="00D86B3B"/>
    <w:rsid w:val="00D872CB"/>
    <w:rsid w:val="00D8748A"/>
    <w:rsid w:val="00D878AF"/>
    <w:rsid w:val="00D93196"/>
    <w:rsid w:val="00DA0DC0"/>
    <w:rsid w:val="00DA1581"/>
    <w:rsid w:val="00DA356F"/>
    <w:rsid w:val="00DA4D42"/>
    <w:rsid w:val="00DB243C"/>
    <w:rsid w:val="00DB2955"/>
    <w:rsid w:val="00DB339B"/>
    <w:rsid w:val="00DB482A"/>
    <w:rsid w:val="00DB50FB"/>
    <w:rsid w:val="00DB522F"/>
    <w:rsid w:val="00DB56F2"/>
    <w:rsid w:val="00DB6EF5"/>
    <w:rsid w:val="00DC3089"/>
    <w:rsid w:val="00DC4420"/>
    <w:rsid w:val="00DD0802"/>
    <w:rsid w:val="00DD2E11"/>
    <w:rsid w:val="00DE03AF"/>
    <w:rsid w:val="00DE121C"/>
    <w:rsid w:val="00DE3A7C"/>
    <w:rsid w:val="00DE6633"/>
    <w:rsid w:val="00DE71A2"/>
    <w:rsid w:val="00DE7516"/>
    <w:rsid w:val="00DE7B11"/>
    <w:rsid w:val="00DF2B2F"/>
    <w:rsid w:val="00DF75F8"/>
    <w:rsid w:val="00DF7A3A"/>
    <w:rsid w:val="00E00C00"/>
    <w:rsid w:val="00E01AA6"/>
    <w:rsid w:val="00E07C5A"/>
    <w:rsid w:val="00E15BA9"/>
    <w:rsid w:val="00E20F31"/>
    <w:rsid w:val="00E26E19"/>
    <w:rsid w:val="00E27899"/>
    <w:rsid w:val="00E31DF3"/>
    <w:rsid w:val="00E450A4"/>
    <w:rsid w:val="00E506BE"/>
    <w:rsid w:val="00E55547"/>
    <w:rsid w:val="00E62FE8"/>
    <w:rsid w:val="00E6302B"/>
    <w:rsid w:val="00E6452F"/>
    <w:rsid w:val="00E64F45"/>
    <w:rsid w:val="00E653B1"/>
    <w:rsid w:val="00E6742D"/>
    <w:rsid w:val="00E71CB0"/>
    <w:rsid w:val="00E74ECD"/>
    <w:rsid w:val="00E77C3D"/>
    <w:rsid w:val="00E80939"/>
    <w:rsid w:val="00E8326B"/>
    <w:rsid w:val="00E90991"/>
    <w:rsid w:val="00E909F0"/>
    <w:rsid w:val="00E90D47"/>
    <w:rsid w:val="00E93993"/>
    <w:rsid w:val="00E9597C"/>
    <w:rsid w:val="00E968BE"/>
    <w:rsid w:val="00EA0913"/>
    <w:rsid w:val="00EA5B00"/>
    <w:rsid w:val="00EB146B"/>
    <w:rsid w:val="00EB45AC"/>
    <w:rsid w:val="00EC1E6D"/>
    <w:rsid w:val="00EC441F"/>
    <w:rsid w:val="00EC4755"/>
    <w:rsid w:val="00ED0BC4"/>
    <w:rsid w:val="00ED447D"/>
    <w:rsid w:val="00ED47C8"/>
    <w:rsid w:val="00ED6D25"/>
    <w:rsid w:val="00EE0B41"/>
    <w:rsid w:val="00EE1E8B"/>
    <w:rsid w:val="00EE4971"/>
    <w:rsid w:val="00EE6CB0"/>
    <w:rsid w:val="00EF090E"/>
    <w:rsid w:val="00EF5572"/>
    <w:rsid w:val="00F033DA"/>
    <w:rsid w:val="00F1282D"/>
    <w:rsid w:val="00F13691"/>
    <w:rsid w:val="00F13FB1"/>
    <w:rsid w:val="00F250B0"/>
    <w:rsid w:val="00F27CD8"/>
    <w:rsid w:val="00F30351"/>
    <w:rsid w:val="00F3323E"/>
    <w:rsid w:val="00F341F4"/>
    <w:rsid w:val="00F34F9D"/>
    <w:rsid w:val="00F35CCE"/>
    <w:rsid w:val="00F5524B"/>
    <w:rsid w:val="00F5620F"/>
    <w:rsid w:val="00F60538"/>
    <w:rsid w:val="00F61DD2"/>
    <w:rsid w:val="00F66AFF"/>
    <w:rsid w:val="00F71433"/>
    <w:rsid w:val="00F76A65"/>
    <w:rsid w:val="00F80E9B"/>
    <w:rsid w:val="00F823E3"/>
    <w:rsid w:val="00F8668C"/>
    <w:rsid w:val="00F9362A"/>
    <w:rsid w:val="00F97C5B"/>
    <w:rsid w:val="00FA3D50"/>
    <w:rsid w:val="00FB3E20"/>
    <w:rsid w:val="00FB55E5"/>
    <w:rsid w:val="00FB7FBD"/>
    <w:rsid w:val="00FC374A"/>
    <w:rsid w:val="00FC74C8"/>
    <w:rsid w:val="00FC7B47"/>
    <w:rsid w:val="00FC7DD8"/>
    <w:rsid w:val="00FD035C"/>
    <w:rsid w:val="00FD1A35"/>
    <w:rsid w:val="00FD1BEC"/>
    <w:rsid w:val="00FD2EA4"/>
    <w:rsid w:val="00FD36C5"/>
    <w:rsid w:val="00FD5ECD"/>
    <w:rsid w:val="00FD6310"/>
    <w:rsid w:val="00FD7C7B"/>
    <w:rsid w:val="00FE1D12"/>
    <w:rsid w:val="00FE2122"/>
    <w:rsid w:val="00FE2A86"/>
    <w:rsid w:val="00FE2DE2"/>
    <w:rsid w:val="00FE2F0E"/>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1B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73B4D-81D5-4222-9B74-1C79784A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4772</Words>
  <Characters>27201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2021-07-26T13:11:00Z</dcterms:created>
  <dcterms:modified xsi:type="dcterms:W3CDTF">2021-07-26T13:11:00Z</dcterms:modified>
</cp:coreProperties>
</file>