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7777777" w:rsidR="0011473D" w:rsidRDefault="00C56B61"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D12C7">
        <w:rPr>
          <w:rFonts w:ascii="Arial" w:hAnsi="Arial" w:cs="Arial"/>
          <w:b/>
          <w:color w:val="000000" w:themeColor="text1"/>
          <w:sz w:val="28"/>
          <w:szCs w:val="28"/>
          <w:lang w:val="en-GB"/>
        </w:rPr>
        <w:t>8A</w:t>
      </w:r>
    </w:p>
    <w:p w14:paraId="142F4BBC" w14:textId="77777777" w:rsidR="002638B0" w:rsidRDefault="002638B0"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DAFAF01" w:rsidR="002638B0" w:rsidRPr="00E11C54" w:rsidRDefault="00AD12C7"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11C54">
        <w:rPr>
          <w:rFonts w:ascii="Arial" w:hAnsi="Arial" w:cs="Arial"/>
          <w:b/>
          <w:color w:val="000000" w:themeColor="text1"/>
          <w:sz w:val="28"/>
          <w:szCs w:val="28"/>
          <w:lang w:val="en-GB"/>
        </w:rPr>
        <w:t>AUSTRALIA</w:t>
      </w:r>
    </w:p>
    <w:p w14:paraId="43FD13D3" w14:textId="77777777" w:rsidR="00434A8C" w:rsidRPr="007C6201"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33508B95" w14:textId="77777777" w:rsidR="00AC750A" w:rsidRPr="001E23FD" w:rsidRDefault="00AC750A" w:rsidP="00AC750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407A8C6" w14:textId="77777777" w:rsidR="00AC750A" w:rsidRPr="001E23FD" w:rsidRDefault="00AC750A" w:rsidP="00AC750A">
      <w:pPr>
        <w:jc w:val="both"/>
        <w:rPr>
          <w:rFonts w:ascii="Arial" w:hAnsi="Arial" w:cs="Arial"/>
          <w:b/>
          <w:sz w:val="22"/>
          <w:szCs w:val="22"/>
          <w:lang w:val="en-GB"/>
        </w:rPr>
      </w:pPr>
    </w:p>
    <w:p w14:paraId="24E27F03" w14:textId="77777777" w:rsidR="00AC750A" w:rsidRPr="001E23FD" w:rsidRDefault="00AC750A" w:rsidP="00AC750A">
      <w:pPr>
        <w:jc w:val="both"/>
        <w:rPr>
          <w:rFonts w:ascii="Arial" w:hAnsi="Arial" w:cs="Arial"/>
          <w:sz w:val="22"/>
          <w:szCs w:val="22"/>
          <w:lang w:val="en-GB"/>
        </w:rPr>
      </w:pPr>
    </w:p>
    <w:p w14:paraId="202F49B8"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12BD117" w14:textId="77777777" w:rsidR="00AC750A" w:rsidRPr="001E23FD" w:rsidRDefault="00AC750A" w:rsidP="00AC750A">
      <w:pPr>
        <w:ind w:left="720" w:hanging="720"/>
        <w:jc w:val="both"/>
        <w:rPr>
          <w:rFonts w:ascii="Arial" w:hAnsi="Arial" w:cs="Arial"/>
          <w:sz w:val="22"/>
          <w:szCs w:val="22"/>
          <w:lang w:val="en-GB"/>
        </w:rPr>
      </w:pPr>
    </w:p>
    <w:p w14:paraId="1901308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AE93D6" w14:textId="77777777" w:rsidR="00AC750A" w:rsidRPr="001E23FD" w:rsidRDefault="00AC750A" w:rsidP="00AC750A">
      <w:pPr>
        <w:ind w:left="720" w:hanging="720"/>
        <w:jc w:val="both"/>
        <w:rPr>
          <w:rFonts w:ascii="Arial" w:hAnsi="Arial" w:cs="Arial"/>
          <w:sz w:val="22"/>
          <w:szCs w:val="22"/>
          <w:lang w:val="en-GB"/>
        </w:rPr>
      </w:pPr>
    </w:p>
    <w:p w14:paraId="0D6A63D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584120E" w14:textId="77777777" w:rsidR="00AC750A" w:rsidRPr="001E23FD" w:rsidRDefault="00AC750A" w:rsidP="00AC750A">
      <w:pPr>
        <w:ind w:left="720" w:hanging="720"/>
        <w:jc w:val="both"/>
        <w:rPr>
          <w:rFonts w:ascii="Arial" w:hAnsi="Arial" w:cs="Arial"/>
          <w:sz w:val="22"/>
          <w:szCs w:val="22"/>
          <w:lang w:val="en-GB"/>
        </w:rPr>
      </w:pPr>
    </w:p>
    <w:p w14:paraId="76B587B6" w14:textId="48939C24"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D244F26" w14:textId="77777777" w:rsidR="00AC750A" w:rsidRPr="001E23FD" w:rsidRDefault="00AC750A" w:rsidP="00AC750A">
      <w:pPr>
        <w:ind w:left="720" w:hanging="720"/>
        <w:jc w:val="both"/>
        <w:rPr>
          <w:rFonts w:ascii="Arial" w:hAnsi="Arial" w:cs="Arial"/>
          <w:sz w:val="22"/>
          <w:szCs w:val="22"/>
          <w:lang w:val="en-GB"/>
        </w:rPr>
      </w:pPr>
    </w:p>
    <w:p w14:paraId="64FD2C5C"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F9BB12B" w14:textId="77777777" w:rsidR="00AC750A" w:rsidRPr="001E23FD" w:rsidRDefault="00AC750A" w:rsidP="00AC750A">
      <w:pPr>
        <w:ind w:left="720" w:hanging="720"/>
        <w:jc w:val="both"/>
        <w:rPr>
          <w:rFonts w:ascii="Arial" w:hAnsi="Arial" w:cs="Arial"/>
          <w:sz w:val="22"/>
          <w:szCs w:val="22"/>
          <w:lang w:val="en-GB"/>
        </w:rPr>
      </w:pPr>
    </w:p>
    <w:p w14:paraId="72E8A01A"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152EB59" w14:textId="77777777" w:rsidR="00AC750A" w:rsidRPr="001E23FD" w:rsidRDefault="00AC750A" w:rsidP="00AC750A">
      <w:pPr>
        <w:ind w:left="720" w:hanging="720"/>
        <w:jc w:val="both"/>
        <w:rPr>
          <w:rFonts w:ascii="Arial" w:hAnsi="Arial" w:cs="Arial"/>
          <w:sz w:val="22"/>
          <w:szCs w:val="22"/>
          <w:lang w:val="en-GB"/>
        </w:rPr>
      </w:pPr>
    </w:p>
    <w:p w14:paraId="5EA5E58F" w14:textId="2E4C6C7A" w:rsidR="004A2D83" w:rsidRPr="00592F82"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1A2660" w:rsidRPr="001A2660">
        <w:rPr>
          <w:rFonts w:ascii="Arial" w:hAnsi="Arial" w:cs="Arial"/>
          <w:b/>
          <w:bCs/>
          <w:sz w:val="22"/>
          <w:szCs w:val="22"/>
          <w:lang w:val="en-GB"/>
        </w:rPr>
        <w:t>7</w:t>
      </w:r>
      <w:r w:rsidRPr="001A2660">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7F8EDB85"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2688761B" w14:textId="77777777" w:rsidR="00D0796B" w:rsidRPr="00D0796B" w:rsidRDefault="00D0796B" w:rsidP="00D0796B">
      <w:pPr>
        <w:ind w:left="66"/>
        <w:jc w:val="both"/>
        <w:rPr>
          <w:rFonts w:ascii="Arial" w:hAnsi="Arial" w:cs="Arial"/>
          <w:sz w:val="22"/>
          <w:szCs w:val="22"/>
          <w:lang w:val="en-GB"/>
        </w:rPr>
      </w:pPr>
    </w:p>
    <w:p w14:paraId="61C5BCD2" w14:textId="5C27ACDE"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791FB04A" w14:textId="77777777" w:rsidR="00D0796B" w:rsidRPr="00D0796B" w:rsidRDefault="00D0796B" w:rsidP="00D0796B">
      <w:pPr>
        <w:ind w:left="66"/>
        <w:jc w:val="both"/>
        <w:rPr>
          <w:rFonts w:ascii="Arial" w:hAnsi="Arial" w:cs="Arial"/>
          <w:sz w:val="22"/>
          <w:szCs w:val="22"/>
          <w:lang w:val="en-GB"/>
        </w:rPr>
      </w:pPr>
    </w:p>
    <w:p w14:paraId="79E9BF78" w14:textId="4FBAF973"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53008047" w14:textId="77777777" w:rsidR="00D0796B" w:rsidRPr="00D0796B" w:rsidRDefault="00D0796B" w:rsidP="00D0796B">
      <w:pPr>
        <w:ind w:left="66"/>
        <w:jc w:val="both"/>
        <w:rPr>
          <w:rFonts w:ascii="Arial" w:hAnsi="Arial" w:cs="Arial"/>
          <w:sz w:val="22"/>
          <w:szCs w:val="22"/>
          <w:lang w:val="en-GB"/>
        </w:rPr>
      </w:pPr>
    </w:p>
    <w:p w14:paraId="1763501D" w14:textId="75E6BA71" w:rsidR="00AD12C7" w:rsidRPr="002B4D8C" w:rsidRDefault="00AD12C7" w:rsidP="00D0796B">
      <w:pPr>
        <w:pStyle w:val="ListParagraph"/>
        <w:numPr>
          <w:ilvl w:val="0"/>
          <w:numId w:val="11"/>
        </w:numPr>
        <w:ind w:left="426"/>
        <w:jc w:val="both"/>
        <w:rPr>
          <w:rFonts w:ascii="Arial" w:hAnsi="Arial" w:cs="Arial"/>
          <w:sz w:val="22"/>
          <w:szCs w:val="22"/>
          <w:highlight w:val="yellow"/>
          <w:lang w:val="en-GB"/>
        </w:rPr>
      </w:pPr>
      <w:r w:rsidRPr="002B4D8C">
        <w:rPr>
          <w:rFonts w:ascii="Arial" w:hAnsi="Arial" w:cs="Arial"/>
          <w:sz w:val="22"/>
          <w:szCs w:val="22"/>
          <w:highlight w:val="yellow"/>
          <w:lang w:val="en-GB"/>
        </w:rPr>
        <w:t>apply to the court for the decision to be reversed or varied</w:t>
      </w:r>
      <w:r w:rsidR="005A2E18" w:rsidRPr="002B4D8C">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24174AD2" w:rsidR="00AD12C7" w:rsidRPr="002B4D8C" w:rsidRDefault="005A2E18" w:rsidP="00D0796B">
      <w:pPr>
        <w:pStyle w:val="ListParagraph"/>
        <w:numPr>
          <w:ilvl w:val="0"/>
          <w:numId w:val="12"/>
        </w:numPr>
        <w:ind w:left="426"/>
        <w:rPr>
          <w:rFonts w:ascii="Arial" w:hAnsi="Arial" w:cs="Arial"/>
          <w:sz w:val="22"/>
          <w:szCs w:val="22"/>
          <w:highlight w:val="yellow"/>
          <w:lang w:val="en-GB"/>
        </w:rPr>
      </w:pPr>
      <w:r w:rsidRPr="002B4D8C">
        <w:rPr>
          <w:rFonts w:ascii="Arial" w:hAnsi="Arial" w:cs="Arial"/>
          <w:sz w:val="22"/>
          <w:szCs w:val="22"/>
          <w:highlight w:val="yellow"/>
          <w:lang w:val="en-GB"/>
        </w:rPr>
        <w:t>R</w:t>
      </w:r>
      <w:r w:rsidR="00AD12C7" w:rsidRPr="002B4D8C">
        <w:rPr>
          <w:rFonts w:ascii="Arial" w:hAnsi="Arial" w:cs="Arial"/>
          <w:sz w:val="22"/>
          <w:szCs w:val="22"/>
          <w:highlight w:val="yellow"/>
          <w:lang w:val="en-GB"/>
        </w:rPr>
        <w:t>eceivership</w:t>
      </w:r>
      <w:r w:rsidRPr="002B4D8C">
        <w:rPr>
          <w:rFonts w:ascii="Arial" w:hAnsi="Arial" w:cs="Arial"/>
          <w:sz w:val="22"/>
          <w:szCs w:val="22"/>
          <w:highlight w:val="yellow"/>
          <w:lang w:val="en-GB"/>
        </w:rPr>
        <w:t>.</w:t>
      </w:r>
    </w:p>
    <w:p w14:paraId="2C9E1842" w14:textId="77777777" w:rsidR="00D0796B" w:rsidRPr="00D0796B" w:rsidRDefault="00D0796B" w:rsidP="00D0796B">
      <w:pPr>
        <w:ind w:left="66"/>
        <w:rPr>
          <w:rFonts w:ascii="Arial" w:hAnsi="Arial" w:cs="Arial"/>
          <w:sz w:val="22"/>
          <w:szCs w:val="22"/>
          <w:lang w:val="en-GB"/>
        </w:rPr>
      </w:pPr>
    </w:p>
    <w:p w14:paraId="046C5A60" w14:textId="481557C5"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75D4F874" w14:textId="77777777" w:rsidR="00D0796B" w:rsidRPr="00D0796B" w:rsidRDefault="00D0796B" w:rsidP="00D0796B">
      <w:pPr>
        <w:ind w:left="66"/>
        <w:rPr>
          <w:rFonts w:ascii="Arial" w:hAnsi="Arial" w:cs="Arial"/>
          <w:sz w:val="22"/>
          <w:szCs w:val="22"/>
          <w:lang w:val="en-GB"/>
        </w:rPr>
      </w:pPr>
    </w:p>
    <w:p w14:paraId="4BD3B791" w14:textId="064C7CD2"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3F5D2F60" w14:textId="77777777" w:rsidR="00D0796B" w:rsidRPr="00D0796B" w:rsidRDefault="00D0796B" w:rsidP="00D0796B">
      <w:pPr>
        <w:ind w:left="66"/>
        <w:rPr>
          <w:rFonts w:ascii="Arial" w:hAnsi="Arial" w:cs="Arial"/>
          <w:sz w:val="22"/>
          <w:szCs w:val="22"/>
          <w:lang w:val="en-GB"/>
        </w:rPr>
      </w:pPr>
    </w:p>
    <w:p w14:paraId="14361357" w14:textId="55D00623" w:rsidR="00AD12C7" w:rsidRPr="005A2E18"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453FFD48" w14:textId="1AEFF55D" w:rsidR="00AD12C7" w:rsidRDefault="00AD12C7" w:rsidP="00AD12C7">
      <w:pPr>
        <w:ind w:left="720" w:hanging="720"/>
        <w:rPr>
          <w:rFonts w:ascii="Arial" w:hAnsi="Arial" w:cs="Arial"/>
          <w:sz w:val="22"/>
          <w:szCs w:val="22"/>
          <w:lang w:val="en-GB"/>
        </w:rPr>
      </w:pPr>
      <w:r>
        <w:rPr>
          <w:rFonts w:ascii="Arial" w:hAnsi="Arial" w:cs="Arial"/>
          <w:sz w:val="22"/>
          <w:szCs w:val="22"/>
          <w:lang w:val="en-GB"/>
        </w:rPr>
        <w:t>The purpose of the Assetless Administration Fund is to:</w:t>
      </w:r>
    </w:p>
    <w:p w14:paraId="42E49670" w14:textId="77777777" w:rsidR="00AD12C7" w:rsidRDefault="00AD12C7" w:rsidP="00AD12C7">
      <w:pPr>
        <w:ind w:left="720" w:hanging="720"/>
        <w:rPr>
          <w:rFonts w:ascii="Arial" w:hAnsi="Arial" w:cs="Arial"/>
          <w:sz w:val="22"/>
          <w:szCs w:val="22"/>
          <w:lang w:val="en-GB"/>
        </w:rPr>
      </w:pPr>
    </w:p>
    <w:p w14:paraId="566C1403" w14:textId="5A3D4A25"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AFSA to trustees into the bankruptcies of individuals with few or no assets, to assist trustees in deciding whether to commence enforcement action</w:t>
      </w:r>
      <w:r w:rsidR="00BA3AE6">
        <w:rPr>
          <w:rFonts w:ascii="Arial" w:hAnsi="Arial" w:cs="Arial"/>
          <w:sz w:val="22"/>
          <w:szCs w:val="22"/>
          <w:lang w:val="en-GB"/>
        </w:rPr>
        <w:t>.</w:t>
      </w:r>
    </w:p>
    <w:p w14:paraId="7C525643" w14:textId="77777777" w:rsidR="00D0796B" w:rsidRPr="00D0796B" w:rsidRDefault="00D0796B" w:rsidP="00D0796B">
      <w:pPr>
        <w:ind w:left="66"/>
        <w:jc w:val="both"/>
        <w:rPr>
          <w:rFonts w:ascii="Arial" w:hAnsi="Arial" w:cs="Arial"/>
          <w:sz w:val="22"/>
          <w:szCs w:val="22"/>
          <w:lang w:val="en-GB"/>
        </w:rPr>
      </w:pPr>
    </w:p>
    <w:p w14:paraId="0B48A251" w14:textId="7DC44CF6"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ASIC to liquidators into the failure of companies with few or no assets, to assist liquidators in deciding whether to commence enforcement action</w:t>
      </w:r>
      <w:r w:rsidR="00BA3AE6">
        <w:rPr>
          <w:rFonts w:ascii="Arial" w:hAnsi="Arial" w:cs="Arial"/>
          <w:sz w:val="22"/>
          <w:szCs w:val="22"/>
          <w:lang w:val="en-GB"/>
        </w:rPr>
        <w:t>.</w:t>
      </w:r>
    </w:p>
    <w:p w14:paraId="6EC966AF" w14:textId="77777777" w:rsidR="00D0796B" w:rsidRPr="00D0796B" w:rsidRDefault="00D0796B" w:rsidP="00D0796B">
      <w:pPr>
        <w:ind w:left="66"/>
        <w:jc w:val="both"/>
        <w:rPr>
          <w:rFonts w:ascii="Arial" w:hAnsi="Arial" w:cs="Arial"/>
          <w:sz w:val="22"/>
          <w:szCs w:val="22"/>
          <w:lang w:val="en-GB"/>
        </w:rPr>
      </w:pPr>
    </w:p>
    <w:p w14:paraId="7C87AE20" w14:textId="3F754860"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lastRenderedPageBreak/>
        <w:t>finance preliminary investigations and reports to AFSA by trustees into the bankruptcies of individuals with few or no assets, to assist AFSA in deciding whether to commence enforcement action</w:t>
      </w:r>
      <w:r w:rsidR="00BA3AE6">
        <w:rPr>
          <w:rFonts w:ascii="Arial" w:hAnsi="Arial" w:cs="Arial"/>
          <w:sz w:val="22"/>
          <w:szCs w:val="22"/>
          <w:lang w:val="en-GB"/>
        </w:rPr>
        <w:t>.</w:t>
      </w:r>
    </w:p>
    <w:p w14:paraId="11666E02" w14:textId="77777777" w:rsidR="00D0796B" w:rsidRPr="00D0796B" w:rsidRDefault="00D0796B" w:rsidP="00D0796B">
      <w:pPr>
        <w:ind w:left="66"/>
        <w:jc w:val="both"/>
        <w:rPr>
          <w:rFonts w:ascii="Arial" w:hAnsi="Arial" w:cs="Arial"/>
          <w:sz w:val="22"/>
          <w:szCs w:val="22"/>
          <w:lang w:val="en-GB"/>
        </w:rPr>
      </w:pPr>
    </w:p>
    <w:p w14:paraId="7C30045F" w14:textId="21071BFF" w:rsidR="00AD12C7" w:rsidRPr="002B4D8C" w:rsidRDefault="00AD12C7" w:rsidP="00D0796B">
      <w:pPr>
        <w:pStyle w:val="ListParagraph"/>
        <w:numPr>
          <w:ilvl w:val="0"/>
          <w:numId w:val="13"/>
        </w:numPr>
        <w:ind w:left="426"/>
        <w:jc w:val="both"/>
        <w:rPr>
          <w:rFonts w:ascii="Arial" w:hAnsi="Arial" w:cs="Arial"/>
          <w:sz w:val="22"/>
          <w:szCs w:val="22"/>
          <w:highlight w:val="yellow"/>
          <w:lang w:val="en-GB"/>
        </w:rPr>
      </w:pPr>
      <w:r w:rsidRPr="002B4D8C">
        <w:rPr>
          <w:rFonts w:ascii="Arial" w:hAnsi="Arial" w:cs="Arial"/>
          <w:sz w:val="22"/>
          <w:szCs w:val="22"/>
          <w:highlight w:val="yellow"/>
          <w:lang w:val="en-GB"/>
        </w:rPr>
        <w:t>finance preliminary investigations and reports to ASIC by liquidators into the failure of companies with few or no assets, to assist ASIC in deciding whether to commence enforcement action</w:t>
      </w:r>
      <w:r w:rsidR="00BA3AE6" w:rsidRPr="002B4D8C">
        <w:rPr>
          <w:rFonts w:ascii="Arial" w:hAnsi="Arial" w:cs="Arial"/>
          <w:sz w:val="22"/>
          <w:szCs w:val="22"/>
          <w:highlight w:val="yellow"/>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3C6C0D82"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3 employees and an annual turnover of </w:t>
      </w:r>
      <w:r w:rsidR="00D0796B">
        <w:rPr>
          <w:rFonts w:ascii="Arial" w:hAnsi="Arial" w:cs="Arial"/>
          <w:sz w:val="22"/>
          <w:szCs w:val="22"/>
          <w:lang w:val="en-GB"/>
        </w:rPr>
        <w:t xml:space="preserve">AUD </w:t>
      </w:r>
      <w:r>
        <w:rPr>
          <w:rFonts w:ascii="Arial" w:hAnsi="Arial" w:cs="Arial"/>
          <w:sz w:val="22"/>
          <w:szCs w:val="22"/>
          <w:lang w:val="en-GB"/>
        </w:rPr>
        <w:t xml:space="preserve">950,000. It currently owes </w:t>
      </w:r>
      <w:r w:rsidR="00D0796B">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D0796B">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D0796B">
        <w:rPr>
          <w:rFonts w:ascii="Arial" w:hAnsi="Arial" w:cs="Arial"/>
          <w:b/>
          <w:bCs/>
          <w:sz w:val="22"/>
          <w:szCs w:val="22"/>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533A8599" w:rsidR="00AD12C7" w:rsidRDefault="00AD12C7" w:rsidP="00AD12C7">
      <w:pPr>
        <w:jc w:val="both"/>
        <w:rPr>
          <w:rFonts w:ascii="Arial" w:hAnsi="Arial" w:cs="Arial"/>
          <w:sz w:val="22"/>
          <w:szCs w:val="22"/>
          <w:lang w:val="en-GB"/>
        </w:rPr>
      </w:pPr>
    </w:p>
    <w:p w14:paraId="3C03F460" w14:textId="3385F5C0" w:rsidR="00AD12C7" w:rsidRDefault="00321D73"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D0796B">
        <w:rPr>
          <w:rFonts w:ascii="Arial" w:hAnsi="Arial" w:cs="Arial"/>
          <w:sz w:val="22"/>
          <w:szCs w:val="22"/>
          <w:lang w:val="en-GB"/>
        </w:rPr>
        <w:t>.</w:t>
      </w:r>
    </w:p>
    <w:p w14:paraId="3531A35D" w14:textId="77777777" w:rsidR="00F219B4" w:rsidRPr="00F219B4" w:rsidRDefault="00F219B4" w:rsidP="00F219B4">
      <w:pPr>
        <w:ind w:left="426"/>
        <w:rPr>
          <w:rFonts w:ascii="Arial" w:hAnsi="Arial" w:cs="Arial"/>
          <w:sz w:val="22"/>
          <w:szCs w:val="22"/>
          <w:lang w:val="en-GB"/>
        </w:rPr>
      </w:pPr>
    </w:p>
    <w:p w14:paraId="7EC2CC1B" w14:textId="4C54EDBE" w:rsidR="00AD12C7"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D0796B">
        <w:rPr>
          <w:rFonts w:ascii="Arial" w:hAnsi="Arial" w:cs="Arial"/>
          <w:sz w:val="22"/>
          <w:szCs w:val="22"/>
          <w:lang w:val="en-GB"/>
        </w:rPr>
        <w:t>.</w:t>
      </w:r>
    </w:p>
    <w:p w14:paraId="71316C62" w14:textId="77777777" w:rsidR="00F219B4" w:rsidRPr="00F219B4" w:rsidRDefault="00F219B4" w:rsidP="00F219B4">
      <w:pPr>
        <w:ind w:left="426"/>
        <w:rPr>
          <w:rFonts w:ascii="Arial" w:hAnsi="Arial" w:cs="Arial"/>
          <w:sz w:val="22"/>
          <w:szCs w:val="22"/>
          <w:lang w:val="en-GB"/>
        </w:rPr>
      </w:pPr>
    </w:p>
    <w:p w14:paraId="121D21B8" w14:textId="1017EE0E" w:rsidR="00AD12C7" w:rsidRPr="002B4D8C" w:rsidRDefault="00321D73" w:rsidP="00F219B4">
      <w:pPr>
        <w:pStyle w:val="ListParagraph"/>
        <w:numPr>
          <w:ilvl w:val="0"/>
          <w:numId w:val="14"/>
        </w:numPr>
        <w:ind w:left="426"/>
        <w:rPr>
          <w:rFonts w:ascii="Arial" w:hAnsi="Arial" w:cs="Arial"/>
          <w:sz w:val="22"/>
          <w:szCs w:val="22"/>
          <w:highlight w:val="yellow"/>
          <w:lang w:val="en-GB"/>
        </w:rPr>
      </w:pPr>
      <w:r w:rsidRPr="002B4D8C">
        <w:rPr>
          <w:rFonts w:ascii="Arial" w:hAnsi="Arial" w:cs="Arial"/>
          <w:sz w:val="22"/>
          <w:szCs w:val="22"/>
          <w:highlight w:val="yellow"/>
          <w:lang w:val="en-GB"/>
        </w:rPr>
        <w:t>A</w:t>
      </w:r>
      <w:r w:rsidR="000D2487" w:rsidRPr="002B4D8C">
        <w:rPr>
          <w:rFonts w:ascii="Arial" w:hAnsi="Arial" w:cs="Arial"/>
          <w:sz w:val="22"/>
          <w:szCs w:val="22"/>
          <w:highlight w:val="yellow"/>
          <w:lang w:val="en-GB"/>
        </w:rPr>
        <w:t xml:space="preserve"> small business restructuring plan</w:t>
      </w:r>
      <w:r w:rsidR="00D0796B" w:rsidRPr="002B4D8C">
        <w:rPr>
          <w:rFonts w:ascii="Arial" w:hAnsi="Arial" w:cs="Arial"/>
          <w:sz w:val="22"/>
          <w:szCs w:val="22"/>
          <w:highlight w:val="yellow"/>
          <w:lang w:val="en-GB"/>
        </w:rPr>
        <w:t>.</w:t>
      </w:r>
    </w:p>
    <w:p w14:paraId="01144BB5" w14:textId="77777777" w:rsidR="00F219B4" w:rsidRPr="00F219B4" w:rsidRDefault="00F219B4" w:rsidP="00F219B4">
      <w:pPr>
        <w:ind w:left="426"/>
        <w:rPr>
          <w:rFonts w:ascii="Arial" w:hAnsi="Arial" w:cs="Arial"/>
          <w:sz w:val="22"/>
          <w:szCs w:val="22"/>
          <w:lang w:val="en-GB"/>
        </w:rPr>
      </w:pPr>
    </w:p>
    <w:p w14:paraId="02A357B4" w14:textId="11559BBE" w:rsidR="00AD12C7" w:rsidRPr="00B8406D"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D0796B">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is </w:t>
      </w:r>
      <w:r w:rsidR="00AC68D5" w:rsidRPr="00F219B4">
        <w:rPr>
          <w:rFonts w:ascii="Arial" w:hAnsi="Arial" w:cs="Arial"/>
          <w:b/>
          <w:bCs/>
          <w:sz w:val="22"/>
          <w:szCs w:val="22"/>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35834D9"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09F02B5F" w14:textId="77777777" w:rsidR="00F219B4" w:rsidRPr="00F219B4" w:rsidRDefault="00F219B4" w:rsidP="00F219B4">
      <w:pPr>
        <w:ind w:left="66"/>
        <w:rPr>
          <w:rFonts w:ascii="Arial" w:hAnsi="Arial" w:cs="Arial"/>
          <w:sz w:val="22"/>
          <w:szCs w:val="22"/>
          <w:lang w:val="en-GB"/>
        </w:rPr>
      </w:pPr>
    </w:p>
    <w:p w14:paraId="69016785" w14:textId="5DBC9A60"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277B3DED" w14:textId="77777777" w:rsidR="00F219B4" w:rsidRPr="00F219B4" w:rsidRDefault="00F219B4" w:rsidP="00F219B4">
      <w:pPr>
        <w:ind w:left="66"/>
        <w:rPr>
          <w:rFonts w:ascii="Arial" w:hAnsi="Arial" w:cs="Arial"/>
          <w:sz w:val="22"/>
          <w:szCs w:val="22"/>
          <w:lang w:val="en-GB"/>
        </w:rPr>
      </w:pPr>
    </w:p>
    <w:p w14:paraId="75ED413D" w14:textId="3E0379E6" w:rsidR="00AD12C7" w:rsidRDefault="007B3A5E"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26684D5D" w14:textId="77777777" w:rsidR="00F219B4" w:rsidRPr="00F219B4" w:rsidRDefault="00F219B4" w:rsidP="00F219B4">
      <w:pPr>
        <w:ind w:left="66"/>
        <w:rPr>
          <w:rFonts w:ascii="Arial" w:hAnsi="Arial" w:cs="Arial"/>
          <w:sz w:val="22"/>
          <w:szCs w:val="22"/>
          <w:lang w:val="en-GB"/>
        </w:rPr>
      </w:pPr>
    </w:p>
    <w:p w14:paraId="29ECBEE4" w14:textId="0A6CB657"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079BDB03" w14:textId="77777777" w:rsidR="00F219B4" w:rsidRPr="00F219B4" w:rsidRDefault="00F219B4" w:rsidP="00F219B4">
      <w:pPr>
        <w:ind w:left="66"/>
        <w:rPr>
          <w:rFonts w:ascii="Arial" w:hAnsi="Arial" w:cs="Arial"/>
          <w:sz w:val="22"/>
          <w:szCs w:val="22"/>
          <w:lang w:val="en-GB"/>
        </w:rPr>
      </w:pPr>
    </w:p>
    <w:p w14:paraId="7A6402DF" w14:textId="5F72CC26" w:rsidR="005B79F4" w:rsidRPr="002B4D8C" w:rsidRDefault="007B3A5E" w:rsidP="00F219B4">
      <w:pPr>
        <w:pStyle w:val="ListParagraph"/>
        <w:numPr>
          <w:ilvl w:val="0"/>
          <w:numId w:val="15"/>
        </w:numPr>
        <w:autoSpaceDE w:val="0"/>
        <w:autoSpaceDN w:val="0"/>
        <w:adjustRightInd w:val="0"/>
        <w:ind w:left="426"/>
        <w:jc w:val="both"/>
        <w:rPr>
          <w:rFonts w:ascii="Arial" w:hAnsi="Arial" w:cs="Arial"/>
          <w:sz w:val="22"/>
          <w:szCs w:val="22"/>
          <w:highlight w:val="yellow"/>
        </w:rPr>
      </w:pPr>
      <w:r w:rsidRPr="002B4D8C">
        <w:rPr>
          <w:rFonts w:ascii="Arial" w:hAnsi="Arial" w:cs="Arial"/>
          <w:sz w:val="22"/>
          <w:szCs w:val="22"/>
          <w:highlight w:val="yellow"/>
          <w:lang w:val="en-GB"/>
        </w:rPr>
        <w:t>S</w:t>
      </w:r>
      <w:r w:rsidR="00AD12C7" w:rsidRPr="002B4D8C">
        <w:rPr>
          <w:rFonts w:ascii="Arial" w:hAnsi="Arial" w:cs="Arial"/>
          <w:sz w:val="22"/>
          <w:szCs w:val="22"/>
          <w:highlight w:val="yellow"/>
          <w:lang w:val="en-GB"/>
        </w:rPr>
        <w:t>uperannuation funds</w:t>
      </w:r>
      <w:r w:rsidRPr="002B4D8C">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7B3A5E">
        <w:rPr>
          <w:rFonts w:ascii="Arial" w:hAnsi="Arial" w:cs="Arial"/>
          <w:b/>
          <w:bCs/>
          <w:sz w:val="22"/>
          <w:szCs w:val="22"/>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2499D5F6" w:rsidR="00AD12C7" w:rsidRDefault="007B3A5E"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CB200E7" w14:textId="77777777" w:rsidR="00F219B4" w:rsidRPr="00F219B4" w:rsidRDefault="00F219B4" w:rsidP="00F219B4">
      <w:pPr>
        <w:ind w:left="66"/>
        <w:jc w:val="both"/>
        <w:rPr>
          <w:rFonts w:ascii="Arial" w:hAnsi="Arial" w:cs="Arial"/>
          <w:sz w:val="22"/>
          <w:szCs w:val="22"/>
          <w:lang w:val="en-GB"/>
        </w:rPr>
      </w:pPr>
    </w:p>
    <w:p w14:paraId="0E5E1852" w14:textId="13D98326" w:rsidR="00AD12C7" w:rsidRDefault="007B3A5E" w:rsidP="00F219B4">
      <w:pPr>
        <w:pStyle w:val="ListParagraph"/>
        <w:numPr>
          <w:ilvl w:val="0"/>
          <w:numId w:val="16"/>
        </w:numPr>
        <w:ind w:left="426"/>
        <w:jc w:val="both"/>
        <w:rPr>
          <w:rFonts w:ascii="Arial" w:hAnsi="Arial" w:cs="Arial"/>
          <w:sz w:val="22"/>
          <w:szCs w:val="22"/>
          <w:lang w:val="en-GB"/>
        </w:rPr>
      </w:pPr>
      <w:r w:rsidRPr="002B4D8C">
        <w:rPr>
          <w:rFonts w:ascii="Arial" w:hAnsi="Arial" w:cs="Arial"/>
          <w:sz w:val="22"/>
          <w:szCs w:val="22"/>
          <w:highlight w:val="yellow"/>
          <w:lang w:val="en-GB"/>
        </w:rPr>
        <w:t>T</w:t>
      </w:r>
      <w:r w:rsidR="00AD12C7" w:rsidRPr="002B4D8C">
        <w:rPr>
          <w:rFonts w:ascii="Arial" w:hAnsi="Arial" w:cs="Arial"/>
          <w:sz w:val="22"/>
          <w:szCs w:val="22"/>
          <w:highlight w:val="yellow"/>
          <w:lang w:val="en-GB"/>
        </w:rPr>
        <w:t>he one-year period ending on the relation back day where the creditor had reasonable grounds for suspecting that the company was insolvent</w:t>
      </w:r>
      <w:r w:rsidR="00AD12C7" w:rsidRPr="007B3A5E">
        <w:rPr>
          <w:rFonts w:ascii="Arial" w:hAnsi="Arial" w:cs="Arial"/>
          <w:sz w:val="22"/>
          <w:szCs w:val="22"/>
          <w:lang w:val="en-GB"/>
        </w:rPr>
        <w:t>.</w:t>
      </w:r>
    </w:p>
    <w:p w14:paraId="1A890B7E" w14:textId="77777777" w:rsidR="00F219B4" w:rsidRPr="00F219B4" w:rsidRDefault="00F219B4" w:rsidP="00F219B4">
      <w:pPr>
        <w:ind w:left="66"/>
        <w:jc w:val="both"/>
        <w:rPr>
          <w:rFonts w:ascii="Arial" w:hAnsi="Arial" w:cs="Arial"/>
          <w:sz w:val="22"/>
          <w:szCs w:val="22"/>
          <w:lang w:val="en-GB"/>
        </w:rPr>
      </w:pPr>
    </w:p>
    <w:p w14:paraId="4AD7C72C" w14:textId="168AAD94"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6131C135" w14:textId="77777777" w:rsidR="00F219B4" w:rsidRPr="00F219B4" w:rsidRDefault="00F219B4" w:rsidP="00F219B4">
      <w:pPr>
        <w:ind w:left="66"/>
        <w:jc w:val="both"/>
        <w:rPr>
          <w:rFonts w:ascii="Arial" w:hAnsi="Arial" w:cs="Arial"/>
          <w:sz w:val="22"/>
          <w:szCs w:val="22"/>
          <w:lang w:val="en-GB"/>
        </w:rPr>
      </w:pPr>
    </w:p>
    <w:p w14:paraId="5300C477" w14:textId="4CCE022B"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lastRenderedPageBreak/>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16360563" w14:textId="77777777" w:rsidR="00F219B4" w:rsidRPr="00F219B4" w:rsidRDefault="00F219B4" w:rsidP="00F219B4">
      <w:pPr>
        <w:ind w:left="66"/>
        <w:jc w:val="both"/>
        <w:rPr>
          <w:rFonts w:ascii="Arial" w:hAnsi="Arial" w:cs="Arial"/>
          <w:sz w:val="22"/>
          <w:szCs w:val="22"/>
          <w:lang w:val="en-GB"/>
        </w:rPr>
      </w:pPr>
    </w:p>
    <w:p w14:paraId="5F7DEF22" w14:textId="7E868FB2" w:rsidR="00AD12C7" w:rsidRPr="007B3A5E"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7777777" w:rsidR="005B79F4" w:rsidRDefault="005B79F4"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02E4208C" w14:textId="41D5FB03"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37A0EB33"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336BD979" w14:textId="77777777" w:rsidR="00600B67" w:rsidRPr="00600B67" w:rsidRDefault="00600B67" w:rsidP="00600B67">
      <w:pPr>
        <w:ind w:left="66"/>
        <w:jc w:val="both"/>
        <w:rPr>
          <w:rFonts w:ascii="Arial" w:hAnsi="Arial" w:cs="Arial"/>
          <w:sz w:val="22"/>
          <w:szCs w:val="22"/>
          <w:lang w:val="en-GB"/>
        </w:rPr>
      </w:pPr>
    </w:p>
    <w:p w14:paraId="3573E23C" w14:textId="4B82B78B"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70C83F5D" w14:textId="77777777" w:rsidR="00600B67" w:rsidRPr="00600B67" w:rsidRDefault="00600B67" w:rsidP="00600B67">
      <w:pPr>
        <w:ind w:left="66"/>
        <w:jc w:val="both"/>
        <w:rPr>
          <w:rFonts w:ascii="Arial" w:hAnsi="Arial" w:cs="Arial"/>
          <w:sz w:val="22"/>
          <w:szCs w:val="22"/>
          <w:lang w:val="en-GB"/>
        </w:rPr>
      </w:pPr>
    </w:p>
    <w:p w14:paraId="39BAEA52" w14:textId="4D33B3E4" w:rsidR="00AD12C7" w:rsidRPr="002B4D8C" w:rsidRDefault="00AD12C7" w:rsidP="00600B67">
      <w:pPr>
        <w:pStyle w:val="ListParagraph"/>
        <w:numPr>
          <w:ilvl w:val="0"/>
          <w:numId w:val="17"/>
        </w:numPr>
        <w:ind w:left="426"/>
        <w:jc w:val="both"/>
        <w:rPr>
          <w:rFonts w:ascii="Arial" w:hAnsi="Arial" w:cs="Arial"/>
          <w:sz w:val="22"/>
          <w:szCs w:val="22"/>
          <w:highlight w:val="yellow"/>
          <w:lang w:val="en-GB"/>
        </w:rPr>
      </w:pPr>
      <w:r w:rsidRPr="002B4D8C">
        <w:rPr>
          <w:rFonts w:ascii="Arial" w:hAnsi="Arial" w:cs="Arial"/>
          <w:sz w:val="22"/>
          <w:szCs w:val="22"/>
          <w:highlight w:val="yellow"/>
          <w:lang w:val="en-GB"/>
        </w:rPr>
        <w:t>is an agent of the company and not of the secured creditor that appointed the receiver.</w:t>
      </w:r>
    </w:p>
    <w:p w14:paraId="53891B40" w14:textId="77777777" w:rsidR="00600B67" w:rsidRPr="00600B67" w:rsidRDefault="00600B67" w:rsidP="00600B67">
      <w:pPr>
        <w:ind w:left="66"/>
        <w:jc w:val="both"/>
        <w:rPr>
          <w:rFonts w:ascii="Arial" w:hAnsi="Arial" w:cs="Arial"/>
          <w:sz w:val="22"/>
          <w:szCs w:val="22"/>
          <w:lang w:val="en-GB"/>
        </w:rPr>
      </w:pPr>
    </w:p>
    <w:p w14:paraId="556D0871" w14:textId="4DE755E5" w:rsid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3ED6FE65" w14:textId="77777777" w:rsidR="00600B67" w:rsidRPr="00600B67" w:rsidRDefault="00600B67" w:rsidP="00600B67">
      <w:pPr>
        <w:ind w:left="66"/>
        <w:jc w:val="both"/>
        <w:rPr>
          <w:rFonts w:ascii="Arial" w:hAnsi="Arial" w:cs="Arial"/>
          <w:sz w:val="22"/>
          <w:szCs w:val="22"/>
          <w:lang w:val="en-GB"/>
        </w:rPr>
      </w:pPr>
    </w:p>
    <w:p w14:paraId="1804D744" w14:textId="77AEABDD" w:rsidR="00AD12C7" w:rsidRP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0CC3033A" w14:textId="77777777" w:rsidR="00AD12C7" w:rsidRDefault="00AD12C7" w:rsidP="00C55824">
      <w:pPr>
        <w:jc w:val="both"/>
        <w:rPr>
          <w:rFonts w:ascii="Arial" w:eastAsiaTheme="minorHAnsi" w:hAnsi="Arial" w:cs="Arial"/>
          <w:sz w:val="22"/>
          <w:szCs w:val="22"/>
          <w:lang w:val="en-GB"/>
        </w:rPr>
      </w:pPr>
    </w:p>
    <w:p w14:paraId="32DF932E" w14:textId="745ED80D"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C55824">
      <w:pPr>
        <w:jc w:val="both"/>
        <w:rPr>
          <w:rFonts w:ascii="Arial" w:eastAsiaTheme="minorHAnsi" w:hAnsi="Arial" w:cs="Arial"/>
          <w:sz w:val="22"/>
          <w:szCs w:val="22"/>
          <w:lang w:val="en-GB"/>
        </w:rPr>
      </w:pPr>
    </w:p>
    <w:p w14:paraId="2C11E540" w14:textId="77777777" w:rsidR="009D3F45" w:rsidRDefault="009D3F45" w:rsidP="009D3F45">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AD12C7">
      <w:pPr>
        <w:jc w:val="both"/>
        <w:rPr>
          <w:rFonts w:ascii="Arial" w:hAnsi="Arial" w:cs="Arial"/>
          <w:sz w:val="22"/>
          <w:szCs w:val="22"/>
          <w:lang w:val="en-GB"/>
        </w:rPr>
      </w:pPr>
    </w:p>
    <w:p w14:paraId="0B79DC15" w14:textId="2E535144" w:rsidR="00AD12C7" w:rsidRDefault="00AD12C7" w:rsidP="00AD12C7">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5CFCC807" w14:textId="77777777" w:rsidR="00AD12C7" w:rsidRDefault="00AD12C7" w:rsidP="00AD12C7">
      <w:pPr>
        <w:jc w:val="both"/>
        <w:rPr>
          <w:rFonts w:ascii="Arial" w:hAnsi="Arial" w:cs="Arial"/>
          <w:sz w:val="22"/>
          <w:szCs w:val="22"/>
          <w:lang w:val="en-GB"/>
        </w:rPr>
      </w:pPr>
    </w:p>
    <w:p w14:paraId="6892896F" w14:textId="0E10A0C3" w:rsidR="00AD12C7" w:rsidRDefault="002172B8" w:rsidP="00600B67">
      <w:pPr>
        <w:pStyle w:val="ListParagraph"/>
        <w:numPr>
          <w:ilvl w:val="0"/>
          <w:numId w:val="18"/>
        </w:numPr>
        <w:ind w:left="426"/>
        <w:rPr>
          <w:rFonts w:ascii="Arial" w:hAnsi="Arial" w:cs="Arial"/>
          <w:sz w:val="22"/>
          <w:szCs w:val="22"/>
          <w:lang w:val="en-GB"/>
        </w:rPr>
      </w:pPr>
      <w:r>
        <w:rPr>
          <w:rFonts w:ascii="Arial" w:hAnsi="Arial" w:cs="Arial"/>
          <w:sz w:val="22"/>
          <w:szCs w:val="22"/>
          <w:lang w:val="en-GB"/>
        </w:rPr>
        <w:t>3</w:t>
      </w:r>
      <w:r w:rsidR="00AD12C7" w:rsidRPr="002172B8">
        <w:rPr>
          <w:rFonts w:ascii="Arial" w:hAnsi="Arial" w:cs="Arial"/>
          <w:sz w:val="22"/>
          <w:szCs w:val="22"/>
          <w:lang w:val="en-GB"/>
        </w:rPr>
        <w:t xml:space="preserve"> business days</w:t>
      </w:r>
      <w:r>
        <w:rPr>
          <w:rFonts w:ascii="Arial" w:hAnsi="Arial" w:cs="Arial"/>
          <w:sz w:val="22"/>
          <w:szCs w:val="22"/>
          <w:lang w:val="en-GB"/>
        </w:rPr>
        <w:t>.</w:t>
      </w:r>
    </w:p>
    <w:p w14:paraId="2EF40041" w14:textId="77777777" w:rsidR="00600B67" w:rsidRPr="00600B67" w:rsidRDefault="00600B67" w:rsidP="00600B67">
      <w:pPr>
        <w:ind w:left="66"/>
        <w:rPr>
          <w:rFonts w:ascii="Arial" w:hAnsi="Arial" w:cs="Arial"/>
          <w:sz w:val="22"/>
          <w:szCs w:val="22"/>
          <w:lang w:val="en-GB"/>
        </w:rPr>
      </w:pPr>
    </w:p>
    <w:p w14:paraId="58AF5FCF" w14:textId="61BA85EB" w:rsidR="00AD12C7" w:rsidRPr="002B4D8C" w:rsidRDefault="00AD12C7" w:rsidP="00600B67">
      <w:pPr>
        <w:pStyle w:val="ListParagraph"/>
        <w:numPr>
          <w:ilvl w:val="0"/>
          <w:numId w:val="18"/>
        </w:numPr>
        <w:ind w:left="426"/>
        <w:rPr>
          <w:rFonts w:ascii="Arial" w:hAnsi="Arial" w:cs="Arial"/>
          <w:sz w:val="22"/>
          <w:szCs w:val="22"/>
          <w:highlight w:val="yellow"/>
          <w:lang w:val="en-GB"/>
        </w:rPr>
      </w:pPr>
      <w:r w:rsidRPr="002B4D8C">
        <w:rPr>
          <w:rFonts w:ascii="Arial" w:hAnsi="Arial" w:cs="Arial"/>
          <w:sz w:val="22"/>
          <w:szCs w:val="22"/>
          <w:highlight w:val="yellow"/>
          <w:lang w:val="en-GB"/>
        </w:rPr>
        <w:t>8 business days</w:t>
      </w:r>
      <w:r w:rsidR="002172B8" w:rsidRPr="002B4D8C">
        <w:rPr>
          <w:rFonts w:ascii="Arial" w:hAnsi="Arial" w:cs="Arial"/>
          <w:sz w:val="22"/>
          <w:szCs w:val="22"/>
          <w:highlight w:val="yellow"/>
          <w:lang w:val="en-GB"/>
        </w:rPr>
        <w:t>.</w:t>
      </w:r>
    </w:p>
    <w:p w14:paraId="4BB06D13" w14:textId="77777777" w:rsidR="00600B67" w:rsidRPr="00600B67" w:rsidRDefault="00600B67" w:rsidP="00600B67">
      <w:pPr>
        <w:ind w:left="66"/>
        <w:rPr>
          <w:rFonts w:ascii="Arial" w:hAnsi="Arial" w:cs="Arial"/>
          <w:sz w:val="22"/>
          <w:szCs w:val="22"/>
          <w:lang w:val="en-GB"/>
        </w:rPr>
      </w:pPr>
    </w:p>
    <w:p w14:paraId="5AFB6509" w14:textId="4A555089"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12 business days</w:t>
      </w:r>
      <w:r w:rsidR="002172B8">
        <w:rPr>
          <w:rFonts w:ascii="Arial" w:hAnsi="Arial" w:cs="Arial"/>
          <w:sz w:val="22"/>
          <w:szCs w:val="22"/>
          <w:lang w:val="en-GB"/>
        </w:rPr>
        <w:t>.</w:t>
      </w:r>
    </w:p>
    <w:p w14:paraId="45FF816B" w14:textId="77777777" w:rsidR="00600B67" w:rsidRPr="00600B67" w:rsidRDefault="00600B67" w:rsidP="00600B67">
      <w:pPr>
        <w:ind w:left="66"/>
        <w:rPr>
          <w:rFonts w:ascii="Arial" w:hAnsi="Arial" w:cs="Arial"/>
          <w:sz w:val="22"/>
          <w:szCs w:val="22"/>
          <w:lang w:val="en-GB"/>
        </w:rPr>
      </w:pPr>
    </w:p>
    <w:p w14:paraId="795FE621" w14:textId="7614C40E"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24 business days</w:t>
      </w:r>
      <w:r w:rsidR="002172B8">
        <w:rPr>
          <w:rFonts w:ascii="Arial" w:hAnsi="Arial" w:cs="Arial"/>
          <w:sz w:val="22"/>
          <w:szCs w:val="22"/>
          <w:lang w:val="en-GB"/>
        </w:rPr>
        <w:t>.</w:t>
      </w:r>
    </w:p>
    <w:p w14:paraId="15B2334B" w14:textId="77777777" w:rsidR="00600B67" w:rsidRPr="00600B67" w:rsidRDefault="00600B67" w:rsidP="00600B67">
      <w:pPr>
        <w:ind w:left="66"/>
        <w:rPr>
          <w:rFonts w:ascii="Arial" w:hAnsi="Arial" w:cs="Arial"/>
          <w:sz w:val="22"/>
          <w:szCs w:val="22"/>
          <w:lang w:val="en-GB"/>
        </w:rPr>
      </w:pPr>
    </w:p>
    <w:p w14:paraId="6F0C7459" w14:textId="28A32A89" w:rsidR="00AD12C7" w:rsidRPr="002172B8" w:rsidRDefault="00AD12C7" w:rsidP="00600B67">
      <w:pPr>
        <w:pStyle w:val="ListParagraph"/>
        <w:numPr>
          <w:ilvl w:val="0"/>
          <w:numId w:val="18"/>
        </w:numPr>
        <w:tabs>
          <w:tab w:val="left" w:pos="426"/>
        </w:tabs>
        <w:ind w:left="426"/>
        <w:rPr>
          <w:rFonts w:ascii="Arial" w:hAnsi="Arial" w:cs="Arial"/>
          <w:sz w:val="22"/>
          <w:szCs w:val="22"/>
          <w:lang w:val="en-GB"/>
        </w:rPr>
      </w:pPr>
      <w:r w:rsidRPr="002172B8">
        <w:rPr>
          <w:rFonts w:ascii="Arial" w:hAnsi="Arial" w:cs="Arial"/>
          <w:sz w:val="22"/>
          <w:szCs w:val="22"/>
          <w:lang w:val="en-GB"/>
        </w:rPr>
        <w:t>45 business days</w:t>
      </w:r>
      <w:r w:rsidR="002172B8">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441645F2"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258634C0" w14:textId="77777777" w:rsidR="00600B67" w:rsidRPr="00600B67" w:rsidRDefault="00600B67" w:rsidP="00600B67">
      <w:pPr>
        <w:ind w:left="66"/>
        <w:jc w:val="both"/>
        <w:rPr>
          <w:rFonts w:ascii="Arial" w:hAnsi="Arial" w:cs="Arial"/>
          <w:sz w:val="22"/>
          <w:szCs w:val="22"/>
          <w:lang w:val="en-GB"/>
        </w:rPr>
      </w:pPr>
    </w:p>
    <w:p w14:paraId="32D419A3" w14:textId="28A26971"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79B3D6A9" w14:textId="77777777" w:rsidR="00600B67" w:rsidRPr="00600B67" w:rsidRDefault="00600B67" w:rsidP="00600B67">
      <w:pPr>
        <w:ind w:left="66"/>
        <w:jc w:val="both"/>
        <w:rPr>
          <w:rFonts w:ascii="Arial" w:hAnsi="Arial" w:cs="Arial"/>
          <w:sz w:val="22"/>
          <w:szCs w:val="22"/>
          <w:lang w:val="en-GB"/>
        </w:rPr>
      </w:pPr>
    </w:p>
    <w:p w14:paraId="0DE85444" w14:textId="033EFD98"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2936EC9" w14:textId="6D90A50C" w:rsidR="00600B67" w:rsidRDefault="00600B67" w:rsidP="00600B67">
      <w:pPr>
        <w:ind w:left="66"/>
        <w:jc w:val="both"/>
        <w:rPr>
          <w:rFonts w:ascii="Arial" w:hAnsi="Arial" w:cs="Arial"/>
          <w:sz w:val="22"/>
          <w:szCs w:val="22"/>
          <w:lang w:val="en-GB"/>
        </w:rPr>
      </w:pPr>
    </w:p>
    <w:p w14:paraId="6118BB63" w14:textId="0CD9B2E3" w:rsidR="0097581F" w:rsidRDefault="0097581F" w:rsidP="00600B67">
      <w:pPr>
        <w:ind w:left="66"/>
        <w:jc w:val="both"/>
        <w:rPr>
          <w:rFonts w:ascii="Arial" w:hAnsi="Arial" w:cs="Arial"/>
          <w:sz w:val="22"/>
          <w:szCs w:val="22"/>
          <w:lang w:val="en-GB"/>
        </w:rPr>
      </w:pPr>
    </w:p>
    <w:p w14:paraId="16B073DA" w14:textId="77777777" w:rsidR="0097581F" w:rsidRPr="00600B67" w:rsidRDefault="0097581F" w:rsidP="00600B67">
      <w:pPr>
        <w:ind w:left="66"/>
        <w:jc w:val="both"/>
        <w:rPr>
          <w:rFonts w:ascii="Arial" w:hAnsi="Arial" w:cs="Arial"/>
          <w:sz w:val="22"/>
          <w:szCs w:val="22"/>
          <w:lang w:val="en-GB"/>
        </w:rPr>
      </w:pPr>
    </w:p>
    <w:p w14:paraId="24F56436" w14:textId="0D0DE234"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lastRenderedPageBreak/>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68AB8C73" w14:textId="77777777" w:rsidR="00600B67" w:rsidRPr="00600B67" w:rsidRDefault="00600B67" w:rsidP="00600B67">
      <w:pPr>
        <w:ind w:left="66"/>
        <w:jc w:val="both"/>
        <w:rPr>
          <w:rFonts w:ascii="Arial" w:hAnsi="Arial" w:cs="Arial"/>
          <w:sz w:val="22"/>
          <w:szCs w:val="22"/>
          <w:lang w:val="en-GB"/>
        </w:rPr>
      </w:pPr>
    </w:p>
    <w:p w14:paraId="7512253C" w14:textId="00F3978D" w:rsidR="002476AF" w:rsidRPr="00416D2B" w:rsidRDefault="00416D2B" w:rsidP="00600B67">
      <w:pPr>
        <w:pStyle w:val="ListParagraph"/>
        <w:numPr>
          <w:ilvl w:val="0"/>
          <w:numId w:val="19"/>
        </w:numPr>
        <w:ind w:left="426"/>
        <w:jc w:val="both"/>
        <w:rPr>
          <w:rFonts w:ascii="Arial" w:hAnsi="Arial" w:cs="Arial"/>
          <w:sz w:val="22"/>
          <w:szCs w:val="22"/>
          <w:lang w:val="en-GB"/>
        </w:rPr>
      </w:pPr>
      <w:r w:rsidRPr="002B4D8C">
        <w:rPr>
          <w:rFonts w:ascii="Arial" w:hAnsi="Arial" w:cs="Arial"/>
          <w:sz w:val="22"/>
          <w:szCs w:val="22"/>
          <w:highlight w:val="yellow"/>
          <w:lang w:val="en-GB"/>
        </w:rPr>
        <w:t>T</w:t>
      </w:r>
      <w:r w:rsidR="002476AF" w:rsidRPr="002B4D8C">
        <w:rPr>
          <w:rFonts w:ascii="Arial" w:hAnsi="Arial" w:cs="Arial"/>
          <w:sz w:val="22"/>
          <w:szCs w:val="22"/>
          <w:highlight w:val="yellow"/>
          <w:lang w:val="en-GB"/>
        </w:rPr>
        <w:t xml:space="preserve">he part dealing with receivers, and other controllers, of property of </w:t>
      </w:r>
      <w:r w:rsidRPr="002B4D8C">
        <w:rPr>
          <w:rFonts w:ascii="Arial" w:hAnsi="Arial" w:cs="Arial"/>
          <w:sz w:val="22"/>
          <w:szCs w:val="22"/>
          <w:highlight w:val="yellow"/>
          <w:lang w:val="en-GB"/>
        </w:rPr>
        <w:t xml:space="preserve">the </w:t>
      </w:r>
      <w:r w:rsidR="002476AF" w:rsidRPr="002B4D8C">
        <w:rPr>
          <w:rFonts w:ascii="Arial" w:hAnsi="Arial" w:cs="Arial"/>
          <w:sz w:val="22"/>
          <w:szCs w:val="22"/>
          <w:highlight w:val="yellow"/>
          <w:lang w:val="en-GB"/>
        </w:rPr>
        <w:t>corporation</w:t>
      </w:r>
      <w:r>
        <w:rPr>
          <w:rFonts w:ascii="Arial" w:hAnsi="Arial" w:cs="Arial"/>
          <w:sz w:val="22"/>
          <w:szCs w:val="22"/>
          <w:lang w:val="en-GB"/>
        </w:rPr>
        <w:t>.</w:t>
      </w:r>
    </w:p>
    <w:p w14:paraId="542B62C9" w14:textId="77777777" w:rsidR="00876F56" w:rsidRDefault="00876F56"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00D154E3"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13AD0344" w:rsidR="002476AF" w:rsidRDefault="002476AF" w:rsidP="00B953FA">
      <w:pPr>
        <w:pStyle w:val="ListParagraph"/>
        <w:numPr>
          <w:ilvl w:val="0"/>
          <w:numId w:val="20"/>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6F63066A" w14:textId="77777777" w:rsidR="00B953FA" w:rsidRPr="00B953FA" w:rsidRDefault="00B953FA" w:rsidP="00B953FA">
      <w:pPr>
        <w:ind w:left="66"/>
        <w:jc w:val="both"/>
        <w:rPr>
          <w:rFonts w:ascii="Arial" w:hAnsi="Arial" w:cs="Arial"/>
          <w:sz w:val="22"/>
          <w:szCs w:val="22"/>
          <w:lang w:val="en-GB"/>
        </w:rPr>
      </w:pPr>
    </w:p>
    <w:p w14:paraId="7B0A8624" w14:textId="44FA11FC" w:rsidR="002476AF" w:rsidRDefault="002476AF" w:rsidP="00B953FA">
      <w:pPr>
        <w:pStyle w:val="ListParagraph"/>
        <w:numPr>
          <w:ilvl w:val="0"/>
          <w:numId w:val="20"/>
        </w:numPr>
        <w:ind w:left="426"/>
        <w:jc w:val="both"/>
        <w:rPr>
          <w:rFonts w:ascii="Arial" w:hAnsi="Arial" w:cs="Arial"/>
          <w:sz w:val="22"/>
          <w:szCs w:val="22"/>
          <w:lang w:val="en-GB"/>
        </w:rPr>
      </w:pPr>
      <w:r w:rsidRPr="002B4D8C">
        <w:rPr>
          <w:rFonts w:ascii="Arial" w:hAnsi="Arial" w:cs="Arial"/>
          <w:sz w:val="22"/>
          <w:szCs w:val="22"/>
          <w:highlight w:val="yellow"/>
          <w:lang w:val="en-GB"/>
        </w:rPr>
        <w:t xml:space="preserve">simplified </w:t>
      </w:r>
      <w:r w:rsidR="008235B7" w:rsidRPr="002B4D8C">
        <w:rPr>
          <w:rFonts w:ascii="Arial" w:hAnsi="Arial" w:cs="Arial"/>
          <w:sz w:val="22"/>
          <w:szCs w:val="22"/>
          <w:highlight w:val="yellow"/>
          <w:lang w:val="en-GB"/>
        </w:rPr>
        <w:t>restructuring and liquidation regimes for small companies</w:t>
      </w:r>
      <w:r w:rsidRPr="00416D2B">
        <w:rPr>
          <w:rFonts w:ascii="Arial" w:hAnsi="Arial" w:cs="Arial"/>
          <w:sz w:val="22"/>
          <w:szCs w:val="22"/>
          <w:lang w:val="en-GB"/>
        </w:rPr>
        <w:t>.</w:t>
      </w:r>
    </w:p>
    <w:p w14:paraId="4890C597" w14:textId="77777777" w:rsidR="00B953FA" w:rsidRPr="00B953FA" w:rsidRDefault="00B953FA" w:rsidP="00B953FA">
      <w:pPr>
        <w:ind w:left="66"/>
        <w:jc w:val="both"/>
        <w:rPr>
          <w:rFonts w:ascii="Arial" w:hAnsi="Arial" w:cs="Arial"/>
          <w:sz w:val="22"/>
          <w:szCs w:val="22"/>
          <w:lang w:val="en-GB"/>
        </w:rPr>
      </w:pPr>
    </w:p>
    <w:p w14:paraId="5DC90DCF" w14:textId="74F911E9" w:rsidR="002476AF" w:rsidRDefault="00416D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1231129B" w14:textId="77777777" w:rsidR="00B953FA" w:rsidRPr="00B953FA" w:rsidRDefault="00B953FA" w:rsidP="00B953FA">
      <w:pPr>
        <w:ind w:left="66"/>
        <w:jc w:val="both"/>
        <w:rPr>
          <w:rFonts w:ascii="Arial" w:hAnsi="Arial" w:cs="Arial"/>
          <w:sz w:val="22"/>
          <w:szCs w:val="22"/>
          <w:lang w:val="en-GB"/>
        </w:rPr>
      </w:pPr>
    </w:p>
    <w:p w14:paraId="0523AC6C" w14:textId="58A50D23" w:rsidR="002476AF" w:rsidRPr="00B953FA" w:rsidRDefault="00F32C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Pr="00B953FA"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46A65C7D"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00EB5F88"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58A0C6D2" w14:textId="4CAEBB67" w:rsidR="005B3572"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834706">
        <w:rPr>
          <w:rFonts w:ascii="Arial" w:hAnsi="Arial" w:cs="Arial"/>
          <w:color w:val="7B7B7B" w:themeColor="accent3" w:themeShade="BF"/>
          <w:sz w:val="22"/>
          <w:szCs w:val="22"/>
          <w:lang w:val="en-GB"/>
        </w:rPr>
        <w:t>Presented below are ,</w:t>
      </w:r>
      <w:r w:rsidR="005B3572">
        <w:rPr>
          <w:rFonts w:ascii="Arial" w:hAnsi="Arial" w:cs="Arial"/>
          <w:color w:val="7B7B7B" w:themeColor="accent3" w:themeShade="BF"/>
          <w:sz w:val="22"/>
          <w:szCs w:val="22"/>
          <w:lang w:val="en-GB"/>
        </w:rPr>
        <w:t xml:space="preserve"> first, the rules for determining the date of  commencement of bankruptcy followed by a tabu</w:t>
      </w:r>
      <w:r w:rsidR="00834706">
        <w:rPr>
          <w:rFonts w:ascii="Arial" w:hAnsi="Arial" w:cs="Arial"/>
          <w:color w:val="7B7B7B" w:themeColor="accent3" w:themeShade="BF"/>
          <w:sz w:val="22"/>
          <w:szCs w:val="22"/>
          <w:lang w:val="en-GB"/>
        </w:rPr>
        <w:t xml:space="preserve">lation of </w:t>
      </w:r>
      <w:r w:rsidR="005B3572">
        <w:rPr>
          <w:rFonts w:ascii="Arial" w:hAnsi="Arial" w:cs="Arial"/>
          <w:color w:val="7B7B7B" w:themeColor="accent3" w:themeShade="BF"/>
          <w:sz w:val="22"/>
          <w:szCs w:val="22"/>
          <w:lang w:val="en-GB"/>
        </w:rPr>
        <w:t>the three types of voidable transactions in Bankruptcy  that the Trustee can seek Court orders to reverse and the circumstances in which the identified transactions will not be reversible:</w:t>
      </w:r>
    </w:p>
    <w:p w14:paraId="5BEACF54" w14:textId="77777777" w:rsidR="00162DB1" w:rsidRDefault="00162DB1" w:rsidP="002A37BB">
      <w:pPr>
        <w:ind w:left="720" w:hanging="720"/>
        <w:jc w:val="both"/>
        <w:rPr>
          <w:rFonts w:ascii="Arial" w:hAnsi="Arial" w:cs="Arial"/>
          <w:color w:val="7B7B7B" w:themeColor="accent3" w:themeShade="BF"/>
          <w:sz w:val="22"/>
          <w:szCs w:val="22"/>
          <w:lang w:val="en-GB"/>
        </w:rPr>
      </w:pPr>
    </w:p>
    <w:p w14:paraId="5A074869" w14:textId="77777777" w:rsidR="00834706" w:rsidRDefault="00834706" w:rsidP="002A37BB">
      <w:pPr>
        <w:ind w:left="720" w:hanging="720"/>
        <w:jc w:val="both"/>
        <w:rPr>
          <w:rFonts w:ascii="Arial" w:hAnsi="Arial" w:cs="Arial"/>
          <w:color w:val="7B7B7B" w:themeColor="accent3" w:themeShade="BF"/>
          <w:sz w:val="22"/>
          <w:szCs w:val="22"/>
          <w:lang w:val="en-GB"/>
        </w:rPr>
      </w:pPr>
      <w:r w:rsidRPr="00834706">
        <w:rPr>
          <w:rFonts w:ascii="Arial" w:hAnsi="Arial" w:cs="Arial"/>
          <w:b/>
          <w:color w:val="7B7B7B" w:themeColor="accent3" w:themeShade="BF"/>
          <w:sz w:val="22"/>
          <w:szCs w:val="22"/>
          <w:lang w:val="en-GB"/>
        </w:rPr>
        <w:t>Commencement date of bankruptcy</w:t>
      </w:r>
      <w:r>
        <w:rPr>
          <w:rFonts w:ascii="Arial" w:hAnsi="Arial" w:cs="Arial"/>
          <w:b/>
          <w:color w:val="7B7B7B" w:themeColor="accent3" w:themeShade="BF"/>
          <w:sz w:val="22"/>
          <w:szCs w:val="22"/>
          <w:lang w:val="en-GB"/>
        </w:rPr>
        <w:t>(</w:t>
      </w:r>
      <w:proofErr w:type="spellStart"/>
      <w:r>
        <w:rPr>
          <w:rFonts w:ascii="Arial" w:hAnsi="Arial" w:cs="Arial"/>
          <w:b/>
          <w:color w:val="7B7B7B" w:themeColor="accent3" w:themeShade="BF"/>
          <w:sz w:val="22"/>
          <w:szCs w:val="22"/>
          <w:lang w:val="en-GB"/>
        </w:rPr>
        <w:t>DoCB</w:t>
      </w:r>
      <w:proofErr w:type="spellEnd"/>
      <w:r>
        <w:rPr>
          <w:rFonts w:ascii="Arial" w:hAnsi="Arial" w:cs="Arial"/>
          <w:b/>
          <w:color w:val="7B7B7B" w:themeColor="accent3" w:themeShade="BF"/>
          <w:sz w:val="22"/>
          <w:szCs w:val="22"/>
          <w:lang w:val="en-GB"/>
        </w:rPr>
        <w:t>)</w:t>
      </w:r>
      <w:r>
        <w:rPr>
          <w:rFonts w:ascii="Arial" w:hAnsi="Arial" w:cs="Arial"/>
          <w:color w:val="7B7B7B" w:themeColor="accent3" w:themeShade="BF"/>
          <w:sz w:val="22"/>
          <w:szCs w:val="22"/>
          <w:lang w:val="en-GB"/>
        </w:rPr>
        <w:t xml:space="preserve">      For Involuntary bankruptcy, the </w:t>
      </w:r>
      <w:proofErr w:type="spellStart"/>
      <w:r>
        <w:rPr>
          <w:rFonts w:ascii="Arial" w:hAnsi="Arial" w:cs="Arial"/>
          <w:color w:val="7B7B7B" w:themeColor="accent3" w:themeShade="BF"/>
          <w:sz w:val="22"/>
          <w:szCs w:val="22"/>
          <w:lang w:val="en-GB"/>
        </w:rPr>
        <w:t>DoCB</w:t>
      </w:r>
      <w:proofErr w:type="spellEnd"/>
      <w:r>
        <w:rPr>
          <w:rFonts w:ascii="Arial" w:hAnsi="Arial" w:cs="Arial"/>
          <w:color w:val="7B7B7B" w:themeColor="accent3" w:themeShade="BF"/>
          <w:sz w:val="22"/>
          <w:szCs w:val="22"/>
          <w:lang w:val="en-GB"/>
        </w:rPr>
        <w:t xml:space="preserve"> will be the date of filing of Creditors’ petition . For voluntary Bankruptcy, </w:t>
      </w:r>
      <w:proofErr w:type="spellStart"/>
      <w:r>
        <w:rPr>
          <w:rFonts w:ascii="Arial" w:hAnsi="Arial" w:cs="Arial"/>
          <w:color w:val="7B7B7B" w:themeColor="accent3" w:themeShade="BF"/>
          <w:sz w:val="22"/>
          <w:szCs w:val="22"/>
          <w:lang w:val="en-GB"/>
        </w:rPr>
        <w:t>tDoCB</w:t>
      </w:r>
      <w:proofErr w:type="spellEnd"/>
      <w:r>
        <w:rPr>
          <w:rFonts w:ascii="Arial" w:hAnsi="Arial" w:cs="Arial"/>
          <w:color w:val="7B7B7B" w:themeColor="accent3" w:themeShade="BF"/>
          <w:sz w:val="22"/>
          <w:szCs w:val="22"/>
          <w:lang w:val="en-GB"/>
        </w:rPr>
        <w:t xml:space="preserve"> would fall on the date of filing of Debtors’ petition , though, in some circumstances of a creditor or creditors having already filed a petition , it could fall on an earlier date.</w:t>
      </w:r>
    </w:p>
    <w:p w14:paraId="5A20C2D3" w14:textId="77777777" w:rsidR="00162DB1" w:rsidRDefault="00162DB1" w:rsidP="002A37BB">
      <w:pPr>
        <w:ind w:left="720" w:hanging="720"/>
        <w:jc w:val="both"/>
        <w:rPr>
          <w:rFonts w:ascii="Arial" w:hAnsi="Arial" w:cs="Arial"/>
          <w:color w:val="7B7B7B" w:themeColor="accent3" w:themeShade="BF"/>
          <w:sz w:val="22"/>
          <w:szCs w:val="22"/>
          <w:lang w:val="en-GB"/>
        </w:rPr>
      </w:pPr>
    </w:p>
    <w:p w14:paraId="3B6C46D6" w14:textId="3B353A20" w:rsidR="00834706" w:rsidRPr="00AF6C81" w:rsidRDefault="00834706" w:rsidP="002A37BB">
      <w:pPr>
        <w:ind w:left="720" w:hanging="720"/>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The three typ</w:t>
      </w:r>
      <w:r w:rsidR="0010005B">
        <w:rPr>
          <w:rFonts w:ascii="Arial" w:hAnsi="Arial" w:cs="Arial"/>
          <w:b/>
          <w:color w:val="7B7B7B" w:themeColor="accent3" w:themeShade="BF"/>
          <w:sz w:val="22"/>
          <w:szCs w:val="22"/>
          <w:lang w:val="en-GB"/>
        </w:rPr>
        <w:t xml:space="preserve">es of voidable transactions may be tabulated </w:t>
      </w:r>
      <w:r>
        <w:rPr>
          <w:rFonts w:ascii="Arial" w:hAnsi="Arial" w:cs="Arial"/>
          <w:b/>
          <w:color w:val="7B7B7B" w:themeColor="accent3" w:themeShade="BF"/>
          <w:sz w:val="22"/>
          <w:szCs w:val="22"/>
          <w:lang w:val="en-GB"/>
        </w:rPr>
        <w:t>as follows:</w:t>
      </w:r>
    </w:p>
    <w:p w14:paraId="3E4FC360" w14:textId="77777777" w:rsidR="00CF7B4B" w:rsidRDefault="00CF7B4B" w:rsidP="002A37BB">
      <w:pPr>
        <w:ind w:left="720" w:hanging="720"/>
        <w:jc w:val="both"/>
        <w:rPr>
          <w:rFonts w:ascii="Arial" w:hAnsi="Arial" w:cs="Arial"/>
          <w:b/>
          <w:color w:val="7B7B7B" w:themeColor="accent3" w:themeShade="BF"/>
          <w:sz w:val="22"/>
          <w:szCs w:val="22"/>
          <w:lang w:val="en-GB"/>
        </w:rPr>
      </w:pPr>
    </w:p>
    <w:p w14:paraId="15071152" w14:textId="7CFA65AA" w:rsidR="00CF7B4B" w:rsidRDefault="00AF6C81" w:rsidP="002A37BB">
      <w:pPr>
        <w:ind w:left="720" w:hanging="720"/>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 xml:space="preserve">( </w:t>
      </w:r>
      <w:r>
        <w:rPr>
          <w:rFonts w:ascii="Arial" w:hAnsi="Arial" w:cs="Arial"/>
          <w:color w:val="7B7B7B" w:themeColor="accent3" w:themeShade="BF"/>
          <w:sz w:val="22"/>
          <w:szCs w:val="22"/>
          <w:lang w:val="en-GB"/>
        </w:rPr>
        <w:t>No transactions are voidable or reversible if they are carried out before the date of bankruptcy and are transacted in good faith , in the ordinary course of business, for market value and where the counterparty has no notice of any petition for bankruptcy filed against the debtor.)</w:t>
      </w:r>
    </w:p>
    <w:p w14:paraId="35DEF56A" w14:textId="77777777" w:rsidR="00162DB1" w:rsidRDefault="00162DB1" w:rsidP="002A37BB">
      <w:pPr>
        <w:ind w:left="720" w:hanging="720"/>
        <w:jc w:val="both"/>
        <w:rPr>
          <w:rFonts w:ascii="Arial" w:hAnsi="Arial" w:cs="Arial"/>
          <w:color w:val="7B7B7B" w:themeColor="accent3" w:themeShade="BF"/>
          <w:sz w:val="22"/>
          <w:szCs w:val="22"/>
          <w:lang w:val="en-GB"/>
        </w:rPr>
      </w:pPr>
    </w:p>
    <w:p w14:paraId="31028FB0" w14:textId="52DAED01" w:rsidR="00CF7B4B" w:rsidRDefault="00AF6C81" w:rsidP="002A37BB">
      <w:pPr>
        <w:ind w:left="720" w:hanging="720"/>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W</w:t>
      </w:r>
      <w:r>
        <w:rPr>
          <w:rFonts w:ascii="Arial" w:hAnsi="Arial" w:cs="Arial"/>
          <w:color w:val="7B7B7B" w:themeColor="accent3" w:themeShade="BF"/>
          <w:sz w:val="22"/>
          <w:szCs w:val="22"/>
          <w:lang w:val="en-GB"/>
        </w:rPr>
        <w:t>here  voidable transactions are reversible and the circumstances in which they survive without being reversed are set out below:</w:t>
      </w:r>
    </w:p>
    <w:p w14:paraId="4579B867" w14:textId="77777777" w:rsidR="00162DB1" w:rsidRDefault="00162DB1" w:rsidP="002A37BB">
      <w:pPr>
        <w:ind w:left="720" w:hanging="720"/>
        <w:jc w:val="both"/>
        <w:rPr>
          <w:rFonts w:ascii="Arial" w:hAnsi="Arial" w:cs="Arial"/>
          <w:color w:val="7B7B7B" w:themeColor="accent3" w:themeShade="BF"/>
          <w:sz w:val="22"/>
          <w:szCs w:val="22"/>
          <w:lang w:val="en-GB"/>
        </w:rPr>
      </w:pPr>
    </w:p>
    <w:p w14:paraId="69A4198A" w14:textId="77777777" w:rsidR="00162DB1" w:rsidRDefault="00162DB1" w:rsidP="002A37BB">
      <w:pPr>
        <w:ind w:left="720" w:hanging="720"/>
        <w:jc w:val="both"/>
        <w:rPr>
          <w:rFonts w:ascii="Arial" w:hAnsi="Arial" w:cs="Arial"/>
          <w:color w:val="7B7B7B" w:themeColor="accent3" w:themeShade="BF"/>
          <w:sz w:val="22"/>
          <w:szCs w:val="22"/>
          <w:lang w:val="en-GB"/>
        </w:rPr>
      </w:pPr>
    </w:p>
    <w:p w14:paraId="57749FF8" w14:textId="77777777" w:rsidR="00162DB1" w:rsidRDefault="00162DB1" w:rsidP="002A37BB">
      <w:pPr>
        <w:ind w:left="720" w:hanging="720"/>
        <w:jc w:val="both"/>
        <w:rPr>
          <w:rFonts w:ascii="Arial" w:hAnsi="Arial" w:cs="Arial"/>
          <w:color w:val="7B7B7B" w:themeColor="accent3" w:themeShade="BF"/>
          <w:sz w:val="22"/>
          <w:szCs w:val="22"/>
          <w:lang w:val="en-GB"/>
        </w:rPr>
      </w:pPr>
    </w:p>
    <w:p w14:paraId="3029C8F5" w14:textId="77777777" w:rsidR="00162DB1" w:rsidRDefault="00162DB1" w:rsidP="002A37BB">
      <w:pPr>
        <w:ind w:left="720" w:hanging="720"/>
        <w:jc w:val="both"/>
        <w:rPr>
          <w:rFonts w:ascii="Arial" w:hAnsi="Arial" w:cs="Arial"/>
          <w:color w:val="7B7B7B" w:themeColor="accent3" w:themeShade="BF"/>
          <w:sz w:val="22"/>
          <w:szCs w:val="22"/>
          <w:lang w:val="en-GB"/>
        </w:rPr>
      </w:pPr>
    </w:p>
    <w:p w14:paraId="4E0F2D01" w14:textId="77777777" w:rsidR="00162DB1" w:rsidRDefault="00162DB1" w:rsidP="002A37BB">
      <w:pPr>
        <w:ind w:left="720" w:hanging="720"/>
        <w:jc w:val="both"/>
        <w:rPr>
          <w:rFonts w:ascii="Arial" w:hAnsi="Arial" w:cs="Arial"/>
          <w:color w:val="7B7B7B" w:themeColor="accent3" w:themeShade="BF"/>
          <w:sz w:val="22"/>
          <w:szCs w:val="22"/>
          <w:lang w:val="en-GB"/>
        </w:rPr>
      </w:pPr>
    </w:p>
    <w:p w14:paraId="373E5C93" w14:textId="77777777" w:rsidR="00162DB1" w:rsidRDefault="00162DB1" w:rsidP="002A37BB">
      <w:pPr>
        <w:ind w:left="720" w:hanging="720"/>
        <w:jc w:val="both"/>
        <w:rPr>
          <w:rFonts w:ascii="Arial" w:hAnsi="Arial" w:cs="Arial"/>
          <w:color w:val="7B7B7B" w:themeColor="accent3" w:themeShade="BF"/>
          <w:sz w:val="22"/>
          <w:szCs w:val="22"/>
          <w:lang w:val="en-GB"/>
        </w:rPr>
      </w:pPr>
    </w:p>
    <w:p w14:paraId="6E724BBE" w14:textId="77777777" w:rsidR="00162DB1" w:rsidRDefault="00162DB1" w:rsidP="002A37BB">
      <w:pPr>
        <w:ind w:left="720" w:hanging="720"/>
        <w:jc w:val="both"/>
        <w:rPr>
          <w:rFonts w:ascii="Arial" w:hAnsi="Arial" w:cs="Arial"/>
          <w:color w:val="7B7B7B" w:themeColor="accent3" w:themeShade="BF"/>
          <w:sz w:val="22"/>
          <w:szCs w:val="22"/>
          <w:lang w:val="en-GB"/>
        </w:rPr>
      </w:pPr>
    </w:p>
    <w:p w14:paraId="31D097C8" w14:textId="77777777" w:rsidR="00162DB1" w:rsidRPr="00AF6C81" w:rsidRDefault="00162DB1" w:rsidP="002A37BB">
      <w:pPr>
        <w:ind w:left="720" w:hanging="720"/>
        <w:jc w:val="both"/>
        <w:rPr>
          <w:rFonts w:ascii="Arial" w:hAnsi="Arial" w:cs="Arial"/>
          <w:color w:val="7B7B7B" w:themeColor="accent3" w:themeShade="BF"/>
          <w:sz w:val="22"/>
          <w:szCs w:val="22"/>
          <w:lang w:val="en-GB"/>
        </w:rPr>
      </w:pPr>
    </w:p>
    <w:p w14:paraId="4A4F1C4B" w14:textId="77777777" w:rsidR="00CF7B4B" w:rsidRDefault="00CF7B4B" w:rsidP="002A37BB">
      <w:pPr>
        <w:ind w:left="720" w:hanging="720"/>
        <w:jc w:val="both"/>
        <w:rPr>
          <w:rFonts w:ascii="Arial" w:hAnsi="Arial" w:cs="Arial"/>
          <w:b/>
          <w:color w:val="7B7B7B" w:themeColor="accent3" w:themeShade="BF"/>
          <w:sz w:val="22"/>
          <w:szCs w:val="22"/>
          <w:lang w:val="en-GB"/>
        </w:rPr>
      </w:pPr>
    </w:p>
    <w:tbl>
      <w:tblPr>
        <w:tblStyle w:val="TableGrid"/>
        <w:tblW w:w="0" w:type="auto"/>
        <w:tblInd w:w="720" w:type="dxa"/>
        <w:tblLook w:val="04A0" w:firstRow="1" w:lastRow="0" w:firstColumn="1" w:lastColumn="0" w:noHBand="0" w:noVBand="1"/>
      </w:tblPr>
      <w:tblGrid>
        <w:gridCol w:w="510"/>
        <w:gridCol w:w="4003"/>
        <w:gridCol w:w="1293"/>
        <w:gridCol w:w="2490"/>
      </w:tblGrid>
      <w:tr w:rsidR="003D0C3B" w14:paraId="6ECD1310" w14:textId="77777777" w:rsidTr="0010005B">
        <w:tc>
          <w:tcPr>
            <w:tcW w:w="268" w:type="dxa"/>
          </w:tcPr>
          <w:p w14:paraId="501FBA88" w14:textId="12052CA4" w:rsidR="0010005B" w:rsidRPr="0010005B" w:rsidRDefault="0010005B" w:rsidP="002A37BB">
            <w:pPr>
              <w:jc w:val="both"/>
              <w:rPr>
                <w:rFonts w:ascii="Arial" w:hAnsi="Arial" w:cs="Arial"/>
                <w:b/>
                <w:color w:val="7B7B7B" w:themeColor="accent3" w:themeShade="BF"/>
                <w:sz w:val="22"/>
                <w:szCs w:val="22"/>
                <w:lang w:val="en-GB"/>
              </w:rPr>
            </w:pPr>
            <w:r w:rsidRPr="0010005B">
              <w:rPr>
                <w:rFonts w:ascii="Arial" w:hAnsi="Arial" w:cs="Arial"/>
                <w:b/>
                <w:color w:val="7B7B7B" w:themeColor="accent3" w:themeShade="BF"/>
                <w:sz w:val="22"/>
                <w:szCs w:val="22"/>
                <w:lang w:val="en-GB"/>
              </w:rPr>
              <w:lastRenderedPageBreak/>
              <w:t>S No</w:t>
            </w:r>
          </w:p>
        </w:tc>
        <w:tc>
          <w:tcPr>
            <w:tcW w:w="4252" w:type="dxa"/>
          </w:tcPr>
          <w:p w14:paraId="6C43E3DF" w14:textId="722BB937" w:rsidR="0010005B" w:rsidRPr="0010005B" w:rsidRDefault="0010005B" w:rsidP="002A37BB">
            <w:pPr>
              <w:jc w:val="both"/>
              <w:rPr>
                <w:rFonts w:ascii="Arial" w:hAnsi="Arial" w:cs="Arial"/>
                <w:b/>
                <w:color w:val="7B7B7B" w:themeColor="accent3" w:themeShade="BF"/>
                <w:sz w:val="22"/>
                <w:szCs w:val="22"/>
                <w:lang w:val="en-GB"/>
              </w:rPr>
            </w:pPr>
            <w:r w:rsidRPr="0010005B">
              <w:rPr>
                <w:rFonts w:ascii="Arial" w:hAnsi="Arial" w:cs="Arial"/>
                <w:b/>
                <w:color w:val="7B7B7B" w:themeColor="accent3" w:themeShade="BF"/>
                <w:sz w:val="22"/>
                <w:szCs w:val="22"/>
                <w:lang w:val="en-GB"/>
              </w:rPr>
              <w:t>Voidable Transaction (TXN) Particulars</w:t>
            </w:r>
          </w:p>
        </w:tc>
        <w:tc>
          <w:tcPr>
            <w:tcW w:w="1134" w:type="dxa"/>
          </w:tcPr>
          <w:p w14:paraId="0389D482" w14:textId="71875AE7" w:rsidR="0010005B" w:rsidRPr="0010005B" w:rsidRDefault="0010005B" w:rsidP="002A37BB">
            <w:pPr>
              <w:jc w:val="both"/>
              <w:rPr>
                <w:rFonts w:ascii="Arial" w:hAnsi="Arial" w:cs="Arial"/>
                <w:b/>
                <w:color w:val="7B7B7B" w:themeColor="accent3" w:themeShade="BF"/>
                <w:sz w:val="22"/>
                <w:szCs w:val="22"/>
                <w:lang w:val="en-GB"/>
              </w:rPr>
            </w:pPr>
            <w:r w:rsidRPr="0010005B">
              <w:rPr>
                <w:rFonts w:ascii="Arial" w:hAnsi="Arial" w:cs="Arial"/>
                <w:b/>
                <w:color w:val="7B7B7B" w:themeColor="accent3" w:themeShade="BF"/>
                <w:sz w:val="22"/>
                <w:szCs w:val="22"/>
                <w:lang w:val="en-GB"/>
              </w:rPr>
              <w:t>Relation-Back Period for which TXN reversal can be sought</w:t>
            </w:r>
          </w:p>
        </w:tc>
        <w:tc>
          <w:tcPr>
            <w:tcW w:w="2642" w:type="dxa"/>
          </w:tcPr>
          <w:p w14:paraId="59AA2151" w14:textId="723E52CB" w:rsidR="0010005B" w:rsidRPr="0010005B" w:rsidRDefault="0010005B" w:rsidP="002A37BB">
            <w:pPr>
              <w:jc w:val="both"/>
              <w:rPr>
                <w:rFonts w:ascii="Arial" w:hAnsi="Arial" w:cs="Arial"/>
                <w:b/>
                <w:color w:val="7B7B7B" w:themeColor="accent3" w:themeShade="BF"/>
                <w:sz w:val="22"/>
                <w:szCs w:val="22"/>
                <w:lang w:val="en-GB"/>
              </w:rPr>
            </w:pPr>
            <w:r w:rsidRPr="0010005B">
              <w:rPr>
                <w:rFonts w:ascii="Arial" w:hAnsi="Arial" w:cs="Arial"/>
                <w:b/>
                <w:color w:val="7B7B7B" w:themeColor="accent3" w:themeShade="BF"/>
                <w:sz w:val="22"/>
                <w:szCs w:val="22"/>
                <w:lang w:val="en-GB"/>
              </w:rPr>
              <w:t>Circumstances in which TXN is not reversible</w:t>
            </w:r>
          </w:p>
        </w:tc>
      </w:tr>
      <w:tr w:rsidR="003D0C3B" w14:paraId="76A66830" w14:textId="77777777" w:rsidTr="0010005B">
        <w:tc>
          <w:tcPr>
            <w:tcW w:w="268" w:type="dxa"/>
          </w:tcPr>
          <w:p w14:paraId="4C614991" w14:textId="5BFB2FA7" w:rsidR="0010005B" w:rsidRDefault="0010005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p>
        </w:tc>
        <w:tc>
          <w:tcPr>
            <w:tcW w:w="4252" w:type="dxa"/>
          </w:tcPr>
          <w:p w14:paraId="4B502A26" w14:textId="4AA994B6" w:rsidR="0010005B" w:rsidRDefault="0010005B" w:rsidP="002A37BB">
            <w:pPr>
              <w:jc w:val="both"/>
              <w:rPr>
                <w:rFonts w:ascii="Arial" w:hAnsi="Arial" w:cs="Arial"/>
                <w:color w:val="7B7B7B" w:themeColor="accent3" w:themeShade="BF"/>
                <w:sz w:val="22"/>
                <w:szCs w:val="22"/>
                <w:lang w:val="en-GB"/>
              </w:rPr>
            </w:pPr>
            <w:r w:rsidRPr="00AF6C81">
              <w:rPr>
                <w:rFonts w:ascii="Arial" w:hAnsi="Arial" w:cs="Arial"/>
                <w:b/>
                <w:color w:val="7B7B7B" w:themeColor="accent3" w:themeShade="BF"/>
                <w:sz w:val="22"/>
                <w:szCs w:val="22"/>
                <w:lang w:val="en-GB"/>
              </w:rPr>
              <w:t>Undervalued Transactions</w:t>
            </w:r>
            <w:r>
              <w:rPr>
                <w:rFonts w:ascii="Arial" w:hAnsi="Arial" w:cs="Arial"/>
                <w:color w:val="7B7B7B" w:themeColor="accent3" w:themeShade="BF"/>
                <w:sz w:val="22"/>
                <w:szCs w:val="22"/>
                <w:lang w:val="en-GB"/>
              </w:rPr>
              <w:t xml:space="preserve"> </w:t>
            </w:r>
            <w:r w:rsidR="00CF7B4B">
              <w:rPr>
                <w:rFonts w:ascii="Arial" w:hAnsi="Arial" w:cs="Arial"/>
                <w:color w:val="7B7B7B" w:themeColor="accent3" w:themeShade="BF"/>
                <w:sz w:val="22"/>
                <w:szCs w:val="22"/>
                <w:lang w:val="en-GB"/>
              </w:rPr>
              <w:t>where property is transferred by the debtor to another for either no consideration or for consideration less than market value</w:t>
            </w:r>
          </w:p>
        </w:tc>
        <w:tc>
          <w:tcPr>
            <w:tcW w:w="1134" w:type="dxa"/>
          </w:tcPr>
          <w:p w14:paraId="5D6DD1EA" w14:textId="5E7F43EC" w:rsidR="0010005B" w:rsidRDefault="00CF7B4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5-year period before </w:t>
            </w:r>
            <w:proofErr w:type="spellStart"/>
            <w:r>
              <w:rPr>
                <w:rFonts w:ascii="Arial" w:hAnsi="Arial" w:cs="Arial"/>
                <w:color w:val="7B7B7B" w:themeColor="accent3" w:themeShade="BF"/>
                <w:sz w:val="22"/>
                <w:szCs w:val="22"/>
                <w:lang w:val="en-GB"/>
              </w:rPr>
              <w:t>DoCB</w:t>
            </w:r>
            <w:proofErr w:type="spellEnd"/>
          </w:p>
        </w:tc>
        <w:tc>
          <w:tcPr>
            <w:tcW w:w="2642" w:type="dxa"/>
          </w:tcPr>
          <w:p w14:paraId="591ADD3E" w14:textId="13400FA0" w:rsidR="0010005B" w:rsidRPr="00CF7B4B" w:rsidRDefault="00AF6C81" w:rsidP="00CF7B4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transferee shows that the TXN occurred over 2 years ago (or 4 years ago, if it is  a related party) and at that time, the debtor was solvent</w:t>
            </w:r>
          </w:p>
        </w:tc>
      </w:tr>
      <w:tr w:rsidR="003D0C3B" w14:paraId="5FB1C7C2" w14:textId="77777777" w:rsidTr="0010005B">
        <w:tc>
          <w:tcPr>
            <w:tcW w:w="268" w:type="dxa"/>
          </w:tcPr>
          <w:p w14:paraId="68F80361" w14:textId="1BA4221A" w:rsidR="0010005B" w:rsidRDefault="00AF6C8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p>
        </w:tc>
        <w:tc>
          <w:tcPr>
            <w:tcW w:w="4252" w:type="dxa"/>
          </w:tcPr>
          <w:p w14:paraId="0DA68984" w14:textId="136677DB" w:rsidR="0010005B" w:rsidRPr="003D0C3B" w:rsidRDefault="00AF6C81" w:rsidP="003D0C3B">
            <w:pPr>
              <w:jc w:val="both"/>
              <w:rPr>
                <w:rFonts w:ascii="Arial" w:hAnsi="Arial" w:cs="Arial"/>
                <w:color w:val="7B7B7B" w:themeColor="accent3" w:themeShade="BF"/>
                <w:sz w:val="22"/>
                <w:szCs w:val="22"/>
                <w:lang w:val="en-GB"/>
              </w:rPr>
            </w:pPr>
            <w:r w:rsidRPr="00AF6C81">
              <w:rPr>
                <w:rFonts w:ascii="Arial" w:hAnsi="Arial" w:cs="Arial"/>
                <w:b/>
                <w:color w:val="7B7B7B" w:themeColor="accent3" w:themeShade="BF"/>
                <w:sz w:val="22"/>
                <w:szCs w:val="22"/>
                <w:lang w:val="en-GB"/>
              </w:rPr>
              <w:t>Transfers to defeat creditors</w:t>
            </w:r>
            <w:r>
              <w:rPr>
                <w:rFonts w:ascii="Arial" w:hAnsi="Arial" w:cs="Arial"/>
                <w:b/>
                <w:color w:val="7B7B7B" w:themeColor="accent3" w:themeShade="BF"/>
                <w:sz w:val="22"/>
                <w:szCs w:val="22"/>
                <w:lang w:val="en-GB"/>
              </w:rPr>
              <w:t xml:space="preserve"> . </w:t>
            </w:r>
            <w:proofErr w:type="spellStart"/>
            <w:r>
              <w:rPr>
                <w:rFonts w:ascii="Arial" w:hAnsi="Arial" w:cs="Arial"/>
                <w:b/>
                <w:color w:val="7B7B7B" w:themeColor="accent3" w:themeShade="BF"/>
                <w:sz w:val="22"/>
                <w:szCs w:val="22"/>
                <w:lang w:val="en-GB"/>
              </w:rPr>
              <w:t>Here,</w:t>
            </w:r>
            <w:r>
              <w:rPr>
                <w:rFonts w:ascii="Arial" w:hAnsi="Arial" w:cs="Arial"/>
                <w:color w:val="7B7B7B" w:themeColor="accent3" w:themeShade="BF"/>
                <w:sz w:val="22"/>
                <w:szCs w:val="22"/>
                <w:lang w:val="en-GB"/>
              </w:rPr>
              <w:t>Bankruptcy</w:t>
            </w:r>
            <w:proofErr w:type="spellEnd"/>
            <w:r>
              <w:rPr>
                <w:rFonts w:ascii="Arial" w:hAnsi="Arial" w:cs="Arial"/>
                <w:color w:val="7B7B7B" w:themeColor="accent3" w:themeShade="BF"/>
                <w:sz w:val="22"/>
                <w:szCs w:val="22"/>
                <w:lang w:val="en-GB"/>
              </w:rPr>
              <w:t xml:space="preserve"> Trustee must show that the purpose of a transfer of property was to </w:t>
            </w:r>
            <w:r w:rsidR="003D0C3B">
              <w:rPr>
                <w:rFonts w:ascii="Arial" w:hAnsi="Arial" w:cs="Arial"/>
                <w:color w:val="7B7B7B" w:themeColor="accent3" w:themeShade="BF"/>
                <w:sz w:val="22"/>
                <w:szCs w:val="22"/>
                <w:lang w:val="en-GB"/>
              </w:rPr>
              <w:t xml:space="preserve">prevent, hinder or delay payment to </w:t>
            </w:r>
            <w:r>
              <w:rPr>
                <w:rFonts w:ascii="Arial" w:hAnsi="Arial" w:cs="Arial"/>
                <w:color w:val="7B7B7B" w:themeColor="accent3" w:themeShade="BF"/>
                <w:sz w:val="22"/>
                <w:szCs w:val="22"/>
                <w:lang w:val="en-GB"/>
              </w:rPr>
              <w:t xml:space="preserve"> creditors </w:t>
            </w:r>
            <w:r>
              <w:rPr>
                <w:rFonts w:ascii="Arial" w:hAnsi="Arial" w:cs="Arial"/>
                <w:b/>
                <w:color w:val="7B7B7B" w:themeColor="accent3" w:themeShade="BF"/>
                <w:sz w:val="22"/>
                <w:szCs w:val="22"/>
                <w:lang w:val="en-GB"/>
              </w:rPr>
              <w:t xml:space="preserve"> </w:t>
            </w:r>
            <w:r w:rsidR="003D0C3B">
              <w:rPr>
                <w:rFonts w:ascii="Arial" w:hAnsi="Arial" w:cs="Arial"/>
                <w:b/>
                <w:color w:val="7B7B7B" w:themeColor="accent3" w:themeShade="BF"/>
                <w:sz w:val="22"/>
                <w:szCs w:val="22"/>
                <w:lang w:val="en-GB"/>
              </w:rPr>
              <w:t xml:space="preserve">. </w:t>
            </w:r>
            <w:r w:rsidR="003D0C3B" w:rsidRPr="003D0C3B">
              <w:rPr>
                <w:rFonts w:ascii="Arial" w:hAnsi="Arial" w:cs="Arial"/>
                <w:color w:val="7B7B7B" w:themeColor="accent3" w:themeShade="BF"/>
                <w:sz w:val="22"/>
                <w:szCs w:val="22"/>
                <w:lang w:val="en-GB"/>
              </w:rPr>
              <w:t>Statutory presumption</w:t>
            </w:r>
            <w:r w:rsidR="003D0C3B">
              <w:rPr>
                <w:rFonts w:ascii="Arial" w:hAnsi="Arial" w:cs="Arial"/>
                <w:b/>
                <w:color w:val="7B7B7B" w:themeColor="accent3" w:themeShade="BF"/>
                <w:sz w:val="22"/>
                <w:szCs w:val="22"/>
                <w:lang w:val="en-GB"/>
              </w:rPr>
              <w:t xml:space="preserve"> </w:t>
            </w:r>
            <w:r w:rsidR="003D0C3B" w:rsidRPr="003D0C3B">
              <w:rPr>
                <w:rFonts w:ascii="Arial" w:hAnsi="Arial" w:cs="Arial"/>
                <w:color w:val="7B7B7B" w:themeColor="accent3" w:themeShade="BF"/>
                <w:sz w:val="22"/>
                <w:szCs w:val="22"/>
                <w:lang w:val="en-GB"/>
              </w:rPr>
              <w:t>exists of such</w:t>
            </w:r>
            <w:r w:rsidR="003D0C3B">
              <w:rPr>
                <w:rFonts w:ascii="Arial" w:hAnsi="Arial" w:cs="Arial"/>
                <w:b/>
                <w:color w:val="7B7B7B" w:themeColor="accent3" w:themeShade="BF"/>
                <w:sz w:val="22"/>
                <w:szCs w:val="22"/>
                <w:lang w:val="en-GB"/>
              </w:rPr>
              <w:t xml:space="preserve"> a</w:t>
            </w:r>
            <w:r w:rsidR="003D0C3B">
              <w:rPr>
                <w:rFonts w:ascii="Arial" w:hAnsi="Arial" w:cs="Arial"/>
                <w:color w:val="7B7B7B" w:themeColor="accent3" w:themeShade="BF"/>
                <w:sz w:val="22"/>
                <w:szCs w:val="22"/>
                <w:lang w:val="en-GB"/>
              </w:rPr>
              <w:t xml:space="preserve"> purpose if the debtor was insolvent or about to become insolvent on the date of the impugned transfer </w:t>
            </w:r>
          </w:p>
        </w:tc>
        <w:tc>
          <w:tcPr>
            <w:tcW w:w="1134" w:type="dxa"/>
          </w:tcPr>
          <w:p w14:paraId="48F6484C" w14:textId="561745DE" w:rsidR="0010005B" w:rsidRDefault="003D0C3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specific Relation Back period. Could be at any time prior to bankruptcy</w:t>
            </w:r>
          </w:p>
        </w:tc>
        <w:tc>
          <w:tcPr>
            <w:tcW w:w="2642" w:type="dxa"/>
          </w:tcPr>
          <w:p w14:paraId="2B40600E" w14:textId="38455B80" w:rsidR="0010005B" w:rsidRPr="003D0C3B" w:rsidRDefault="003D0C3B" w:rsidP="003D0C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transferee shows that s(he) paid market value, was unaware of either the purpose of defeating creditors on the debtor’s part or of the insolvency or impending insolvency of the debtor.</w:t>
            </w:r>
          </w:p>
        </w:tc>
      </w:tr>
      <w:tr w:rsidR="003D0C3B" w14:paraId="7273555A" w14:textId="77777777" w:rsidTr="0010005B">
        <w:tc>
          <w:tcPr>
            <w:tcW w:w="268" w:type="dxa"/>
          </w:tcPr>
          <w:p w14:paraId="4249530A" w14:textId="57D41444" w:rsidR="0010005B" w:rsidRDefault="003D0C3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p>
        </w:tc>
        <w:tc>
          <w:tcPr>
            <w:tcW w:w="4252" w:type="dxa"/>
          </w:tcPr>
          <w:p w14:paraId="2A5BB2E4" w14:textId="77777777" w:rsidR="00162DB1" w:rsidRDefault="00162DB1" w:rsidP="002A37BB">
            <w:pPr>
              <w:jc w:val="both"/>
              <w:rPr>
                <w:rFonts w:ascii="Arial" w:hAnsi="Arial" w:cs="Arial"/>
                <w:b/>
                <w:color w:val="7B7B7B" w:themeColor="accent3" w:themeShade="BF"/>
                <w:sz w:val="22"/>
                <w:szCs w:val="22"/>
                <w:lang w:val="en-GB"/>
              </w:rPr>
            </w:pPr>
          </w:p>
          <w:p w14:paraId="12038040" w14:textId="22596B20" w:rsidR="0010005B" w:rsidRPr="003D0C3B" w:rsidRDefault="003D0C3B" w:rsidP="002A37BB">
            <w:pPr>
              <w:jc w:val="both"/>
              <w:rPr>
                <w:rFonts w:ascii="Arial" w:hAnsi="Arial" w:cs="Arial"/>
                <w:b/>
                <w:color w:val="7B7B7B" w:themeColor="accent3" w:themeShade="BF"/>
                <w:sz w:val="22"/>
                <w:szCs w:val="22"/>
                <w:lang w:val="en-GB"/>
              </w:rPr>
            </w:pPr>
            <w:r w:rsidRPr="003D0C3B">
              <w:rPr>
                <w:rFonts w:ascii="Arial" w:hAnsi="Arial" w:cs="Arial"/>
                <w:b/>
                <w:color w:val="7B7B7B" w:themeColor="accent3" w:themeShade="BF"/>
                <w:sz w:val="22"/>
                <w:szCs w:val="22"/>
                <w:lang w:val="en-GB"/>
              </w:rPr>
              <w:t>Preferential Transactions</w:t>
            </w:r>
            <w:r w:rsidRPr="003D0C3B">
              <w:rPr>
                <w:rFonts w:ascii="Arial" w:hAnsi="Arial" w:cs="Arial"/>
                <w:color w:val="7B7B7B" w:themeColor="accent3" w:themeShade="BF"/>
                <w:sz w:val="22"/>
                <w:szCs w:val="22"/>
                <w:lang w:val="en-GB"/>
              </w:rPr>
              <w:t xml:space="preserve"> A transfer</w:t>
            </w:r>
            <w:r>
              <w:rPr>
                <w:rFonts w:ascii="Arial" w:hAnsi="Arial" w:cs="Arial"/>
                <w:b/>
                <w:color w:val="7B7B7B" w:themeColor="accent3" w:themeShade="BF"/>
                <w:sz w:val="22"/>
                <w:szCs w:val="22"/>
                <w:lang w:val="en-GB"/>
              </w:rPr>
              <w:t xml:space="preserve"> </w:t>
            </w:r>
            <w:r w:rsidRPr="003D0C3B">
              <w:rPr>
                <w:rFonts w:ascii="Arial" w:hAnsi="Arial" w:cs="Arial"/>
                <w:color w:val="7B7B7B" w:themeColor="accent3" w:themeShade="BF"/>
                <w:sz w:val="22"/>
                <w:szCs w:val="22"/>
                <w:lang w:val="en-GB"/>
              </w:rPr>
              <w:t>of property from</w:t>
            </w:r>
            <w:r>
              <w:rPr>
                <w:rFonts w:ascii="Arial" w:hAnsi="Arial" w:cs="Arial"/>
                <w:b/>
                <w:color w:val="7B7B7B" w:themeColor="accent3" w:themeShade="BF"/>
                <w:sz w:val="22"/>
                <w:szCs w:val="22"/>
                <w:lang w:val="en-GB"/>
              </w:rPr>
              <w:t xml:space="preserve"> </w:t>
            </w:r>
            <w:r w:rsidRPr="003D0C3B">
              <w:rPr>
                <w:rFonts w:ascii="Arial" w:hAnsi="Arial" w:cs="Arial"/>
                <w:color w:val="7B7B7B" w:themeColor="accent3" w:themeShade="BF"/>
                <w:sz w:val="22"/>
                <w:szCs w:val="22"/>
                <w:lang w:val="en-GB"/>
              </w:rPr>
              <w:t>Debtor to a creditor</w:t>
            </w:r>
            <w:r>
              <w:rPr>
                <w:rFonts w:ascii="Arial" w:hAnsi="Arial" w:cs="Arial"/>
                <w:b/>
                <w:color w:val="7B7B7B" w:themeColor="accent3" w:themeShade="BF"/>
                <w:sz w:val="22"/>
                <w:szCs w:val="22"/>
                <w:lang w:val="en-GB"/>
              </w:rPr>
              <w:t xml:space="preserve"> </w:t>
            </w:r>
            <w:r w:rsidRPr="003D0C3B">
              <w:rPr>
                <w:rFonts w:ascii="Arial" w:hAnsi="Arial" w:cs="Arial"/>
                <w:color w:val="7B7B7B" w:themeColor="accent3" w:themeShade="BF"/>
                <w:sz w:val="22"/>
                <w:szCs w:val="22"/>
                <w:lang w:val="en-GB"/>
              </w:rPr>
              <w:t xml:space="preserve">if </w:t>
            </w:r>
            <w:r>
              <w:rPr>
                <w:rFonts w:ascii="Arial" w:hAnsi="Arial" w:cs="Arial"/>
                <w:color w:val="7B7B7B" w:themeColor="accent3" w:themeShade="BF"/>
                <w:sz w:val="22"/>
                <w:szCs w:val="22"/>
                <w:lang w:val="en-GB"/>
              </w:rPr>
              <w:t>the debtor was insolvent at the time of transfer and the transaction gave a preference/priority/advantage to the benefiting creditor over other creditors.</w:t>
            </w:r>
          </w:p>
        </w:tc>
        <w:tc>
          <w:tcPr>
            <w:tcW w:w="1134" w:type="dxa"/>
          </w:tcPr>
          <w:p w14:paraId="2B5BD405" w14:textId="6D12821A" w:rsidR="0010005B" w:rsidRDefault="0020586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6 months preceding </w:t>
            </w:r>
            <w:proofErr w:type="spellStart"/>
            <w:r>
              <w:rPr>
                <w:rFonts w:ascii="Arial" w:hAnsi="Arial" w:cs="Arial"/>
                <w:color w:val="7B7B7B" w:themeColor="accent3" w:themeShade="BF"/>
                <w:sz w:val="22"/>
                <w:szCs w:val="22"/>
                <w:lang w:val="en-GB"/>
              </w:rPr>
              <w:t>DoCB</w:t>
            </w:r>
            <w:proofErr w:type="spellEnd"/>
          </w:p>
        </w:tc>
        <w:tc>
          <w:tcPr>
            <w:tcW w:w="2642" w:type="dxa"/>
          </w:tcPr>
          <w:p w14:paraId="7CE18334" w14:textId="058A953F" w:rsidR="0010005B" w:rsidRDefault="0020586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creditor shows that TXN was in good faith, in ordinary course of business , and for valuable new consideration.</w:t>
            </w:r>
          </w:p>
        </w:tc>
      </w:tr>
    </w:tbl>
    <w:p w14:paraId="25E3FBBA" w14:textId="43E65AA1" w:rsidR="009B07AD" w:rsidRPr="002A37BB" w:rsidRDefault="00834706"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r w:rsidR="005B3572">
        <w:rPr>
          <w:rFonts w:ascii="Arial" w:hAnsi="Arial" w:cs="Arial"/>
          <w:color w:val="7B7B7B" w:themeColor="accent3" w:themeShade="BF"/>
          <w:sz w:val="22"/>
          <w:szCs w:val="22"/>
          <w:lang w:val="en-GB"/>
        </w:rPr>
        <w:t xml:space="preserve"> </w:t>
      </w:r>
      <w:r w:rsidR="009B07AD" w:rsidRPr="002A37BB">
        <w:rPr>
          <w:rFonts w:ascii="Arial" w:hAnsi="Arial" w:cs="Arial"/>
          <w:color w:val="7B7B7B" w:themeColor="accent3" w:themeShade="BF"/>
          <w:sz w:val="22"/>
          <w:szCs w:val="22"/>
          <w:lang w:val="en-GB"/>
        </w:rPr>
        <w:t>]</w:t>
      </w:r>
    </w:p>
    <w:p w14:paraId="363CC2DF" w14:textId="7A8B0511" w:rsidR="00020557" w:rsidRDefault="00020557" w:rsidP="002A37BB">
      <w:pPr>
        <w:jc w:val="both"/>
        <w:rPr>
          <w:rFonts w:ascii="Arial" w:hAnsi="Arial" w:cs="Arial"/>
          <w:sz w:val="22"/>
          <w:szCs w:val="22"/>
        </w:rPr>
      </w:pPr>
    </w:p>
    <w:p w14:paraId="424E6133" w14:textId="77777777" w:rsidR="004003CF" w:rsidRDefault="004003CF"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377550B8"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w:t>
      </w:r>
      <w:r w:rsidR="00493528">
        <w:rPr>
          <w:rFonts w:ascii="Arial" w:hAnsi="Arial" w:cs="Arial"/>
          <w:color w:val="7B7B7B" w:themeColor="accent3" w:themeShade="BF"/>
          <w:sz w:val="22"/>
          <w:szCs w:val="22"/>
        </w:rPr>
        <w:t xml:space="preserve">Art 20 relates to cases where a foreign proceeding is recognized as a Foreign Main Proceeding (FMP). The Australian Court that recognizes the FMP , in its discretion can order stay and suspension of various actions/enforcement measures in alignment with Bankruptcy Act and Corporations Act. </w:t>
      </w:r>
      <w:r w:rsidR="00F30E74">
        <w:rPr>
          <w:rFonts w:ascii="Arial" w:hAnsi="Arial" w:cs="Arial"/>
          <w:color w:val="7B7B7B" w:themeColor="accent3" w:themeShade="BF"/>
          <w:sz w:val="22"/>
          <w:szCs w:val="22"/>
        </w:rPr>
        <w:t xml:space="preserve"> The Stay could be wider , to include secured creditors , as for Voluntary Administration proceedings under the Corporations Act , or the Stay could be more limited as for Liquidation Proceedings under Corporations Act which extend only to unsecured creditors. (In reality, even the wider stay as for voluntary administration does not entirely freeze the action of secured creditors as they can still within a certain period decide to appoint a Receiver over the head of the Voluntary Administrator).</w:t>
      </w:r>
      <w:r w:rsidR="00493528">
        <w:rPr>
          <w:rFonts w:ascii="Arial" w:hAnsi="Arial" w:cs="Arial"/>
          <w:color w:val="7B7B7B" w:themeColor="accent3" w:themeShade="BF"/>
          <w:sz w:val="22"/>
          <w:szCs w:val="22"/>
        </w:rPr>
        <w:t>The rulings that have come about in A</w:t>
      </w:r>
      <w:r w:rsidR="00F30E74">
        <w:rPr>
          <w:rFonts w:ascii="Arial" w:hAnsi="Arial" w:cs="Arial"/>
          <w:color w:val="7B7B7B" w:themeColor="accent3" w:themeShade="BF"/>
          <w:sz w:val="22"/>
          <w:szCs w:val="22"/>
        </w:rPr>
        <w:t xml:space="preserve">ustralia have laid down that Stay will be granted as appropriate for the type of proceeding that obtains in the </w:t>
      </w:r>
      <w:r w:rsidR="00F30E74">
        <w:rPr>
          <w:rFonts w:ascii="Arial" w:hAnsi="Arial" w:cs="Arial"/>
          <w:color w:val="7B7B7B" w:themeColor="accent3" w:themeShade="BF"/>
          <w:sz w:val="22"/>
          <w:szCs w:val="22"/>
        </w:rPr>
        <w:lastRenderedPageBreak/>
        <w:t>FMP. FMPs which focus on business Rescue are considered suitable for the wider stay as in Voluntary Liquidations. FMPs which are in the nature of liquidation w</w:t>
      </w:r>
      <w:r w:rsidR="00162DB1">
        <w:rPr>
          <w:rFonts w:ascii="Arial" w:hAnsi="Arial" w:cs="Arial"/>
          <w:color w:val="7B7B7B" w:themeColor="accent3" w:themeShade="BF"/>
          <w:sz w:val="22"/>
          <w:szCs w:val="22"/>
        </w:rPr>
        <w:t>ould be granted a stay as appli</w:t>
      </w:r>
      <w:r w:rsidR="00F30E74">
        <w:rPr>
          <w:rFonts w:ascii="Arial" w:hAnsi="Arial" w:cs="Arial"/>
          <w:color w:val="7B7B7B" w:themeColor="accent3" w:themeShade="BF"/>
          <w:sz w:val="22"/>
          <w:szCs w:val="22"/>
        </w:rPr>
        <w:t>es for liquidation in Australia. In the notable case</w:t>
      </w:r>
      <w:r w:rsidR="00272D60">
        <w:rPr>
          <w:rFonts w:ascii="Arial" w:hAnsi="Arial" w:cs="Arial"/>
          <w:color w:val="7B7B7B" w:themeColor="accent3" w:themeShade="BF"/>
          <w:sz w:val="22"/>
          <w:szCs w:val="22"/>
        </w:rPr>
        <w:t>s</w:t>
      </w:r>
      <w:r w:rsidR="00F30E74">
        <w:rPr>
          <w:rFonts w:ascii="Arial" w:hAnsi="Arial" w:cs="Arial"/>
          <w:color w:val="7B7B7B" w:themeColor="accent3" w:themeShade="BF"/>
          <w:sz w:val="22"/>
          <w:szCs w:val="22"/>
        </w:rPr>
        <w:t xml:space="preserve"> of Tai-Soo Suk v Hanjin Shipping Co ltd,</w:t>
      </w:r>
      <w:r w:rsidR="00272D60">
        <w:rPr>
          <w:rFonts w:ascii="Arial" w:hAnsi="Arial" w:cs="Arial"/>
          <w:color w:val="7B7B7B" w:themeColor="accent3" w:themeShade="BF"/>
          <w:sz w:val="22"/>
          <w:szCs w:val="22"/>
        </w:rPr>
        <w:t xml:space="preserve"> and of Rizzo-</w:t>
      </w:r>
      <w:proofErr w:type="spellStart"/>
      <w:r w:rsidR="00272D60">
        <w:rPr>
          <w:rFonts w:ascii="Arial" w:hAnsi="Arial" w:cs="Arial"/>
          <w:color w:val="7B7B7B" w:themeColor="accent3" w:themeShade="BF"/>
          <w:sz w:val="22"/>
          <w:szCs w:val="22"/>
        </w:rPr>
        <w:t>Bottiglieri</w:t>
      </w:r>
      <w:proofErr w:type="spellEnd"/>
      <w:r w:rsidR="00272D60">
        <w:rPr>
          <w:rFonts w:ascii="Arial" w:hAnsi="Arial" w:cs="Arial"/>
          <w:color w:val="7B7B7B" w:themeColor="accent3" w:themeShade="BF"/>
          <w:sz w:val="22"/>
          <w:szCs w:val="22"/>
        </w:rPr>
        <w:t>-</w:t>
      </w:r>
      <w:proofErr w:type="spellStart"/>
      <w:r w:rsidR="00272D60">
        <w:rPr>
          <w:rFonts w:ascii="Arial" w:hAnsi="Arial" w:cs="Arial"/>
          <w:color w:val="7B7B7B" w:themeColor="accent3" w:themeShade="BF"/>
          <w:sz w:val="22"/>
          <w:szCs w:val="22"/>
        </w:rPr>
        <w:t>deCarlini</w:t>
      </w:r>
      <w:proofErr w:type="spellEnd"/>
      <w:r w:rsidR="00272D60">
        <w:rPr>
          <w:rFonts w:ascii="Arial" w:hAnsi="Arial" w:cs="Arial"/>
          <w:color w:val="7B7B7B" w:themeColor="accent3" w:themeShade="BF"/>
          <w:sz w:val="22"/>
          <w:szCs w:val="22"/>
        </w:rPr>
        <w:t xml:space="preserve"> </w:t>
      </w:r>
      <w:proofErr w:type="spellStart"/>
      <w:r w:rsidR="00272D60">
        <w:rPr>
          <w:rFonts w:ascii="Arial" w:hAnsi="Arial" w:cs="Arial"/>
          <w:color w:val="7B7B7B" w:themeColor="accent3" w:themeShade="BF"/>
          <w:sz w:val="22"/>
          <w:szCs w:val="22"/>
        </w:rPr>
        <w:t>Armati</w:t>
      </w:r>
      <w:proofErr w:type="spellEnd"/>
      <w:r w:rsidR="00272D60">
        <w:rPr>
          <w:rFonts w:ascii="Arial" w:hAnsi="Arial" w:cs="Arial"/>
          <w:color w:val="7B7B7B" w:themeColor="accent3" w:themeShade="BF"/>
          <w:sz w:val="22"/>
          <w:szCs w:val="22"/>
        </w:rPr>
        <w:t xml:space="preserve"> (Rizzo) , the Federal Court held that appropriate Stay would be as for liquidation. Even though it was pointed out by Counsel </w:t>
      </w:r>
      <w:r w:rsidR="00F30E74">
        <w:rPr>
          <w:rFonts w:ascii="Arial" w:hAnsi="Arial" w:cs="Arial"/>
          <w:color w:val="7B7B7B" w:themeColor="accent3" w:themeShade="BF"/>
          <w:sz w:val="22"/>
          <w:szCs w:val="22"/>
        </w:rPr>
        <w:t xml:space="preserve"> </w:t>
      </w:r>
      <w:r w:rsidR="00272D60">
        <w:rPr>
          <w:rFonts w:ascii="Arial" w:hAnsi="Arial" w:cs="Arial"/>
          <w:color w:val="7B7B7B" w:themeColor="accent3" w:themeShade="BF"/>
          <w:sz w:val="22"/>
          <w:szCs w:val="22"/>
        </w:rPr>
        <w:t xml:space="preserve">in Rizzo that the FMP in Italy allowed for stay on secured creditors as well, Federal Court determined that Italian </w:t>
      </w:r>
      <w:proofErr w:type="spellStart"/>
      <w:r w:rsidR="00272D60">
        <w:rPr>
          <w:rFonts w:ascii="Arial" w:hAnsi="Arial" w:cs="Arial"/>
          <w:color w:val="7B7B7B" w:themeColor="accent3" w:themeShade="BF"/>
          <w:sz w:val="22"/>
          <w:szCs w:val="22"/>
        </w:rPr>
        <w:t>Fallimento</w:t>
      </w:r>
      <w:proofErr w:type="spellEnd"/>
      <w:r w:rsidR="00272D60">
        <w:rPr>
          <w:rFonts w:ascii="Arial" w:hAnsi="Arial" w:cs="Arial"/>
          <w:color w:val="7B7B7B" w:themeColor="accent3" w:themeShade="BF"/>
          <w:sz w:val="22"/>
          <w:szCs w:val="22"/>
        </w:rPr>
        <w:t xml:space="preserve"> is more akin to a liquidation and this factor weighs in </w:t>
      </w:r>
      <w:proofErr w:type="spellStart"/>
      <w:r w:rsidR="00272D60">
        <w:rPr>
          <w:rFonts w:ascii="Arial" w:hAnsi="Arial" w:cs="Arial"/>
          <w:color w:val="7B7B7B" w:themeColor="accent3" w:themeShade="BF"/>
          <w:sz w:val="22"/>
          <w:szCs w:val="22"/>
        </w:rPr>
        <w:t>favour</w:t>
      </w:r>
      <w:proofErr w:type="spellEnd"/>
      <w:r w:rsidR="00272D60">
        <w:rPr>
          <w:rFonts w:ascii="Arial" w:hAnsi="Arial" w:cs="Arial"/>
          <w:color w:val="7B7B7B" w:themeColor="accent3" w:themeShade="BF"/>
          <w:sz w:val="22"/>
          <w:szCs w:val="22"/>
        </w:rPr>
        <w:t xml:space="preserve"> of a stay of that type.</w:t>
      </w:r>
      <w:r w:rsidRPr="002A37BB">
        <w:rPr>
          <w:rFonts w:ascii="Arial" w:hAnsi="Arial" w:cs="Arial"/>
          <w:color w:val="7B7B7B" w:themeColor="accent3" w:themeShade="BF"/>
          <w:sz w:val="22"/>
          <w:szCs w:val="22"/>
        </w:rPr>
        <w:t>]</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6F19C7BF"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10944DFF"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6D46140A" w14:textId="50E83C5D" w:rsidR="008245BB" w:rsidRDefault="00C72848"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8245BB">
        <w:rPr>
          <w:rFonts w:ascii="Arial" w:hAnsi="Arial" w:cs="Arial"/>
          <w:color w:val="7B7B7B" w:themeColor="accent3" w:themeShade="BF"/>
          <w:sz w:val="22"/>
          <w:szCs w:val="22"/>
          <w:lang w:val="en-GB"/>
        </w:rPr>
        <w:t>Where a debtor has entered into a contract where the counterparty has obtained incorporation of an “ipso Facto” clause envisaging that the counterparty can terminate the contract whe</w:t>
      </w:r>
      <w:r w:rsidR="00162DB1">
        <w:rPr>
          <w:rFonts w:ascii="Arial" w:hAnsi="Arial" w:cs="Arial"/>
          <w:color w:val="7B7B7B" w:themeColor="accent3" w:themeShade="BF"/>
          <w:sz w:val="22"/>
          <w:szCs w:val="22"/>
          <w:lang w:val="en-GB"/>
        </w:rPr>
        <w:t>n the debtor enters insolvency i</w:t>
      </w:r>
      <w:r w:rsidR="008245BB">
        <w:rPr>
          <w:rFonts w:ascii="Arial" w:hAnsi="Arial" w:cs="Arial"/>
          <w:color w:val="7B7B7B" w:themeColor="accent3" w:themeShade="BF"/>
          <w:sz w:val="22"/>
          <w:szCs w:val="22"/>
          <w:lang w:val="en-GB"/>
        </w:rPr>
        <w:t>s an Ipso Facto Clause. Ipso Facto clauses undermine the prospects of continuing the debtor’s business and of selling the debtor on a “going Concern” basis . In liquidation, in</w:t>
      </w:r>
      <w:r w:rsidR="00162DB1">
        <w:rPr>
          <w:rFonts w:ascii="Arial" w:hAnsi="Arial" w:cs="Arial"/>
          <w:color w:val="7B7B7B" w:themeColor="accent3" w:themeShade="BF"/>
          <w:sz w:val="22"/>
          <w:szCs w:val="22"/>
          <w:lang w:val="en-GB"/>
        </w:rPr>
        <w:t xml:space="preserve"> Australia , there is no </w:t>
      </w:r>
      <w:r w:rsidR="008245BB">
        <w:rPr>
          <w:rFonts w:ascii="Arial" w:hAnsi="Arial" w:cs="Arial"/>
          <w:color w:val="7B7B7B" w:themeColor="accent3" w:themeShade="BF"/>
          <w:sz w:val="22"/>
          <w:szCs w:val="22"/>
          <w:lang w:val="en-GB"/>
        </w:rPr>
        <w:t xml:space="preserve">moratorium on ipso facto clauses , with one exception . Since July 2018, there is available in the law, an Ipso Facto moratorium for Voluntary Administration and for Creditor Schemes of Arrangement. Where a Creditors’ Voluntary Liquidation follows a Voluntary Administration or an attempt at a Creditor Scheme of Arrangement or a Deed of Company </w:t>
      </w:r>
      <w:proofErr w:type="spellStart"/>
      <w:r w:rsidR="008245BB">
        <w:rPr>
          <w:rFonts w:ascii="Arial" w:hAnsi="Arial" w:cs="Arial"/>
          <w:color w:val="7B7B7B" w:themeColor="accent3" w:themeShade="BF"/>
          <w:sz w:val="22"/>
          <w:szCs w:val="22"/>
          <w:lang w:val="en-GB"/>
        </w:rPr>
        <w:t>Adinistration</w:t>
      </w:r>
      <w:proofErr w:type="spellEnd"/>
      <w:r w:rsidR="008245BB">
        <w:rPr>
          <w:rFonts w:ascii="Arial" w:hAnsi="Arial" w:cs="Arial"/>
          <w:color w:val="7B7B7B" w:themeColor="accent3" w:themeShade="BF"/>
          <w:sz w:val="22"/>
          <w:szCs w:val="22"/>
          <w:lang w:val="en-GB"/>
        </w:rPr>
        <w:t>, then the Ipso Facto moratorium that was in force during the Voluntary Administration or the Creditor Scheme of Arrangement would continue in the liquidation as well. At that, this is only a moratorium and the Ipso Facto clause is not void as it is in Bankruptcy Act Sec 301.</w:t>
      </w:r>
    </w:p>
    <w:p w14:paraId="78608A9B" w14:textId="77777777" w:rsidR="00162DB1" w:rsidRDefault="00162DB1" w:rsidP="002A37BB">
      <w:pPr>
        <w:ind w:left="720" w:hanging="720"/>
        <w:jc w:val="both"/>
        <w:rPr>
          <w:rFonts w:ascii="Arial" w:hAnsi="Arial" w:cs="Arial"/>
          <w:color w:val="7B7B7B" w:themeColor="accent3" w:themeShade="BF"/>
          <w:sz w:val="22"/>
          <w:szCs w:val="22"/>
          <w:lang w:val="en-GB"/>
        </w:rPr>
      </w:pPr>
    </w:p>
    <w:p w14:paraId="7F80699E" w14:textId="2921C8BD" w:rsidR="00C72848" w:rsidRPr="002A37BB" w:rsidRDefault="008245BB"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It may be said that , in any case, in liquidation in Australia, there is little scope for sale as a going concern and the detriment to that possibility by invoking of ipso fact clauses is, not, by itself so </w:t>
      </w:r>
      <w:r w:rsidR="00162DB1">
        <w:rPr>
          <w:rFonts w:ascii="Arial" w:hAnsi="Arial" w:cs="Arial"/>
          <w:color w:val="7B7B7B" w:themeColor="accent3" w:themeShade="BF"/>
          <w:sz w:val="22"/>
          <w:szCs w:val="22"/>
          <w:lang w:val="en-GB"/>
        </w:rPr>
        <w:t>damaging</w:t>
      </w:r>
      <w:r>
        <w:rPr>
          <w:rFonts w:ascii="Arial" w:hAnsi="Arial" w:cs="Arial"/>
          <w:color w:val="7B7B7B" w:themeColor="accent3" w:themeShade="BF"/>
          <w:sz w:val="22"/>
          <w:szCs w:val="22"/>
          <w:lang w:val="en-GB"/>
        </w:rPr>
        <w:t xml:space="preserve"> . However, ipso facto invocation also freezes in mid-course , the </w:t>
      </w:r>
      <w:r w:rsidR="00FD43F9">
        <w:rPr>
          <w:rFonts w:ascii="Arial" w:hAnsi="Arial" w:cs="Arial"/>
          <w:color w:val="7B7B7B" w:themeColor="accent3" w:themeShade="BF"/>
          <w:sz w:val="22"/>
          <w:szCs w:val="22"/>
          <w:lang w:val="en-GB"/>
        </w:rPr>
        <w:t>completion of ongoing contracts and thus frustrates the generation of full value of certain products. That, effectively shrinks the value of the Liquidation Estate available  for distribution.</w:t>
      </w:r>
      <w:r w:rsidR="00C72848" w:rsidRPr="002A37BB">
        <w:rPr>
          <w:rFonts w:ascii="Arial" w:hAnsi="Arial" w:cs="Arial"/>
          <w:color w:val="7B7B7B" w:themeColor="accent3" w:themeShade="BF"/>
          <w:sz w:val="22"/>
          <w:szCs w:val="22"/>
          <w:lang w:val="en-GB"/>
        </w:rPr>
        <w:t>]</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4662F58A" w14:textId="08469B52" w:rsidR="002476AF" w:rsidRDefault="00FA18CF" w:rsidP="002476AF">
      <w:pPr>
        <w:jc w:val="both"/>
        <w:rPr>
          <w:rFonts w:ascii="Arial" w:hAnsi="Arial" w:cs="Arial"/>
          <w:sz w:val="22"/>
          <w:szCs w:val="22"/>
          <w:lang w:val="en-GB"/>
        </w:rPr>
      </w:pPr>
      <w:r>
        <w:rPr>
          <w:rFonts w:ascii="Arial" w:hAnsi="Arial" w:cs="Arial"/>
          <w:sz w:val="22"/>
          <w:szCs w:val="22"/>
          <w:lang w:val="en-GB"/>
        </w:rPr>
        <w:t>“</w:t>
      </w:r>
      <w:r w:rsidR="002476AF">
        <w:rPr>
          <w:rFonts w:ascii="Arial" w:hAnsi="Arial" w:cs="Arial"/>
          <w:sz w:val="22"/>
          <w:szCs w:val="22"/>
          <w:lang w:val="en-GB"/>
        </w:rPr>
        <w:t>Creditors’ schemes of arrangement are costly and time-consuming and are an ineffective corporate rescue mechanism in Australia.</w:t>
      </w:r>
      <w:r>
        <w:rPr>
          <w:rFonts w:ascii="Arial" w:hAnsi="Arial" w:cs="Arial"/>
          <w:sz w:val="22"/>
          <w:szCs w:val="22"/>
          <w:lang w:val="en-GB"/>
        </w:rPr>
        <w:t>”</w:t>
      </w:r>
    </w:p>
    <w:p w14:paraId="5D728BD1" w14:textId="77777777" w:rsidR="002476AF" w:rsidRDefault="002476AF" w:rsidP="002476AF">
      <w:pPr>
        <w:ind w:left="720" w:hanging="720"/>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1A46DCAF" w14:textId="101EC059" w:rsidR="000F1274"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0F1274">
        <w:rPr>
          <w:rFonts w:ascii="Arial" w:hAnsi="Arial" w:cs="Arial"/>
          <w:color w:val="7B7B7B" w:themeColor="accent3" w:themeShade="BF"/>
          <w:sz w:val="22"/>
          <w:szCs w:val="22"/>
          <w:lang w:val="en-GB"/>
        </w:rPr>
        <w:t>My view is that Creditor Schemes of Arrangement (</w:t>
      </w:r>
      <w:proofErr w:type="spellStart"/>
      <w:r w:rsidR="000F1274">
        <w:rPr>
          <w:rFonts w:ascii="Arial" w:hAnsi="Arial" w:cs="Arial"/>
          <w:color w:val="7B7B7B" w:themeColor="accent3" w:themeShade="BF"/>
          <w:sz w:val="22"/>
          <w:szCs w:val="22"/>
          <w:lang w:val="en-GB"/>
        </w:rPr>
        <w:t>C</w:t>
      </w:r>
      <w:r w:rsidR="000F1274">
        <w:rPr>
          <w:rFonts w:ascii="Arial" w:hAnsi="Arial" w:cs="Arial"/>
          <w:color w:val="7B7B7B" w:themeColor="accent3" w:themeShade="BF"/>
          <w:sz w:val="22"/>
          <w:szCs w:val="22"/>
          <w:vertAlign w:val="superscript"/>
          <w:lang w:val="en-GB"/>
        </w:rPr>
        <w:t>r</w:t>
      </w:r>
      <w:r w:rsidR="000F1274">
        <w:rPr>
          <w:rFonts w:ascii="Arial" w:hAnsi="Arial" w:cs="Arial"/>
          <w:color w:val="7B7B7B" w:themeColor="accent3" w:themeShade="BF"/>
          <w:sz w:val="22"/>
          <w:szCs w:val="22"/>
          <w:lang w:val="en-GB"/>
        </w:rPr>
        <w:t>r</w:t>
      </w:r>
      <w:proofErr w:type="spellEnd"/>
      <w:r w:rsidR="000F1274">
        <w:rPr>
          <w:rFonts w:ascii="Arial" w:hAnsi="Arial" w:cs="Arial"/>
          <w:color w:val="7B7B7B" w:themeColor="accent3" w:themeShade="BF"/>
          <w:sz w:val="22"/>
          <w:szCs w:val="22"/>
          <w:lang w:val="en-GB"/>
        </w:rPr>
        <w:t xml:space="preserve"> SOA)  are meaningful for larger and more complex restructurings and for, less complex, ordinarily encountered restructurings, Deed of Company Arrangement (</w:t>
      </w:r>
      <w:proofErr w:type="spellStart"/>
      <w:r w:rsidR="000F1274">
        <w:rPr>
          <w:rFonts w:ascii="Arial" w:hAnsi="Arial" w:cs="Arial"/>
          <w:color w:val="7B7B7B" w:themeColor="accent3" w:themeShade="BF"/>
          <w:sz w:val="22"/>
          <w:szCs w:val="22"/>
          <w:lang w:val="en-GB"/>
        </w:rPr>
        <w:t>DoCA</w:t>
      </w:r>
      <w:proofErr w:type="spellEnd"/>
      <w:r w:rsidR="000F1274">
        <w:rPr>
          <w:rFonts w:ascii="Arial" w:hAnsi="Arial" w:cs="Arial"/>
          <w:color w:val="7B7B7B" w:themeColor="accent3" w:themeShade="BF"/>
          <w:sz w:val="22"/>
          <w:szCs w:val="22"/>
          <w:lang w:val="en-GB"/>
        </w:rPr>
        <w:t>) is much to be preferred.  The reasons for this are as follows:</w:t>
      </w:r>
    </w:p>
    <w:p w14:paraId="77A304F4" w14:textId="3B37DC8A" w:rsidR="00A05679" w:rsidRPr="00A05679" w:rsidRDefault="000F1274" w:rsidP="000C60BF">
      <w:pPr>
        <w:pStyle w:val="ListParagraph"/>
        <w:numPr>
          <w:ilvl w:val="0"/>
          <w:numId w:val="23"/>
        </w:numPr>
        <w:jc w:val="both"/>
        <w:rPr>
          <w:rFonts w:ascii="Arial" w:hAnsi="Arial" w:cs="Arial"/>
          <w:sz w:val="22"/>
          <w:szCs w:val="22"/>
          <w:lang w:val="en-GB"/>
        </w:rPr>
      </w:pPr>
      <w:proofErr w:type="spellStart"/>
      <w:r w:rsidRPr="00A05679">
        <w:rPr>
          <w:rFonts w:ascii="Arial" w:hAnsi="Arial" w:cs="Arial"/>
          <w:color w:val="7B7B7B" w:themeColor="accent3" w:themeShade="BF"/>
          <w:sz w:val="22"/>
          <w:szCs w:val="22"/>
          <w:lang w:val="en-GB"/>
        </w:rPr>
        <w:t>DoCA</w:t>
      </w:r>
      <w:proofErr w:type="spellEnd"/>
      <w:r w:rsidRPr="00A05679">
        <w:rPr>
          <w:rFonts w:ascii="Arial" w:hAnsi="Arial" w:cs="Arial"/>
          <w:color w:val="7B7B7B" w:themeColor="accent3" w:themeShade="BF"/>
          <w:sz w:val="22"/>
          <w:szCs w:val="22"/>
          <w:lang w:val="en-GB"/>
        </w:rPr>
        <w:t xml:space="preserve"> could be finalised within 2 months whereas </w:t>
      </w:r>
      <w:proofErr w:type="spellStart"/>
      <w:r w:rsidRPr="00A05679">
        <w:rPr>
          <w:rFonts w:ascii="Arial" w:hAnsi="Arial" w:cs="Arial"/>
          <w:color w:val="7B7B7B" w:themeColor="accent3" w:themeShade="BF"/>
          <w:sz w:val="22"/>
          <w:szCs w:val="22"/>
          <w:lang w:val="en-GB"/>
        </w:rPr>
        <w:t>C</w:t>
      </w:r>
      <w:r w:rsidRPr="00A05679">
        <w:rPr>
          <w:rFonts w:ascii="Arial" w:hAnsi="Arial" w:cs="Arial"/>
          <w:color w:val="7B7B7B" w:themeColor="accent3" w:themeShade="BF"/>
          <w:sz w:val="22"/>
          <w:szCs w:val="22"/>
          <w:vertAlign w:val="superscript"/>
          <w:lang w:val="en-GB"/>
        </w:rPr>
        <w:t>r</w:t>
      </w:r>
      <w:r w:rsidRPr="00A05679">
        <w:rPr>
          <w:rFonts w:ascii="Arial" w:hAnsi="Arial" w:cs="Arial"/>
          <w:color w:val="7B7B7B" w:themeColor="accent3" w:themeShade="BF"/>
          <w:sz w:val="22"/>
          <w:szCs w:val="22"/>
          <w:lang w:val="en-GB"/>
        </w:rPr>
        <w:t>rSOA</w:t>
      </w:r>
      <w:proofErr w:type="spellEnd"/>
      <w:r w:rsidRPr="00A05679">
        <w:rPr>
          <w:rFonts w:ascii="Arial" w:hAnsi="Arial" w:cs="Arial"/>
          <w:color w:val="7B7B7B" w:themeColor="accent3" w:themeShade="BF"/>
          <w:sz w:val="22"/>
          <w:szCs w:val="22"/>
          <w:lang w:val="en-GB"/>
        </w:rPr>
        <w:t xml:space="preserve"> can easily take </w:t>
      </w:r>
      <w:proofErr w:type="spellStart"/>
      <w:r w:rsidRPr="00A05679">
        <w:rPr>
          <w:rFonts w:ascii="Arial" w:hAnsi="Arial" w:cs="Arial"/>
          <w:color w:val="7B7B7B" w:themeColor="accent3" w:themeShade="BF"/>
          <w:sz w:val="22"/>
          <w:szCs w:val="22"/>
          <w:lang w:val="en-GB"/>
        </w:rPr>
        <w:t>upto</w:t>
      </w:r>
      <w:proofErr w:type="spellEnd"/>
      <w:r w:rsidRPr="00A05679">
        <w:rPr>
          <w:rFonts w:ascii="Arial" w:hAnsi="Arial" w:cs="Arial"/>
          <w:color w:val="7B7B7B" w:themeColor="accent3" w:themeShade="BF"/>
          <w:sz w:val="22"/>
          <w:szCs w:val="22"/>
          <w:lang w:val="en-GB"/>
        </w:rPr>
        <w:t xml:space="preserve"> 6 months. This is mainly because, </w:t>
      </w:r>
      <w:proofErr w:type="spellStart"/>
      <w:r w:rsidRPr="00A05679">
        <w:rPr>
          <w:rFonts w:ascii="Arial" w:hAnsi="Arial" w:cs="Arial"/>
          <w:color w:val="7B7B7B" w:themeColor="accent3" w:themeShade="BF"/>
          <w:sz w:val="22"/>
          <w:szCs w:val="22"/>
          <w:lang w:val="en-GB"/>
        </w:rPr>
        <w:t>DoCA</w:t>
      </w:r>
      <w:proofErr w:type="spellEnd"/>
      <w:r w:rsidRPr="00A05679">
        <w:rPr>
          <w:rFonts w:ascii="Arial" w:hAnsi="Arial" w:cs="Arial"/>
          <w:color w:val="7B7B7B" w:themeColor="accent3" w:themeShade="BF"/>
          <w:sz w:val="22"/>
          <w:szCs w:val="22"/>
          <w:lang w:val="en-GB"/>
        </w:rPr>
        <w:t xml:space="preserve"> does not require Court intervention, whereas </w:t>
      </w:r>
      <w:proofErr w:type="spellStart"/>
      <w:r w:rsidRPr="00A05679">
        <w:rPr>
          <w:rFonts w:ascii="Arial" w:hAnsi="Arial" w:cs="Arial"/>
          <w:color w:val="7B7B7B" w:themeColor="accent3" w:themeShade="BF"/>
          <w:sz w:val="22"/>
          <w:szCs w:val="22"/>
          <w:lang w:val="en-GB"/>
        </w:rPr>
        <w:t>C</w:t>
      </w:r>
      <w:r w:rsidRPr="00A05679">
        <w:rPr>
          <w:rFonts w:ascii="Arial" w:hAnsi="Arial" w:cs="Arial"/>
          <w:color w:val="7B7B7B" w:themeColor="accent3" w:themeShade="BF"/>
          <w:sz w:val="22"/>
          <w:szCs w:val="22"/>
          <w:vertAlign w:val="superscript"/>
          <w:lang w:val="en-GB"/>
        </w:rPr>
        <w:t>r</w:t>
      </w:r>
      <w:r w:rsidRPr="00A05679">
        <w:rPr>
          <w:rFonts w:ascii="Arial" w:hAnsi="Arial" w:cs="Arial"/>
          <w:color w:val="7B7B7B" w:themeColor="accent3" w:themeShade="BF"/>
          <w:sz w:val="22"/>
          <w:szCs w:val="22"/>
          <w:lang w:val="en-GB"/>
        </w:rPr>
        <w:t>rSOA</w:t>
      </w:r>
      <w:proofErr w:type="spellEnd"/>
      <w:r w:rsidRPr="00A05679">
        <w:rPr>
          <w:rFonts w:ascii="Arial" w:hAnsi="Arial" w:cs="Arial"/>
          <w:color w:val="7B7B7B" w:themeColor="accent3" w:themeShade="BF"/>
          <w:sz w:val="22"/>
          <w:szCs w:val="22"/>
          <w:lang w:val="en-GB"/>
        </w:rPr>
        <w:t xml:space="preserve"> needs Court intervention at two stages, first when Court has to order convening of the First Creditor Meeting and secondly when Court has to approve the </w:t>
      </w:r>
      <w:proofErr w:type="spellStart"/>
      <w:r w:rsidRPr="00A05679">
        <w:rPr>
          <w:rFonts w:ascii="Arial" w:hAnsi="Arial" w:cs="Arial"/>
          <w:color w:val="7B7B7B" w:themeColor="accent3" w:themeShade="BF"/>
          <w:sz w:val="22"/>
          <w:szCs w:val="22"/>
          <w:lang w:val="en-GB"/>
        </w:rPr>
        <w:t>C</w:t>
      </w:r>
      <w:r w:rsidRPr="00A05679">
        <w:rPr>
          <w:rFonts w:ascii="Arial" w:hAnsi="Arial" w:cs="Arial"/>
          <w:color w:val="7B7B7B" w:themeColor="accent3" w:themeShade="BF"/>
          <w:sz w:val="22"/>
          <w:szCs w:val="22"/>
          <w:vertAlign w:val="superscript"/>
          <w:lang w:val="en-GB"/>
        </w:rPr>
        <w:t>r</w:t>
      </w:r>
      <w:r w:rsidRPr="00A05679">
        <w:rPr>
          <w:rFonts w:ascii="Arial" w:hAnsi="Arial" w:cs="Arial"/>
          <w:color w:val="7B7B7B" w:themeColor="accent3" w:themeShade="BF"/>
          <w:sz w:val="22"/>
          <w:szCs w:val="22"/>
          <w:lang w:val="en-GB"/>
        </w:rPr>
        <w:t>rSOA</w:t>
      </w:r>
      <w:proofErr w:type="spellEnd"/>
      <w:r w:rsidRPr="00A05679">
        <w:rPr>
          <w:rFonts w:ascii="Arial" w:hAnsi="Arial" w:cs="Arial"/>
          <w:color w:val="7B7B7B" w:themeColor="accent3" w:themeShade="BF"/>
          <w:sz w:val="22"/>
          <w:szCs w:val="22"/>
          <w:lang w:val="en-GB"/>
        </w:rPr>
        <w:t xml:space="preserve"> </w:t>
      </w:r>
      <w:r w:rsidR="00A05679">
        <w:rPr>
          <w:rFonts w:ascii="Arial" w:hAnsi="Arial" w:cs="Arial"/>
          <w:color w:val="7B7B7B" w:themeColor="accent3" w:themeShade="BF"/>
          <w:sz w:val="22"/>
          <w:szCs w:val="22"/>
          <w:lang w:val="en-GB"/>
        </w:rPr>
        <w:t>after it has been approved by requisite majority of the different classes of creditors.</w:t>
      </w:r>
    </w:p>
    <w:p w14:paraId="255F2FBA" w14:textId="0094648A" w:rsidR="00A05679" w:rsidRPr="005376CE" w:rsidRDefault="000F1274" w:rsidP="000C60BF">
      <w:pPr>
        <w:pStyle w:val="ListParagraph"/>
        <w:numPr>
          <w:ilvl w:val="0"/>
          <w:numId w:val="23"/>
        </w:numPr>
        <w:jc w:val="both"/>
        <w:rPr>
          <w:rFonts w:ascii="Arial" w:hAnsi="Arial" w:cs="Arial"/>
          <w:sz w:val="22"/>
          <w:szCs w:val="22"/>
          <w:lang w:val="en-GB"/>
        </w:rPr>
      </w:pPr>
      <w:r w:rsidRPr="00A05679">
        <w:rPr>
          <w:rFonts w:ascii="Arial" w:hAnsi="Arial" w:cs="Arial"/>
          <w:color w:val="7B7B7B" w:themeColor="accent3" w:themeShade="BF"/>
          <w:sz w:val="22"/>
          <w:szCs w:val="22"/>
          <w:lang w:val="en-GB"/>
        </w:rPr>
        <w:lastRenderedPageBreak/>
        <w:t xml:space="preserve">Both </w:t>
      </w:r>
      <w:proofErr w:type="spellStart"/>
      <w:r w:rsidRPr="00A05679">
        <w:rPr>
          <w:rFonts w:ascii="Arial" w:hAnsi="Arial" w:cs="Arial"/>
          <w:color w:val="7B7B7B" w:themeColor="accent3" w:themeShade="BF"/>
          <w:sz w:val="22"/>
          <w:szCs w:val="22"/>
          <w:lang w:val="en-GB"/>
        </w:rPr>
        <w:t>DoCA</w:t>
      </w:r>
      <w:proofErr w:type="spellEnd"/>
      <w:r w:rsidRPr="00A05679">
        <w:rPr>
          <w:rFonts w:ascii="Arial" w:hAnsi="Arial" w:cs="Arial"/>
          <w:color w:val="7B7B7B" w:themeColor="accent3" w:themeShade="BF"/>
          <w:sz w:val="22"/>
          <w:szCs w:val="22"/>
          <w:lang w:val="en-GB"/>
        </w:rPr>
        <w:t xml:space="preserve"> and </w:t>
      </w:r>
      <w:proofErr w:type="spellStart"/>
      <w:r w:rsidRPr="00A05679">
        <w:rPr>
          <w:rFonts w:ascii="Arial" w:hAnsi="Arial" w:cs="Arial"/>
          <w:color w:val="7B7B7B" w:themeColor="accent3" w:themeShade="BF"/>
          <w:sz w:val="22"/>
          <w:szCs w:val="22"/>
          <w:lang w:val="en-GB"/>
        </w:rPr>
        <w:t>C</w:t>
      </w:r>
      <w:r w:rsidRPr="00A05679">
        <w:rPr>
          <w:rFonts w:ascii="Arial" w:hAnsi="Arial" w:cs="Arial"/>
          <w:color w:val="7B7B7B" w:themeColor="accent3" w:themeShade="BF"/>
          <w:sz w:val="22"/>
          <w:szCs w:val="22"/>
          <w:vertAlign w:val="superscript"/>
          <w:lang w:val="en-GB"/>
        </w:rPr>
        <w:t>r</w:t>
      </w:r>
      <w:r w:rsidRPr="00A05679">
        <w:rPr>
          <w:rFonts w:ascii="Arial" w:hAnsi="Arial" w:cs="Arial"/>
          <w:color w:val="7B7B7B" w:themeColor="accent3" w:themeShade="BF"/>
          <w:sz w:val="22"/>
          <w:szCs w:val="22"/>
          <w:lang w:val="en-GB"/>
        </w:rPr>
        <w:t>rSOA</w:t>
      </w:r>
      <w:proofErr w:type="spellEnd"/>
      <w:r w:rsidRPr="00A05679">
        <w:rPr>
          <w:rFonts w:ascii="Arial" w:hAnsi="Arial" w:cs="Arial"/>
          <w:color w:val="7B7B7B" w:themeColor="accent3" w:themeShade="BF"/>
          <w:sz w:val="22"/>
          <w:szCs w:val="22"/>
          <w:lang w:val="en-GB"/>
        </w:rPr>
        <w:t xml:space="preserve"> require, in practice, the support of the Banks/major financiers. Th</w:t>
      </w:r>
      <w:r w:rsidR="00456562">
        <w:rPr>
          <w:rFonts w:ascii="Arial" w:hAnsi="Arial" w:cs="Arial"/>
          <w:color w:val="7B7B7B" w:themeColor="accent3" w:themeShade="BF"/>
          <w:sz w:val="22"/>
          <w:szCs w:val="22"/>
          <w:lang w:val="en-GB"/>
        </w:rPr>
        <w:t xml:space="preserve">e speed and efficiency of </w:t>
      </w:r>
      <w:proofErr w:type="spellStart"/>
      <w:r w:rsidR="00456562">
        <w:rPr>
          <w:rFonts w:ascii="Arial" w:hAnsi="Arial" w:cs="Arial"/>
          <w:color w:val="7B7B7B" w:themeColor="accent3" w:themeShade="BF"/>
          <w:sz w:val="22"/>
          <w:szCs w:val="22"/>
          <w:lang w:val="en-GB"/>
        </w:rPr>
        <w:t>DoCA</w:t>
      </w:r>
      <w:proofErr w:type="spellEnd"/>
      <w:r w:rsidR="00456562">
        <w:rPr>
          <w:rFonts w:ascii="Arial" w:hAnsi="Arial" w:cs="Arial"/>
          <w:color w:val="7B7B7B" w:themeColor="accent3" w:themeShade="BF"/>
          <w:sz w:val="22"/>
          <w:szCs w:val="22"/>
          <w:lang w:val="en-GB"/>
        </w:rPr>
        <w:t xml:space="preserve"> m</w:t>
      </w:r>
      <w:r w:rsidRPr="00A05679">
        <w:rPr>
          <w:rFonts w:ascii="Arial" w:hAnsi="Arial" w:cs="Arial"/>
          <w:color w:val="7B7B7B" w:themeColor="accent3" w:themeShade="BF"/>
          <w:sz w:val="22"/>
          <w:szCs w:val="22"/>
          <w:lang w:val="en-GB"/>
        </w:rPr>
        <w:t>akes it more attractive to Banks and makes it easier for the company to mobilise this prerequisite support.</w:t>
      </w:r>
    </w:p>
    <w:p w14:paraId="7C7D8015" w14:textId="77777777" w:rsidR="005376CE" w:rsidRPr="00A05679" w:rsidRDefault="005376CE" w:rsidP="005376CE">
      <w:pPr>
        <w:pStyle w:val="ListParagraph"/>
        <w:jc w:val="both"/>
        <w:rPr>
          <w:rFonts w:ascii="Arial" w:hAnsi="Arial" w:cs="Arial"/>
          <w:sz w:val="22"/>
          <w:szCs w:val="22"/>
          <w:lang w:val="en-GB"/>
        </w:rPr>
      </w:pPr>
    </w:p>
    <w:p w14:paraId="69146582" w14:textId="42BD8766" w:rsidR="00A05679" w:rsidRPr="005376CE" w:rsidRDefault="00FB20D9" w:rsidP="000F1274">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While DOCA process can be carried right through </w:t>
      </w:r>
      <w:proofErr w:type="spellStart"/>
      <w:r>
        <w:rPr>
          <w:rFonts w:ascii="Arial" w:hAnsi="Arial" w:cs="Arial"/>
          <w:color w:val="7B7B7B" w:themeColor="accent3" w:themeShade="BF"/>
          <w:sz w:val="22"/>
          <w:szCs w:val="22"/>
          <w:lang w:val="en-GB"/>
        </w:rPr>
        <w:t>upto</w:t>
      </w:r>
      <w:proofErr w:type="spellEnd"/>
      <w:r>
        <w:rPr>
          <w:rFonts w:ascii="Arial" w:hAnsi="Arial" w:cs="Arial"/>
          <w:color w:val="7B7B7B" w:themeColor="accent3" w:themeShade="BF"/>
          <w:sz w:val="22"/>
          <w:szCs w:val="22"/>
          <w:lang w:val="en-GB"/>
        </w:rPr>
        <w:t xml:space="preserve"> implementation, without </w:t>
      </w:r>
      <w:r w:rsidR="00A05679">
        <w:rPr>
          <w:rFonts w:ascii="Arial" w:hAnsi="Arial" w:cs="Arial"/>
          <w:color w:val="7B7B7B" w:themeColor="accent3" w:themeShade="BF"/>
          <w:sz w:val="22"/>
          <w:szCs w:val="22"/>
          <w:lang w:val="en-GB"/>
        </w:rPr>
        <w:t>Court involvement</w:t>
      </w:r>
      <w:r w:rsidR="0045656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there is a carve-out in Corporations Act, and the Administrator can apply to the Court u/s 444F  and obtain an order restraining a dissenting secured </w:t>
      </w:r>
      <w:r w:rsidR="00A05679">
        <w:rPr>
          <w:rFonts w:ascii="Arial" w:hAnsi="Arial" w:cs="Arial"/>
          <w:color w:val="7B7B7B" w:themeColor="accent3" w:themeShade="BF"/>
          <w:sz w:val="22"/>
          <w:szCs w:val="22"/>
          <w:lang w:val="en-GB"/>
        </w:rPr>
        <w:t xml:space="preserve">creditor from enforcing its interest </w:t>
      </w:r>
      <w:r w:rsidR="000F1274" w:rsidRPr="000F1274">
        <w:rPr>
          <w:rFonts w:ascii="Arial" w:hAnsi="Arial" w:cs="Arial"/>
          <w:color w:val="7B7B7B" w:themeColor="accent3" w:themeShade="BF"/>
          <w:sz w:val="22"/>
          <w:szCs w:val="22"/>
          <w:lang w:val="en-GB"/>
        </w:rPr>
        <w:t xml:space="preserve"> </w:t>
      </w:r>
      <w:r w:rsidR="00A05679">
        <w:rPr>
          <w:rFonts w:ascii="Arial" w:hAnsi="Arial" w:cs="Arial"/>
          <w:color w:val="7B7B7B" w:themeColor="accent3" w:themeShade="BF"/>
          <w:sz w:val="22"/>
          <w:szCs w:val="22"/>
          <w:lang w:val="en-GB"/>
        </w:rPr>
        <w:t>and this effectively discourages “holding out” behaviour. It is the closest that Australian insolvency law gets to approaching the “cramdown” provisions of US Bankruptcy Code. The Court cannot do this arbitrarily and has to ensure “</w:t>
      </w:r>
      <w:r>
        <w:rPr>
          <w:rFonts w:ascii="Arial" w:hAnsi="Arial" w:cs="Arial"/>
          <w:color w:val="7B7B7B" w:themeColor="accent3" w:themeShade="BF"/>
          <w:sz w:val="22"/>
          <w:szCs w:val="22"/>
          <w:lang w:val="en-GB"/>
        </w:rPr>
        <w:t>adequate protection</w:t>
      </w:r>
      <w:r w:rsidR="00A05679">
        <w:rPr>
          <w:rFonts w:ascii="Arial" w:hAnsi="Arial" w:cs="Arial"/>
          <w:color w:val="7B7B7B" w:themeColor="accent3" w:themeShade="BF"/>
          <w:sz w:val="22"/>
          <w:szCs w:val="22"/>
          <w:lang w:val="en-GB"/>
        </w:rPr>
        <w:t xml:space="preserve">” for the affected secured </w:t>
      </w:r>
      <w:proofErr w:type="spellStart"/>
      <w:r w:rsidR="00A05679">
        <w:rPr>
          <w:rFonts w:ascii="Arial" w:hAnsi="Arial" w:cs="Arial"/>
          <w:color w:val="7B7B7B" w:themeColor="accent3" w:themeShade="BF"/>
          <w:sz w:val="22"/>
          <w:szCs w:val="22"/>
          <w:lang w:val="en-GB"/>
        </w:rPr>
        <w:t>creditor.This</w:t>
      </w:r>
      <w:proofErr w:type="spellEnd"/>
      <w:r w:rsidR="00A05679">
        <w:rPr>
          <w:rFonts w:ascii="Arial" w:hAnsi="Arial" w:cs="Arial"/>
          <w:color w:val="7B7B7B" w:themeColor="accent3" w:themeShade="BF"/>
          <w:sz w:val="22"/>
          <w:szCs w:val="22"/>
          <w:lang w:val="en-GB"/>
        </w:rPr>
        <w:t xml:space="preserve"> feature also makes it more likely that agreement will be reached and appeals to both the company and to the major lenders to the company.</w:t>
      </w:r>
    </w:p>
    <w:p w14:paraId="3C8EA2BF" w14:textId="77777777" w:rsidR="005376CE" w:rsidRPr="005376CE" w:rsidRDefault="005376CE" w:rsidP="005376CE">
      <w:pPr>
        <w:pStyle w:val="ListParagraph"/>
        <w:rPr>
          <w:rFonts w:ascii="Arial" w:hAnsi="Arial" w:cs="Arial"/>
          <w:sz w:val="22"/>
          <w:szCs w:val="22"/>
          <w:lang w:val="en-GB"/>
        </w:rPr>
      </w:pPr>
    </w:p>
    <w:p w14:paraId="75A7AC6C" w14:textId="77777777" w:rsidR="005376CE" w:rsidRPr="00A05679" w:rsidRDefault="005376CE" w:rsidP="005376CE">
      <w:pPr>
        <w:pStyle w:val="ListParagraph"/>
        <w:jc w:val="both"/>
        <w:rPr>
          <w:rFonts w:ascii="Arial" w:hAnsi="Arial" w:cs="Arial"/>
          <w:sz w:val="22"/>
          <w:szCs w:val="22"/>
          <w:lang w:val="en-GB"/>
        </w:rPr>
      </w:pPr>
    </w:p>
    <w:p w14:paraId="296661BD" w14:textId="77777777" w:rsidR="00944D3D" w:rsidRPr="005376CE" w:rsidRDefault="00A05679" w:rsidP="000F1274">
      <w:pPr>
        <w:pStyle w:val="ListParagraph"/>
        <w:numPr>
          <w:ilvl w:val="0"/>
          <w:numId w:val="23"/>
        </w:numPr>
        <w:jc w:val="both"/>
        <w:rPr>
          <w:rFonts w:ascii="Arial" w:hAnsi="Arial" w:cs="Arial"/>
          <w:sz w:val="22"/>
          <w:szCs w:val="22"/>
          <w:lang w:val="en-GB"/>
        </w:rPr>
      </w:pPr>
      <w:proofErr w:type="spellStart"/>
      <w:r>
        <w:rPr>
          <w:rFonts w:ascii="Arial" w:hAnsi="Arial" w:cs="Arial"/>
          <w:color w:val="7B7B7B" w:themeColor="accent3" w:themeShade="BF"/>
          <w:sz w:val="22"/>
          <w:szCs w:val="22"/>
          <w:lang w:val="en-GB"/>
        </w:rPr>
        <w:t>DoCA</w:t>
      </w:r>
      <w:proofErr w:type="spellEnd"/>
      <w:r>
        <w:rPr>
          <w:rFonts w:ascii="Arial" w:hAnsi="Arial" w:cs="Arial"/>
          <w:color w:val="7B7B7B" w:themeColor="accent3" w:themeShade="BF"/>
          <w:sz w:val="22"/>
          <w:szCs w:val="22"/>
          <w:lang w:val="en-GB"/>
        </w:rPr>
        <w:t xml:space="preserve"> needs to secure approval from a homogenous group of all creditors . The requirement is a simple majority , both in terms of number present and voting and in terms of the % value of claims of those voting in favour as compared to the total value of claims of all those present and voting. In contrast, </w:t>
      </w:r>
      <w:proofErr w:type="spellStart"/>
      <w:r>
        <w:rPr>
          <w:rFonts w:ascii="Arial" w:hAnsi="Arial" w:cs="Arial"/>
          <w:color w:val="7B7B7B" w:themeColor="accent3" w:themeShade="BF"/>
          <w:sz w:val="22"/>
          <w:szCs w:val="22"/>
          <w:lang w:val="en-GB"/>
        </w:rPr>
        <w:t>C</w:t>
      </w:r>
      <w:r>
        <w:rPr>
          <w:rFonts w:ascii="Arial" w:hAnsi="Arial" w:cs="Arial"/>
          <w:color w:val="7B7B7B" w:themeColor="accent3" w:themeShade="BF"/>
          <w:sz w:val="22"/>
          <w:szCs w:val="22"/>
          <w:vertAlign w:val="superscript"/>
          <w:lang w:val="en-GB"/>
        </w:rPr>
        <w:t>r</w:t>
      </w:r>
      <w:r>
        <w:rPr>
          <w:rFonts w:ascii="Arial" w:hAnsi="Arial" w:cs="Arial"/>
          <w:color w:val="7B7B7B" w:themeColor="accent3" w:themeShade="BF"/>
          <w:sz w:val="22"/>
          <w:szCs w:val="22"/>
          <w:lang w:val="en-GB"/>
        </w:rPr>
        <w:t>rSOA</w:t>
      </w:r>
      <w:proofErr w:type="spellEnd"/>
      <w:r>
        <w:rPr>
          <w:rFonts w:ascii="Arial" w:hAnsi="Arial" w:cs="Arial"/>
          <w:color w:val="7B7B7B" w:themeColor="accent3" w:themeShade="BF"/>
          <w:sz w:val="22"/>
          <w:szCs w:val="22"/>
          <w:lang w:val="en-GB"/>
        </w:rPr>
        <w:t xml:space="preserve"> </w:t>
      </w:r>
      <w:r w:rsidR="00944D3D">
        <w:rPr>
          <w:rFonts w:ascii="Arial" w:hAnsi="Arial" w:cs="Arial"/>
          <w:color w:val="7B7B7B" w:themeColor="accent3" w:themeShade="BF"/>
          <w:sz w:val="22"/>
          <w:szCs w:val="22"/>
          <w:lang w:val="en-GB"/>
        </w:rPr>
        <w:t xml:space="preserve">requires voting in separate classes of creditors .50%+ of creditors in each class present and voting and 75%+ in terms of value of claims among those present and voting in each class of creditors need to approve the </w:t>
      </w:r>
      <w:proofErr w:type="spellStart"/>
      <w:r w:rsidR="00944D3D">
        <w:rPr>
          <w:rFonts w:ascii="Arial" w:hAnsi="Arial" w:cs="Arial"/>
          <w:color w:val="7B7B7B" w:themeColor="accent3" w:themeShade="BF"/>
          <w:sz w:val="22"/>
          <w:szCs w:val="22"/>
          <w:lang w:val="en-GB"/>
        </w:rPr>
        <w:t>C</w:t>
      </w:r>
      <w:r w:rsidR="00944D3D">
        <w:rPr>
          <w:rFonts w:ascii="Arial" w:hAnsi="Arial" w:cs="Arial"/>
          <w:color w:val="7B7B7B" w:themeColor="accent3" w:themeShade="BF"/>
          <w:sz w:val="22"/>
          <w:szCs w:val="22"/>
          <w:vertAlign w:val="superscript"/>
          <w:lang w:val="en-GB"/>
        </w:rPr>
        <w:t>r</w:t>
      </w:r>
      <w:r w:rsidR="00944D3D">
        <w:rPr>
          <w:rFonts w:ascii="Arial" w:hAnsi="Arial" w:cs="Arial"/>
          <w:color w:val="7B7B7B" w:themeColor="accent3" w:themeShade="BF"/>
          <w:sz w:val="22"/>
          <w:szCs w:val="22"/>
          <w:lang w:val="en-GB"/>
        </w:rPr>
        <w:t>rSOA</w:t>
      </w:r>
      <w:proofErr w:type="spellEnd"/>
      <w:r w:rsidR="00944D3D">
        <w:rPr>
          <w:rFonts w:ascii="Arial" w:hAnsi="Arial" w:cs="Arial"/>
          <w:color w:val="7B7B7B" w:themeColor="accent3" w:themeShade="BF"/>
          <w:sz w:val="22"/>
          <w:szCs w:val="22"/>
          <w:lang w:val="en-GB"/>
        </w:rPr>
        <w:t xml:space="preserve">. This is more difficult to attain and there is no provision for a cross-class cramdown and, so, even one class of creditors with less support  for the </w:t>
      </w:r>
      <w:proofErr w:type="spellStart"/>
      <w:r w:rsidR="00944D3D">
        <w:rPr>
          <w:rFonts w:ascii="Arial" w:hAnsi="Arial" w:cs="Arial"/>
          <w:color w:val="7B7B7B" w:themeColor="accent3" w:themeShade="BF"/>
          <w:sz w:val="22"/>
          <w:szCs w:val="22"/>
          <w:lang w:val="en-GB"/>
        </w:rPr>
        <w:t>C</w:t>
      </w:r>
      <w:r w:rsidR="00944D3D">
        <w:rPr>
          <w:rFonts w:ascii="Arial" w:hAnsi="Arial" w:cs="Arial"/>
          <w:color w:val="7B7B7B" w:themeColor="accent3" w:themeShade="BF"/>
          <w:sz w:val="22"/>
          <w:szCs w:val="22"/>
          <w:vertAlign w:val="superscript"/>
          <w:lang w:val="en-GB"/>
        </w:rPr>
        <w:t>r</w:t>
      </w:r>
      <w:r w:rsidR="00944D3D">
        <w:rPr>
          <w:rFonts w:ascii="Arial" w:hAnsi="Arial" w:cs="Arial"/>
          <w:color w:val="7B7B7B" w:themeColor="accent3" w:themeShade="BF"/>
          <w:sz w:val="22"/>
          <w:szCs w:val="22"/>
          <w:lang w:val="en-GB"/>
        </w:rPr>
        <w:t>rSOA</w:t>
      </w:r>
      <w:proofErr w:type="spellEnd"/>
      <w:r w:rsidR="00944D3D">
        <w:rPr>
          <w:rFonts w:ascii="Arial" w:hAnsi="Arial" w:cs="Arial"/>
          <w:color w:val="7B7B7B" w:themeColor="accent3" w:themeShade="BF"/>
          <w:sz w:val="22"/>
          <w:szCs w:val="22"/>
          <w:lang w:val="en-GB"/>
        </w:rPr>
        <w:t xml:space="preserve">   </w:t>
      </w:r>
      <w:r w:rsidR="00944D3D" w:rsidRPr="00944D3D">
        <w:rPr>
          <w:rFonts w:ascii="Arial" w:hAnsi="Arial" w:cs="Arial"/>
          <w:color w:val="7B7B7B" w:themeColor="accent3" w:themeShade="BF"/>
          <w:sz w:val="22"/>
          <w:szCs w:val="22"/>
          <w:lang w:val="en-GB"/>
        </w:rPr>
        <w:t>than</w:t>
      </w:r>
      <w:r w:rsidR="00944D3D">
        <w:rPr>
          <w:rFonts w:ascii="Arial" w:hAnsi="Arial" w:cs="Arial"/>
          <w:color w:val="7B7B7B" w:themeColor="accent3" w:themeShade="BF"/>
          <w:sz w:val="22"/>
          <w:szCs w:val="22"/>
          <w:lang w:val="en-GB"/>
        </w:rPr>
        <w:t xml:space="preserve"> the stipulated benchmarks would derail the </w:t>
      </w:r>
      <w:proofErr w:type="spellStart"/>
      <w:r w:rsidR="00944D3D">
        <w:rPr>
          <w:rFonts w:ascii="Arial" w:hAnsi="Arial" w:cs="Arial"/>
          <w:color w:val="7B7B7B" w:themeColor="accent3" w:themeShade="BF"/>
          <w:sz w:val="22"/>
          <w:szCs w:val="22"/>
          <w:lang w:val="en-GB"/>
        </w:rPr>
        <w:t>C</w:t>
      </w:r>
      <w:r w:rsidR="00944D3D">
        <w:rPr>
          <w:rFonts w:ascii="Arial" w:hAnsi="Arial" w:cs="Arial"/>
          <w:color w:val="7B7B7B" w:themeColor="accent3" w:themeShade="BF"/>
          <w:sz w:val="22"/>
          <w:szCs w:val="22"/>
          <w:vertAlign w:val="superscript"/>
          <w:lang w:val="en-GB"/>
        </w:rPr>
        <w:t>r</w:t>
      </w:r>
      <w:r w:rsidR="00944D3D">
        <w:rPr>
          <w:rFonts w:ascii="Arial" w:hAnsi="Arial" w:cs="Arial"/>
          <w:color w:val="7B7B7B" w:themeColor="accent3" w:themeShade="BF"/>
          <w:sz w:val="22"/>
          <w:szCs w:val="22"/>
          <w:lang w:val="en-GB"/>
        </w:rPr>
        <w:t>rSOA</w:t>
      </w:r>
      <w:proofErr w:type="spellEnd"/>
      <w:r w:rsidR="00944D3D">
        <w:rPr>
          <w:rFonts w:ascii="Arial" w:hAnsi="Arial" w:cs="Arial"/>
          <w:color w:val="7B7B7B" w:themeColor="accent3" w:themeShade="BF"/>
          <w:sz w:val="22"/>
          <w:szCs w:val="22"/>
          <w:lang w:val="en-GB"/>
        </w:rPr>
        <w:t xml:space="preserve"> .</w:t>
      </w:r>
    </w:p>
    <w:p w14:paraId="553BF72C" w14:textId="77777777" w:rsidR="005376CE" w:rsidRPr="00944D3D" w:rsidRDefault="005376CE" w:rsidP="005376CE">
      <w:pPr>
        <w:pStyle w:val="ListParagraph"/>
        <w:jc w:val="both"/>
        <w:rPr>
          <w:rFonts w:ascii="Arial" w:hAnsi="Arial" w:cs="Arial"/>
          <w:sz w:val="22"/>
          <w:szCs w:val="22"/>
          <w:lang w:val="en-GB"/>
        </w:rPr>
      </w:pPr>
    </w:p>
    <w:p w14:paraId="32FB582B" w14:textId="730F33AA" w:rsidR="00DF75F8" w:rsidRPr="005376CE" w:rsidRDefault="00944D3D" w:rsidP="000F1274">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That said, there exist advantages for </w:t>
      </w:r>
      <w:proofErr w:type="spellStart"/>
      <w:r>
        <w:rPr>
          <w:rFonts w:ascii="Arial" w:hAnsi="Arial" w:cs="Arial"/>
          <w:color w:val="7B7B7B" w:themeColor="accent3" w:themeShade="BF"/>
          <w:sz w:val="22"/>
          <w:szCs w:val="22"/>
          <w:lang w:val="en-GB"/>
        </w:rPr>
        <w:t>C</w:t>
      </w:r>
      <w:r>
        <w:rPr>
          <w:rFonts w:ascii="Arial" w:hAnsi="Arial" w:cs="Arial"/>
          <w:color w:val="7B7B7B" w:themeColor="accent3" w:themeShade="BF"/>
          <w:sz w:val="22"/>
          <w:szCs w:val="22"/>
          <w:vertAlign w:val="superscript"/>
          <w:lang w:val="en-GB"/>
        </w:rPr>
        <w:t>r</w:t>
      </w:r>
      <w:r>
        <w:rPr>
          <w:rFonts w:ascii="Arial" w:hAnsi="Arial" w:cs="Arial"/>
          <w:color w:val="7B7B7B" w:themeColor="accent3" w:themeShade="BF"/>
          <w:sz w:val="22"/>
          <w:szCs w:val="22"/>
          <w:lang w:val="en-GB"/>
        </w:rPr>
        <w:t>rSOA</w:t>
      </w:r>
      <w:proofErr w:type="spellEnd"/>
      <w:r>
        <w:rPr>
          <w:rFonts w:ascii="Arial" w:hAnsi="Arial" w:cs="Arial"/>
          <w:color w:val="7B7B7B" w:themeColor="accent3" w:themeShade="BF"/>
          <w:sz w:val="22"/>
          <w:szCs w:val="22"/>
          <w:lang w:val="en-GB"/>
        </w:rPr>
        <w:t xml:space="preserve"> . </w:t>
      </w:r>
      <w:proofErr w:type="spellStart"/>
      <w:r>
        <w:rPr>
          <w:rFonts w:ascii="Arial" w:hAnsi="Arial" w:cs="Arial"/>
          <w:color w:val="7B7B7B" w:themeColor="accent3" w:themeShade="BF"/>
          <w:sz w:val="22"/>
          <w:szCs w:val="22"/>
          <w:lang w:val="en-GB"/>
        </w:rPr>
        <w:t>C</w:t>
      </w:r>
      <w:r>
        <w:rPr>
          <w:rFonts w:ascii="Arial" w:hAnsi="Arial" w:cs="Arial"/>
          <w:color w:val="7B7B7B" w:themeColor="accent3" w:themeShade="BF"/>
          <w:sz w:val="22"/>
          <w:szCs w:val="22"/>
          <w:vertAlign w:val="superscript"/>
          <w:lang w:val="en-GB"/>
        </w:rPr>
        <w:t>r</w:t>
      </w:r>
      <w:r>
        <w:rPr>
          <w:rFonts w:ascii="Arial" w:hAnsi="Arial" w:cs="Arial"/>
          <w:color w:val="7B7B7B" w:themeColor="accent3" w:themeShade="BF"/>
          <w:sz w:val="22"/>
          <w:szCs w:val="22"/>
          <w:lang w:val="en-GB"/>
        </w:rPr>
        <w:t>rSOA</w:t>
      </w:r>
      <w:proofErr w:type="spellEnd"/>
      <w:r>
        <w:rPr>
          <w:rFonts w:ascii="Arial" w:hAnsi="Arial" w:cs="Arial"/>
          <w:color w:val="7B7B7B" w:themeColor="accent3" w:themeShade="BF"/>
          <w:sz w:val="22"/>
          <w:szCs w:val="22"/>
          <w:lang w:val="en-GB"/>
        </w:rPr>
        <w:t xml:space="preserve"> allows for effective releases to be given by creditors in favour of third parties , which is not possible in </w:t>
      </w:r>
      <w:proofErr w:type="spellStart"/>
      <w:r>
        <w:rPr>
          <w:rFonts w:ascii="Arial" w:hAnsi="Arial" w:cs="Arial"/>
          <w:color w:val="7B7B7B" w:themeColor="accent3" w:themeShade="BF"/>
          <w:sz w:val="22"/>
          <w:szCs w:val="22"/>
          <w:lang w:val="en-GB"/>
        </w:rPr>
        <w:t>DoCA</w:t>
      </w:r>
      <w:proofErr w:type="spellEnd"/>
      <w:r>
        <w:rPr>
          <w:rFonts w:ascii="Arial" w:hAnsi="Arial" w:cs="Arial"/>
          <w:color w:val="7B7B7B" w:themeColor="accent3" w:themeShade="BF"/>
          <w:sz w:val="22"/>
          <w:szCs w:val="22"/>
          <w:lang w:val="en-GB"/>
        </w:rPr>
        <w:t xml:space="preserve">. The </w:t>
      </w:r>
      <w:proofErr w:type="spellStart"/>
      <w:r>
        <w:rPr>
          <w:rFonts w:ascii="Arial" w:hAnsi="Arial" w:cs="Arial"/>
          <w:color w:val="7B7B7B" w:themeColor="accent3" w:themeShade="BF"/>
          <w:sz w:val="22"/>
          <w:szCs w:val="22"/>
          <w:lang w:val="en-GB"/>
        </w:rPr>
        <w:t>C</w:t>
      </w:r>
      <w:r>
        <w:rPr>
          <w:rFonts w:ascii="Arial" w:hAnsi="Arial" w:cs="Arial"/>
          <w:color w:val="7B7B7B" w:themeColor="accent3" w:themeShade="BF"/>
          <w:sz w:val="22"/>
          <w:szCs w:val="22"/>
          <w:vertAlign w:val="superscript"/>
          <w:lang w:val="en-GB"/>
        </w:rPr>
        <w:t>r</w:t>
      </w:r>
      <w:r>
        <w:rPr>
          <w:rFonts w:ascii="Arial" w:hAnsi="Arial" w:cs="Arial"/>
          <w:color w:val="7B7B7B" w:themeColor="accent3" w:themeShade="BF"/>
          <w:sz w:val="22"/>
          <w:szCs w:val="22"/>
          <w:lang w:val="en-GB"/>
        </w:rPr>
        <w:t>rSOA</w:t>
      </w:r>
      <w:proofErr w:type="spellEnd"/>
      <w:r>
        <w:rPr>
          <w:rFonts w:ascii="Arial" w:hAnsi="Arial" w:cs="Arial"/>
          <w:color w:val="7B7B7B" w:themeColor="accent3" w:themeShade="BF"/>
          <w:sz w:val="22"/>
          <w:szCs w:val="22"/>
          <w:lang w:val="en-GB"/>
        </w:rPr>
        <w:t xml:space="preserve"> in the case of Fowler v Lindholm demonstrated this. In the 2010 case of Lehman Bros Inc v City of Swan, claims arose from the creditors not only against the </w:t>
      </w:r>
      <w:r w:rsidR="00456562">
        <w:rPr>
          <w:rFonts w:ascii="Arial" w:hAnsi="Arial" w:cs="Arial"/>
          <w:color w:val="7B7B7B" w:themeColor="accent3" w:themeShade="BF"/>
          <w:sz w:val="22"/>
          <w:szCs w:val="22"/>
          <w:lang w:val="en-GB"/>
        </w:rPr>
        <w:t xml:space="preserve">“Deed </w:t>
      </w:r>
      <w:r>
        <w:rPr>
          <w:rFonts w:ascii="Arial" w:hAnsi="Arial" w:cs="Arial"/>
          <w:color w:val="7B7B7B" w:themeColor="accent3" w:themeShade="BF"/>
          <w:sz w:val="22"/>
          <w:szCs w:val="22"/>
          <w:lang w:val="en-GB"/>
        </w:rPr>
        <w:t>company</w:t>
      </w:r>
      <w:r w:rsidR="00456562">
        <w:rPr>
          <w:rFonts w:ascii="Arial" w:hAnsi="Arial" w:cs="Arial"/>
          <w:color w:val="7B7B7B" w:themeColor="accent3" w:themeShade="BF"/>
          <w:sz w:val="22"/>
          <w:szCs w:val="22"/>
          <w:lang w:val="en-GB"/>
        </w:rPr>
        <w:t>” ( viz. Lehman Bros.) but also against affiliates like Lehman Asia</w:t>
      </w:r>
      <w:r>
        <w:rPr>
          <w:rFonts w:ascii="Arial" w:hAnsi="Arial" w:cs="Arial"/>
          <w:color w:val="7B7B7B" w:themeColor="accent3" w:themeShade="BF"/>
          <w:sz w:val="22"/>
          <w:szCs w:val="22"/>
          <w:lang w:val="en-GB"/>
        </w:rPr>
        <w:t xml:space="preserve"> </w:t>
      </w:r>
      <w:r w:rsidR="00456562">
        <w:rPr>
          <w:rFonts w:ascii="Arial" w:hAnsi="Arial" w:cs="Arial"/>
          <w:color w:val="7B7B7B" w:themeColor="accent3" w:themeShade="BF"/>
          <w:sz w:val="22"/>
          <w:szCs w:val="22"/>
          <w:lang w:val="en-GB"/>
        </w:rPr>
        <w:t xml:space="preserve">, Lehman Holdings etc. </w:t>
      </w:r>
      <w:r w:rsidR="00DF75F8" w:rsidRPr="000F1274">
        <w:rPr>
          <w:rFonts w:ascii="Arial" w:hAnsi="Arial" w:cs="Arial"/>
          <w:color w:val="7B7B7B" w:themeColor="accent3" w:themeShade="BF"/>
          <w:sz w:val="22"/>
          <w:szCs w:val="22"/>
          <w:lang w:val="en-GB"/>
        </w:rPr>
        <w:t xml:space="preserve"> </w:t>
      </w:r>
      <w:r w:rsidR="00456562">
        <w:rPr>
          <w:rFonts w:ascii="Arial" w:hAnsi="Arial" w:cs="Arial"/>
          <w:color w:val="7B7B7B" w:themeColor="accent3" w:themeShade="BF"/>
          <w:sz w:val="22"/>
          <w:szCs w:val="22"/>
          <w:lang w:val="en-GB"/>
        </w:rPr>
        <w:t xml:space="preserve">The Court ruled that </w:t>
      </w:r>
      <w:proofErr w:type="spellStart"/>
      <w:r w:rsidR="00456562">
        <w:rPr>
          <w:rFonts w:ascii="Arial" w:hAnsi="Arial" w:cs="Arial"/>
          <w:color w:val="7B7B7B" w:themeColor="accent3" w:themeShade="BF"/>
          <w:sz w:val="22"/>
          <w:szCs w:val="22"/>
          <w:lang w:val="en-GB"/>
        </w:rPr>
        <w:t>DoCA</w:t>
      </w:r>
      <w:proofErr w:type="spellEnd"/>
      <w:r w:rsidR="00456562">
        <w:rPr>
          <w:rFonts w:ascii="Arial" w:hAnsi="Arial" w:cs="Arial"/>
          <w:color w:val="7B7B7B" w:themeColor="accent3" w:themeShade="BF"/>
          <w:sz w:val="22"/>
          <w:szCs w:val="22"/>
          <w:lang w:val="en-GB"/>
        </w:rPr>
        <w:t xml:space="preserve"> applied only to address the dues of the “Deed Company” (Lehman Bros) and the </w:t>
      </w:r>
      <w:proofErr w:type="spellStart"/>
      <w:r w:rsidR="00456562">
        <w:rPr>
          <w:rFonts w:ascii="Arial" w:hAnsi="Arial" w:cs="Arial"/>
          <w:color w:val="7B7B7B" w:themeColor="accent3" w:themeShade="BF"/>
          <w:sz w:val="22"/>
          <w:szCs w:val="22"/>
          <w:lang w:val="en-GB"/>
        </w:rPr>
        <w:t>DoCA</w:t>
      </w:r>
      <w:proofErr w:type="spellEnd"/>
      <w:r w:rsidR="00456562">
        <w:rPr>
          <w:rFonts w:ascii="Arial" w:hAnsi="Arial" w:cs="Arial"/>
          <w:color w:val="7B7B7B" w:themeColor="accent3" w:themeShade="BF"/>
          <w:sz w:val="22"/>
          <w:szCs w:val="22"/>
          <w:lang w:val="en-GB"/>
        </w:rPr>
        <w:t xml:space="preserve"> could not release the liabilities of the third parties involved such as Lehman Asia etc.</w:t>
      </w:r>
    </w:p>
    <w:p w14:paraId="4F52A23C" w14:textId="77777777" w:rsidR="005376CE" w:rsidRPr="005376CE" w:rsidRDefault="005376CE" w:rsidP="005376CE">
      <w:pPr>
        <w:pStyle w:val="ListParagraph"/>
        <w:rPr>
          <w:rFonts w:ascii="Arial" w:hAnsi="Arial" w:cs="Arial"/>
          <w:sz w:val="22"/>
          <w:szCs w:val="22"/>
          <w:lang w:val="en-GB"/>
        </w:rPr>
      </w:pPr>
    </w:p>
    <w:p w14:paraId="788632AA" w14:textId="77777777" w:rsidR="005376CE" w:rsidRPr="00456562" w:rsidRDefault="005376CE" w:rsidP="005376CE">
      <w:pPr>
        <w:pStyle w:val="ListParagraph"/>
        <w:jc w:val="both"/>
        <w:rPr>
          <w:rFonts w:ascii="Arial" w:hAnsi="Arial" w:cs="Arial"/>
          <w:sz w:val="22"/>
          <w:szCs w:val="22"/>
          <w:lang w:val="en-GB"/>
        </w:rPr>
      </w:pPr>
    </w:p>
    <w:p w14:paraId="7ADA3F5D" w14:textId="512A1B08" w:rsidR="00456562" w:rsidRPr="000F1274" w:rsidRDefault="00456562" w:rsidP="000F1274">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To sum up, in complex cases, with interconnected and interlocking liabilities in a group of companies, </w:t>
      </w:r>
      <w:proofErr w:type="spellStart"/>
      <w:r>
        <w:rPr>
          <w:rFonts w:ascii="Arial" w:hAnsi="Arial" w:cs="Arial"/>
          <w:color w:val="7B7B7B" w:themeColor="accent3" w:themeShade="BF"/>
          <w:sz w:val="22"/>
          <w:szCs w:val="22"/>
          <w:lang w:val="en-GB"/>
        </w:rPr>
        <w:t>C</w:t>
      </w:r>
      <w:r>
        <w:rPr>
          <w:rFonts w:ascii="Arial" w:hAnsi="Arial" w:cs="Arial"/>
          <w:color w:val="7B7B7B" w:themeColor="accent3" w:themeShade="BF"/>
          <w:sz w:val="22"/>
          <w:szCs w:val="22"/>
          <w:vertAlign w:val="superscript"/>
          <w:lang w:val="en-GB"/>
        </w:rPr>
        <w:t>r</w:t>
      </w:r>
      <w:r>
        <w:rPr>
          <w:rFonts w:ascii="Arial" w:hAnsi="Arial" w:cs="Arial"/>
          <w:color w:val="7B7B7B" w:themeColor="accent3" w:themeShade="BF"/>
          <w:sz w:val="22"/>
          <w:szCs w:val="22"/>
          <w:lang w:val="en-GB"/>
        </w:rPr>
        <w:t>rSOA</w:t>
      </w:r>
      <w:proofErr w:type="spellEnd"/>
      <w:r>
        <w:rPr>
          <w:rFonts w:ascii="Arial" w:hAnsi="Arial" w:cs="Arial"/>
          <w:color w:val="7B7B7B" w:themeColor="accent3" w:themeShade="BF"/>
          <w:sz w:val="22"/>
          <w:szCs w:val="22"/>
          <w:lang w:val="en-GB"/>
        </w:rPr>
        <w:t xml:space="preserve"> is beneficial.</w:t>
      </w:r>
      <w:r w:rsidRPr="00456562">
        <w:rPr>
          <w:rFonts w:ascii="Arial" w:hAnsi="Arial" w:cs="Arial"/>
          <w:color w:val="7B7B7B" w:themeColor="accent3" w:themeShade="BF"/>
          <w:sz w:val="22"/>
          <w:szCs w:val="22"/>
          <w:lang w:val="en-GB"/>
        </w:rPr>
        <w:t xml:space="preserve"> </w:t>
      </w:r>
      <w:r w:rsidRPr="000F1274">
        <w:rPr>
          <w:rFonts w:ascii="Arial" w:hAnsi="Arial" w:cs="Arial"/>
          <w:color w:val="7B7B7B" w:themeColor="accent3" w:themeShade="BF"/>
          <w:sz w:val="22"/>
          <w:szCs w:val="22"/>
          <w:lang w:val="en-GB"/>
        </w:rPr>
        <w:t>]</w:t>
      </w:r>
    </w:p>
    <w:p w14:paraId="6F724901" w14:textId="17C14DFE" w:rsidR="00D17FDC" w:rsidRDefault="00D17FDC" w:rsidP="002A37BB">
      <w:pPr>
        <w:jc w:val="both"/>
        <w:rPr>
          <w:rFonts w:ascii="Arial" w:hAnsi="Arial" w:cs="Arial"/>
          <w:sz w:val="22"/>
          <w:szCs w:val="22"/>
          <w:shd w:val="clear" w:color="auto" w:fill="FFFFFF"/>
        </w:rPr>
      </w:pPr>
    </w:p>
    <w:p w14:paraId="6DD9BB66" w14:textId="2480E7E9" w:rsidR="00FA18CF" w:rsidRDefault="00FA18CF"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09013AF9"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765DAA61"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Pty Ltd (</w:t>
      </w:r>
      <w:proofErr w:type="spellStart"/>
      <w:r w:rsidRPr="00FA18CF">
        <w:rPr>
          <w:rFonts w:ascii="Arial" w:hAnsi="Arial" w:cs="Arial"/>
          <w:bCs/>
          <w:sz w:val="22"/>
          <w:szCs w:val="22"/>
          <w:lang w:val="en-GB"/>
        </w:rPr>
        <w:t>Aussiebee</w:t>
      </w:r>
      <w:proofErr w:type="spellEnd"/>
      <w:r>
        <w:rPr>
          <w:rFonts w:ascii="Arial" w:hAnsi="Arial" w:cs="Arial"/>
          <w:sz w:val="22"/>
          <w:szCs w:val="22"/>
          <w:lang w:val="en-GB"/>
        </w:rPr>
        <w:t xml:space="preserve">), a company incorporated in the fictional country of </w:t>
      </w:r>
      <w:proofErr w:type="spellStart"/>
      <w:r w:rsidRPr="008C3FB9">
        <w:rPr>
          <w:rFonts w:ascii="Arial" w:hAnsi="Arial" w:cs="Arial"/>
          <w:sz w:val="22"/>
          <w:szCs w:val="22"/>
          <w:lang w:val="en-GB"/>
        </w:rPr>
        <w:t>Lyonesse</w:t>
      </w:r>
      <w:proofErr w:type="spellEnd"/>
      <w:r>
        <w:rPr>
          <w:rFonts w:ascii="Arial" w:hAnsi="Arial" w:cs="Arial"/>
          <w:sz w:val="22"/>
          <w:szCs w:val="22"/>
          <w:lang w:val="en-GB"/>
        </w:rPr>
        <w:t xml:space="preserve">, sells chocolates flavoured with Australian native plants. The chocolates are manufactured in Australia by </w:t>
      </w:r>
      <w:proofErr w:type="spellStart"/>
      <w:r>
        <w:rPr>
          <w:rFonts w:ascii="Arial" w:hAnsi="Arial" w:cs="Arial"/>
          <w:sz w:val="22"/>
          <w:szCs w:val="22"/>
          <w:lang w:val="en-GB"/>
        </w:rPr>
        <w:t>NewYums</w:t>
      </w:r>
      <w:proofErr w:type="spellEnd"/>
      <w:r>
        <w:rPr>
          <w:rFonts w:ascii="Arial" w:hAnsi="Arial" w:cs="Arial"/>
          <w:sz w:val="22"/>
          <w:szCs w:val="22"/>
          <w:lang w:val="en-GB"/>
        </w:rPr>
        <w:t xml:space="preserve"> Pty Ltd (</w:t>
      </w:r>
      <w:proofErr w:type="spellStart"/>
      <w:r>
        <w:rPr>
          <w:rFonts w:ascii="Arial" w:hAnsi="Arial" w:cs="Arial"/>
          <w:sz w:val="22"/>
          <w:szCs w:val="22"/>
          <w:lang w:val="en-GB"/>
        </w:rPr>
        <w:t>NewYums</w:t>
      </w:r>
      <w:proofErr w:type="spellEnd"/>
      <w:r>
        <w:rPr>
          <w:rFonts w:ascii="Arial" w:hAnsi="Arial" w:cs="Arial"/>
          <w:sz w:val="22"/>
          <w:szCs w:val="22"/>
          <w:lang w:val="en-GB"/>
        </w:rPr>
        <w:t xml:space="preserve">), an Australian-incorporated wholly-owned subsidiary of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w:t>
      </w:r>
    </w:p>
    <w:p w14:paraId="3DCCC8B4" w14:textId="77777777" w:rsidR="00E14FED" w:rsidRDefault="00E14FED" w:rsidP="00E14FED">
      <w:pPr>
        <w:jc w:val="both"/>
        <w:rPr>
          <w:rFonts w:ascii="Arial" w:hAnsi="Arial" w:cs="Arial"/>
          <w:sz w:val="22"/>
          <w:szCs w:val="22"/>
          <w:lang w:val="en-GB"/>
        </w:rPr>
      </w:pPr>
    </w:p>
    <w:p w14:paraId="743C63D9" w14:textId="4F0CDC75"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has offices and warehouses in both Sydney and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w:t>
      </w:r>
      <w:proofErr w:type="spellStart"/>
      <w:r>
        <w:rPr>
          <w:rFonts w:ascii="Arial" w:hAnsi="Arial" w:cs="Arial"/>
          <w:sz w:val="22"/>
          <w:szCs w:val="22"/>
          <w:lang w:val="en-GB"/>
        </w:rPr>
        <w:t>Lyonesse</w:t>
      </w:r>
      <w:proofErr w:type="spellEnd"/>
      <w:r>
        <w:rPr>
          <w:rFonts w:ascii="Arial" w:hAnsi="Arial" w:cs="Arial"/>
          <w:sz w:val="22"/>
          <w:szCs w:val="22"/>
          <w:lang w:val="en-GB"/>
        </w:rPr>
        <w:t xml:space="preserve"> and its Sydney offices and warehouses.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and </w:t>
      </w:r>
      <w:proofErr w:type="spellStart"/>
      <w:r>
        <w:rPr>
          <w:rFonts w:ascii="Arial" w:hAnsi="Arial" w:cs="Arial"/>
          <w:sz w:val="22"/>
          <w:szCs w:val="22"/>
          <w:lang w:val="en-GB"/>
        </w:rPr>
        <w:t>NewYums</w:t>
      </w:r>
      <w:proofErr w:type="spellEnd"/>
      <w:r>
        <w:rPr>
          <w:rFonts w:ascii="Arial" w:hAnsi="Arial" w:cs="Arial"/>
          <w:sz w:val="22"/>
          <w:szCs w:val="22"/>
          <w:lang w:val="en-GB"/>
        </w:rPr>
        <w:t xml:space="preserve"> share a board of directors, made up of six Australians and one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w:t>
      </w:r>
      <w:proofErr w:type="spellStart"/>
      <w:r>
        <w:rPr>
          <w:rFonts w:ascii="Arial" w:hAnsi="Arial" w:cs="Arial"/>
          <w:sz w:val="22"/>
          <w:szCs w:val="22"/>
          <w:lang w:val="en-GB"/>
        </w:rPr>
        <w:t>Aussi</w:t>
      </w:r>
      <w:r w:rsidR="008E52BC">
        <w:rPr>
          <w:rFonts w:ascii="Arial" w:hAnsi="Arial" w:cs="Arial"/>
          <w:sz w:val="22"/>
          <w:szCs w:val="22"/>
          <w:lang w:val="en-GB"/>
        </w:rPr>
        <w:t>e</w:t>
      </w:r>
      <w:r>
        <w:rPr>
          <w:rFonts w:ascii="Arial" w:hAnsi="Arial" w:cs="Arial"/>
          <w:sz w:val="22"/>
          <w:szCs w:val="22"/>
          <w:lang w:val="en-GB"/>
        </w:rPr>
        <w:t>bee</w:t>
      </w:r>
      <w:proofErr w:type="spellEnd"/>
      <w:r>
        <w:rPr>
          <w:rFonts w:ascii="Arial" w:hAnsi="Arial" w:cs="Arial"/>
          <w:sz w:val="22"/>
          <w:szCs w:val="22"/>
          <w:lang w:val="en-GB"/>
        </w:rPr>
        <w:t xml:space="preserve"> employed 40 staff</w:t>
      </w:r>
      <w:r w:rsidR="00A55389">
        <w:rPr>
          <w:rFonts w:ascii="Arial" w:hAnsi="Arial" w:cs="Arial"/>
          <w:sz w:val="22"/>
          <w:szCs w:val="22"/>
          <w:lang w:val="en-GB"/>
        </w:rPr>
        <w:t xml:space="preserve">: </w:t>
      </w:r>
      <w:r>
        <w:rPr>
          <w:rFonts w:ascii="Arial" w:hAnsi="Arial" w:cs="Arial"/>
          <w:sz w:val="22"/>
          <w:szCs w:val="22"/>
          <w:lang w:val="en-GB"/>
        </w:rPr>
        <w:t xml:space="preserve">20 in Sydney and 20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CEO is an Australian, but resident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lastRenderedPageBreak/>
        <w:t>Aussiebee</w:t>
      </w:r>
      <w:proofErr w:type="spellEnd"/>
      <w:r>
        <w:rPr>
          <w:rFonts w:ascii="Arial" w:hAnsi="Arial" w:cs="Arial"/>
          <w:sz w:val="22"/>
          <w:szCs w:val="22"/>
          <w:lang w:val="en-GB"/>
        </w:rPr>
        <w:t xml:space="preserve"> is insolvent. </w:t>
      </w:r>
      <w:proofErr w:type="spellStart"/>
      <w:r>
        <w:rPr>
          <w:rFonts w:ascii="Arial" w:hAnsi="Arial" w:cs="Arial"/>
          <w:sz w:val="22"/>
          <w:szCs w:val="22"/>
          <w:lang w:val="en-GB"/>
        </w:rPr>
        <w:t>NewYums</w:t>
      </w:r>
      <w:proofErr w:type="spellEnd"/>
      <w:r>
        <w:rPr>
          <w:rFonts w:ascii="Arial" w:hAnsi="Arial" w:cs="Arial"/>
          <w:sz w:val="22"/>
          <w:szCs w:val="22"/>
          <w:lang w:val="en-GB"/>
        </w:rPr>
        <w:t>, however, remains solvent.</w:t>
      </w:r>
    </w:p>
    <w:p w14:paraId="2C46BC3B" w14:textId="77777777" w:rsidR="00E14FED" w:rsidRDefault="00E14FED" w:rsidP="00E14FED">
      <w:pPr>
        <w:jc w:val="both"/>
        <w:rPr>
          <w:rFonts w:ascii="Arial" w:hAnsi="Arial" w:cs="Arial"/>
          <w:sz w:val="22"/>
          <w:szCs w:val="22"/>
          <w:lang w:val="en-GB"/>
        </w:rPr>
      </w:pPr>
    </w:p>
    <w:p w14:paraId="30AFFFAC" w14:textId="5547CEEF" w:rsidR="00E14FED" w:rsidRDefault="00E14FED" w:rsidP="00E14FED">
      <w:pPr>
        <w:jc w:val="both"/>
        <w:rPr>
          <w:rFonts w:ascii="Arial" w:hAnsi="Arial" w:cs="Arial"/>
          <w:sz w:val="22"/>
          <w:szCs w:val="22"/>
          <w:lang w:val="en-GB"/>
        </w:rPr>
      </w:pPr>
      <w:r>
        <w:rPr>
          <w:rFonts w:ascii="Arial" w:hAnsi="Arial" w:cs="Arial"/>
          <w:sz w:val="22"/>
          <w:szCs w:val="22"/>
          <w:lang w:val="en-GB"/>
        </w:rPr>
        <w:t xml:space="preserve">A liquidator has been appointed to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She applies to the Federal Court of Australia for recognition of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 as a foreign main proceeding, and for orders entrusting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assets (including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shares in </w:t>
      </w:r>
      <w:proofErr w:type="spellStart"/>
      <w:r>
        <w:rPr>
          <w:rFonts w:ascii="Arial" w:hAnsi="Arial" w:cs="Arial"/>
          <w:sz w:val="22"/>
          <w:szCs w:val="22"/>
          <w:lang w:val="en-GB"/>
        </w:rPr>
        <w:t>NewYums</w:t>
      </w:r>
      <w:proofErr w:type="spellEnd"/>
      <w:r>
        <w:rPr>
          <w:rFonts w:ascii="Arial" w:hAnsi="Arial" w:cs="Arial"/>
          <w:sz w:val="22"/>
          <w:szCs w:val="22"/>
          <w:lang w:val="en-GB"/>
        </w:rPr>
        <w:t xml:space="preserve"> which are worth AUD</w:t>
      </w:r>
      <w:r w:rsidR="001D5785">
        <w:rPr>
          <w:rFonts w:ascii="Arial" w:hAnsi="Arial" w:cs="Arial"/>
          <w:sz w:val="22"/>
          <w:szCs w:val="22"/>
          <w:lang w:val="en-GB"/>
        </w:rPr>
        <w:t xml:space="preserve"> </w:t>
      </w:r>
      <w:r>
        <w:rPr>
          <w:rFonts w:ascii="Arial" w:hAnsi="Arial" w:cs="Arial"/>
          <w:sz w:val="22"/>
          <w:szCs w:val="22"/>
          <w:lang w:val="en-GB"/>
        </w:rPr>
        <w:t xml:space="preserve">20 million) to her, so that she can realise them for the benefit of creditors in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w:t>
      </w:r>
    </w:p>
    <w:p w14:paraId="6AF033F6" w14:textId="77777777" w:rsidR="00E14FED" w:rsidRDefault="00E14FED" w:rsidP="00E14FED">
      <w:pPr>
        <w:jc w:val="both"/>
        <w:rPr>
          <w:rFonts w:ascii="Arial" w:hAnsi="Arial" w:cs="Arial"/>
          <w:sz w:val="22"/>
          <w:szCs w:val="22"/>
          <w:lang w:val="en-GB"/>
        </w:rPr>
      </w:pPr>
    </w:p>
    <w:p w14:paraId="1C065357" w14:textId="3EDA87C8"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owes AUD</w:t>
      </w:r>
      <w:r w:rsidR="001D5785">
        <w:rPr>
          <w:rFonts w:ascii="Arial" w:hAnsi="Arial" w:cs="Arial"/>
          <w:sz w:val="22"/>
          <w:szCs w:val="22"/>
          <w:lang w:val="en-GB"/>
        </w:rPr>
        <w:t xml:space="preserve"> </w:t>
      </w:r>
      <w:r>
        <w:rPr>
          <w:rFonts w:ascii="Arial" w:hAnsi="Arial" w:cs="Arial"/>
          <w:sz w:val="22"/>
          <w:szCs w:val="22"/>
          <w:lang w:val="en-GB"/>
        </w:rPr>
        <w:t xml:space="preserve">12 million in taxes in Australia, payable to the Australian Taxation Office (ATO). Assume that revenue creditors such as the ATO are not entitled to prove in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7C001983" w14:textId="77777777" w:rsidR="00FB20D9" w:rsidRDefault="001A007A" w:rsidP="001A007A">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6C2CF1">
        <w:rPr>
          <w:rFonts w:ascii="Arial" w:hAnsi="Arial" w:cs="Arial"/>
          <w:color w:val="7B7B7B" w:themeColor="accent3" w:themeShade="BF"/>
          <w:sz w:val="22"/>
          <w:szCs w:val="22"/>
          <w:lang w:val="en-GB"/>
        </w:rPr>
        <w:t xml:space="preserve">The </w:t>
      </w:r>
      <w:proofErr w:type="spellStart"/>
      <w:r w:rsidR="006C2CF1">
        <w:rPr>
          <w:rFonts w:ascii="Arial" w:hAnsi="Arial" w:cs="Arial"/>
          <w:color w:val="7B7B7B" w:themeColor="accent3" w:themeShade="BF"/>
          <w:sz w:val="22"/>
          <w:szCs w:val="22"/>
          <w:lang w:val="en-GB"/>
        </w:rPr>
        <w:t>Liquidator_Lyonnese</w:t>
      </w:r>
      <w:proofErr w:type="spellEnd"/>
      <w:r w:rsidR="006C2CF1">
        <w:rPr>
          <w:rFonts w:ascii="Arial" w:hAnsi="Arial" w:cs="Arial"/>
          <w:color w:val="7B7B7B" w:themeColor="accent3" w:themeShade="BF"/>
          <w:sz w:val="22"/>
          <w:szCs w:val="22"/>
          <w:lang w:val="en-GB"/>
        </w:rPr>
        <w:t xml:space="preserve"> (</w:t>
      </w:r>
      <w:proofErr w:type="spellStart"/>
      <w:r w:rsidR="006C2CF1">
        <w:rPr>
          <w:rFonts w:ascii="Arial" w:hAnsi="Arial" w:cs="Arial"/>
          <w:color w:val="7B7B7B" w:themeColor="accent3" w:themeShade="BF"/>
          <w:sz w:val="22"/>
          <w:szCs w:val="22"/>
          <w:lang w:val="en-GB"/>
        </w:rPr>
        <w:t>Lqdtr_Ly</w:t>
      </w:r>
      <w:proofErr w:type="spellEnd"/>
      <w:r w:rsidR="006C2CF1">
        <w:rPr>
          <w:rFonts w:ascii="Arial" w:hAnsi="Arial" w:cs="Arial"/>
          <w:color w:val="7B7B7B" w:themeColor="accent3" w:themeShade="BF"/>
          <w:sz w:val="22"/>
          <w:szCs w:val="22"/>
          <w:lang w:val="en-GB"/>
        </w:rPr>
        <w:t xml:space="preserve">  is entitled to apply u/Art 15  of the Cross-Border Insolvency Act (CBIA)  for recognition as a Foreign Representative (FR). </w:t>
      </w:r>
      <w:r w:rsidR="00BF2117">
        <w:rPr>
          <w:rFonts w:ascii="Arial" w:hAnsi="Arial" w:cs="Arial"/>
          <w:color w:val="7B7B7B" w:themeColor="accent3" w:themeShade="BF"/>
          <w:sz w:val="22"/>
          <w:szCs w:val="22"/>
          <w:lang w:val="en-GB"/>
        </w:rPr>
        <w:t>If the application complies with Art 15 and is complete in all respects, then u/Art 17, the Federal Court of Australia</w:t>
      </w:r>
      <w:r w:rsidR="00165EC7">
        <w:rPr>
          <w:rFonts w:ascii="Arial" w:hAnsi="Arial" w:cs="Arial"/>
          <w:color w:val="7B7B7B" w:themeColor="accent3" w:themeShade="BF"/>
          <w:sz w:val="22"/>
          <w:szCs w:val="22"/>
          <w:lang w:val="en-GB"/>
        </w:rPr>
        <w:t xml:space="preserve"> (FCA)</w:t>
      </w:r>
      <w:r w:rsidR="00BF2117">
        <w:rPr>
          <w:rFonts w:ascii="Arial" w:hAnsi="Arial" w:cs="Arial"/>
          <w:color w:val="7B7B7B" w:themeColor="accent3" w:themeShade="BF"/>
          <w:sz w:val="22"/>
          <w:szCs w:val="22"/>
          <w:lang w:val="en-GB"/>
        </w:rPr>
        <w:t xml:space="preserve"> is expected to recognise the Foreign Proceeding. Moreover, since </w:t>
      </w:r>
      <w:proofErr w:type="spellStart"/>
      <w:r w:rsidR="00BF2117">
        <w:rPr>
          <w:rFonts w:ascii="Arial" w:hAnsi="Arial" w:cs="Arial"/>
          <w:color w:val="7B7B7B" w:themeColor="accent3" w:themeShade="BF"/>
          <w:sz w:val="22"/>
          <w:szCs w:val="22"/>
          <w:lang w:val="en-GB"/>
        </w:rPr>
        <w:t>Aussibee</w:t>
      </w:r>
      <w:proofErr w:type="spellEnd"/>
      <w:r w:rsidR="00BF2117">
        <w:rPr>
          <w:rFonts w:ascii="Arial" w:hAnsi="Arial" w:cs="Arial"/>
          <w:color w:val="7B7B7B" w:themeColor="accent3" w:themeShade="BF"/>
          <w:sz w:val="22"/>
          <w:szCs w:val="22"/>
          <w:lang w:val="en-GB"/>
        </w:rPr>
        <w:t xml:space="preserve"> is a </w:t>
      </w:r>
      <w:proofErr w:type="spellStart"/>
      <w:r w:rsidR="00BF2117">
        <w:rPr>
          <w:rFonts w:ascii="Arial" w:hAnsi="Arial" w:cs="Arial"/>
          <w:color w:val="7B7B7B" w:themeColor="accent3" w:themeShade="BF"/>
          <w:sz w:val="22"/>
          <w:szCs w:val="22"/>
          <w:lang w:val="en-GB"/>
        </w:rPr>
        <w:t>Lyonnese</w:t>
      </w:r>
      <w:proofErr w:type="spellEnd"/>
      <w:r w:rsidR="00BF2117">
        <w:rPr>
          <w:rFonts w:ascii="Arial" w:hAnsi="Arial" w:cs="Arial"/>
          <w:color w:val="7B7B7B" w:themeColor="accent3" w:themeShade="BF"/>
          <w:sz w:val="22"/>
          <w:szCs w:val="22"/>
          <w:lang w:val="en-GB"/>
        </w:rPr>
        <w:t xml:space="preserve">-registered company, has its CEO as a resident there, and as its activity is significantly located there, </w:t>
      </w:r>
      <w:proofErr w:type="spellStart"/>
      <w:r w:rsidR="00BF2117">
        <w:rPr>
          <w:rFonts w:ascii="Arial" w:hAnsi="Arial" w:cs="Arial"/>
          <w:color w:val="7B7B7B" w:themeColor="accent3" w:themeShade="BF"/>
          <w:sz w:val="22"/>
          <w:szCs w:val="22"/>
          <w:lang w:val="en-GB"/>
        </w:rPr>
        <w:t>Lyonnese</w:t>
      </w:r>
      <w:proofErr w:type="spellEnd"/>
      <w:r w:rsidR="00BF2117">
        <w:rPr>
          <w:rFonts w:ascii="Arial" w:hAnsi="Arial" w:cs="Arial"/>
          <w:color w:val="7B7B7B" w:themeColor="accent3" w:themeShade="BF"/>
          <w:sz w:val="22"/>
          <w:szCs w:val="22"/>
          <w:lang w:val="en-GB"/>
        </w:rPr>
        <w:t xml:space="preserve"> will be recognised as the COMI for </w:t>
      </w:r>
      <w:proofErr w:type="spellStart"/>
      <w:r w:rsidR="00BF2117">
        <w:rPr>
          <w:rFonts w:ascii="Arial" w:hAnsi="Arial" w:cs="Arial"/>
          <w:color w:val="7B7B7B" w:themeColor="accent3" w:themeShade="BF"/>
          <w:sz w:val="22"/>
          <w:szCs w:val="22"/>
          <w:lang w:val="en-GB"/>
        </w:rPr>
        <w:t>Aussiebee</w:t>
      </w:r>
      <w:proofErr w:type="spellEnd"/>
      <w:r w:rsidR="00BF2117">
        <w:rPr>
          <w:rFonts w:ascii="Arial" w:hAnsi="Arial" w:cs="Arial"/>
          <w:color w:val="7B7B7B" w:themeColor="accent3" w:themeShade="BF"/>
          <w:sz w:val="22"/>
          <w:szCs w:val="22"/>
          <w:lang w:val="en-GB"/>
        </w:rPr>
        <w:t xml:space="preserve">. The </w:t>
      </w:r>
      <w:proofErr w:type="spellStart"/>
      <w:r w:rsidR="00BF2117">
        <w:rPr>
          <w:rFonts w:ascii="Arial" w:hAnsi="Arial" w:cs="Arial"/>
          <w:color w:val="7B7B7B" w:themeColor="accent3" w:themeShade="BF"/>
          <w:sz w:val="22"/>
          <w:szCs w:val="22"/>
          <w:lang w:val="en-GB"/>
        </w:rPr>
        <w:t>Liqdtr</w:t>
      </w:r>
      <w:r w:rsidR="00BF2117">
        <w:rPr>
          <w:rFonts w:ascii="Arial" w:hAnsi="Arial" w:cs="Arial"/>
          <w:color w:val="7B7B7B" w:themeColor="accent3" w:themeShade="BF"/>
          <w:sz w:val="22"/>
          <w:szCs w:val="22"/>
          <w:vertAlign w:val="superscript"/>
          <w:lang w:val="en-GB"/>
        </w:rPr>
        <w:t>ly</w:t>
      </w:r>
      <w:proofErr w:type="spellEnd"/>
      <w:r w:rsidR="00BF2117">
        <w:rPr>
          <w:rFonts w:ascii="Arial" w:hAnsi="Arial" w:cs="Arial"/>
          <w:color w:val="7B7B7B" w:themeColor="accent3" w:themeShade="BF"/>
          <w:sz w:val="22"/>
          <w:szCs w:val="22"/>
          <w:lang w:val="en-GB"/>
        </w:rPr>
        <w:t xml:space="preserve"> will get recognition as FR of a Foreign Main Proceeding (FMP).</w:t>
      </w:r>
    </w:p>
    <w:p w14:paraId="5FE52490" w14:textId="77777777" w:rsidR="00FB20D9" w:rsidRDefault="00FB20D9" w:rsidP="001A007A">
      <w:pPr>
        <w:autoSpaceDE w:val="0"/>
        <w:autoSpaceDN w:val="0"/>
        <w:adjustRightInd w:val="0"/>
        <w:jc w:val="both"/>
        <w:rPr>
          <w:rFonts w:ascii="Arial" w:hAnsi="Arial" w:cs="Arial"/>
          <w:color w:val="7B7B7B" w:themeColor="accent3" w:themeShade="BF"/>
          <w:sz w:val="22"/>
          <w:szCs w:val="22"/>
          <w:lang w:val="en-GB"/>
        </w:rPr>
      </w:pPr>
    </w:p>
    <w:p w14:paraId="74B891A9" w14:textId="77777777" w:rsidR="00FB20D9" w:rsidRDefault="00BF2117"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7E2C5D">
        <w:rPr>
          <w:rFonts w:ascii="Arial" w:hAnsi="Arial" w:cs="Arial"/>
          <w:color w:val="7B7B7B" w:themeColor="accent3" w:themeShade="BF"/>
          <w:sz w:val="22"/>
          <w:szCs w:val="22"/>
          <w:lang w:val="en-GB"/>
        </w:rPr>
        <w:t xml:space="preserve">In respect of the second request </w:t>
      </w:r>
      <w:proofErr w:type="spellStart"/>
      <w:r w:rsidR="007E2C5D">
        <w:rPr>
          <w:rFonts w:ascii="Arial" w:hAnsi="Arial" w:cs="Arial"/>
          <w:color w:val="7B7B7B" w:themeColor="accent3" w:themeShade="BF"/>
          <w:sz w:val="22"/>
          <w:szCs w:val="22"/>
          <w:lang w:val="en-GB"/>
        </w:rPr>
        <w:t>i.e.for</w:t>
      </w:r>
      <w:proofErr w:type="spellEnd"/>
      <w:r w:rsidR="007E2C5D">
        <w:rPr>
          <w:rFonts w:ascii="Arial" w:hAnsi="Arial" w:cs="Arial"/>
          <w:color w:val="7B7B7B" w:themeColor="accent3" w:themeShade="BF"/>
          <w:sz w:val="22"/>
          <w:szCs w:val="22"/>
          <w:lang w:val="en-GB"/>
        </w:rPr>
        <w:t xml:space="preserve"> orders entrusting </w:t>
      </w:r>
      <w:proofErr w:type="spellStart"/>
      <w:r w:rsidR="007E2C5D">
        <w:rPr>
          <w:rFonts w:ascii="Arial" w:hAnsi="Arial" w:cs="Arial"/>
          <w:color w:val="7B7B7B" w:themeColor="accent3" w:themeShade="BF"/>
          <w:sz w:val="22"/>
          <w:szCs w:val="22"/>
          <w:lang w:val="en-GB"/>
        </w:rPr>
        <w:t>Aussiebee’s</w:t>
      </w:r>
      <w:proofErr w:type="spellEnd"/>
      <w:r w:rsidR="007E2C5D">
        <w:rPr>
          <w:rFonts w:ascii="Arial" w:hAnsi="Arial" w:cs="Arial"/>
          <w:color w:val="7B7B7B" w:themeColor="accent3" w:themeShade="BF"/>
          <w:sz w:val="22"/>
          <w:szCs w:val="22"/>
          <w:lang w:val="en-GB"/>
        </w:rPr>
        <w:t xml:space="preserve"> assets to her, for her to “realise them for th</w:t>
      </w:r>
      <w:r w:rsidR="00165EC7">
        <w:rPr>
          <w:rFonts w:ascii="Arial" w:hAnsi="Arial" w:cs="Arial"/>
          <w:color w:val="7B7B7B" w:themeColor="accent3" w:themeShade="BF"/>
          <w:sz w:val="22"/>
          <w:szCs w:val="22"/>
          <w:lang w:val="en-GB"/>
        </w:rPr>
        <w:t>e</w:t>
      </w:r>
      <w:r w:rsidR="007E2C5D">
        <w:rPr>
          <w:rFonts w:ascii="Arial" w:hAnsi="Arial" w:cs="Arial"/>
          <w:color w:val="7B7B7B" w:themeColor="accent3" w:themeShade="BF"/>
          <w:sz w:val="22"/>
          <w:szCs w:val="22"/>
          <w:lang w:val="en-GB"/>
        </w:rPr>
        <w:t xml:space="preserve"> benefit of creditors in </w:t>
      </w:r>
      <w:proofErr w:type="spellStart"/>
      <w:r w:rsidR="007E2C5D">
        <w:rPr>
          <w:rFonts w:ascii="Arial" w:hAnsi="Arial" w:cs="Arial"/>
          <w:color w:val="7B7B7B" w:themeColor="accent3" w:themeShade="BF"/>
          <w:sz w:val="22"/>
          <w:szCs w:val="22"/>
          <w:lang w:val="en-GB"/>
        </w:rPr>
        <w:t>Lyonnese</w:t>
      </w:r>
      <w:proofErr w:type="spellEnd"/>
      <w:r w:rsidR="007E2C5D">
        <w:rPr>
          <w:rFonts w:ascii="Arial" w:hAnsi="Arial" w:cs="Arial"/>
          <w:color w:val="7B7B7B" w:themeColor="accent3" w:themeShade="BF"/>
          <w:sz w:val="22"/>
          <w:szCs w:val="22"/>
          <w:lang w:val="en-GB"/>
        </w:rPr>
        <w:t xml:space="preserve"> liquidation</w:t>
      </w:r>
      <w:r w:rsidR="00165EC7">
        <w:rPr>
          <w:rFonts w:ascii="Arial" w:hAnsi="Arial" w:cs="Arial"/>
          <w:color w:val="7B7B7B" w:themeColor="accent3" w:themeShade="BF"/>
          <w:sz w:val="22"/>
          <w:szCs w:val="22"/>
          <w:lang w:val="en-GB"/>
        </w:rPr>
        <w:t>”</w:t>
      </w:r>
      <w:r w:rsidR="007E2C5D">
        <w:rPr>
          <w:rFonts w:ascii="Arial" w:hAnsi="Arial" w:cs="Arial"/>
          <w:color w:val="7B7B7B" w:themeColor="accent3" w:themeShade="BF"/>
          <w:sz w:val="22"/>
          <w:szCs w:val="22"/>
          <w:lang w:val="en-GB"/>
        </w:rPr>
        <w:t xml:space="preserve">, this cannot be granted in the terms requested as foreign revenue debt is not provable in </w:t>
      </w:r>
      <w:proofErr w:type="spellStart"/>
      <w:r w:rsidR="007E2C5D">
        <w:rPr>
          <w:rFonts w:ascii="Arial" w:hAnsi="Arial" w:cs="Arial"/>
          <w:color w:val="7B7B7B" w:themeColor="accent3" w:themeShade="BF"/>
          <w:sz w:val="22"/>
          <w:szCs w:val="22"/>
          <w:lang w:val="en-GB"/>
        </w:rPr>
        <w:t>Lyonnese</w:t>
      </w:r>
      <w:proofErr w:type="spellEnd"/>
      <w:r w:rsidR="007E2C5D">
        <w:rPr>
          <w:rFonts w:ascii="Arial" w:hAnsi="Arial" w:cs="Arial"/>
          <w:color w:val="7B7B7B" w:themeColor="accent3" w:themeShade="BF"/>
          <w:sz w:val="22"/>
          <w:szCs w:val="22"/>
          <w:lang w:val="en-GB"/>
        </w:rPr>
        <w:t xml:space="preserve"> and ATO’s dues are therefore, excluded in the potential distribution from the Liquidation Estate in </w:t>
      </w:r>
      <w:proofErr w:type="spellStart"/>
      <w:r w:rsidR="007E2C5D">
        <w:rPr>
          <w:rFonts w:ascii="Arial" w:hAnsi="Arial" w:cs="Arial"/>
          <w:color w:val="7B7B7B" w:themeColor="accent3" w:themeShade="BF"/>
          <w:sz w:val="22"/>
          <w:szCs w:val="22"/>
          <w:lang w:val="en-GB"/>
        </w:rPr>
        <w:t>Lyonnese</w:t>
      </w:r>
      <w:proofErr w:type="spellEnd"/>
      <w:r w:rsidR="007E2C5D">
        <w:rPr>
          <w:rFonts w:ascii="Arial" w:hAnsi="Arial" w:cs="Arial"/>
          <w:color w:val="7B7B7B" w:themeColor="accent3" w:themeShade="BF"/>
          <w:sz w:val="22"/>
          <w:szCs w:val="22"/>
          <w:lang w:val="en-GB"/>
        </w:rPr>
        <w:t xml:space="preserve">. The application of </w:t>
      </w:r>
      <w:proofErr w:type="spellStart"/>
      <w:r w:rsidR="007E2C5D">
        <w:rPr>
          <w:rFonts w:ascii="Arial" w:hAnsi="Arial" w:cs="Arial"/>
          <w:color w:val="7B7B7B" w:themeColor="accent3" w:themeShade="BF"/>
          <w:sz w:val="22"/>
          <w:szCs w:val="22"/>
          <w:lang w:val="en-GB"/>
        </w:rPr>
        <w:t>Lqdtr</w:t>
      </w:r>
      <w:r w:rsidR="007E2C5D">
        <w:rPr>
          <w:rFonts w:ascii="Arial" w:hAnsi="Arial" w:cs="Arial"/>
          <w:color w:val="7B7B7B" w:themeColor="accent3" w:themeShade="BF"/>
          <w:sz w:val="22"/>
          <w:szCs w:val="22"/>
          <w:vertAlign w:val="superscript"/>
          <w:lang w:val="en-GB"/>
        </w:rPr>
        <w:t>ly</w:t>
      </w:r>
      <w:proofErr w:type="spellEnd"/>
      <w:r w:rsidR="007E2C5D">
        <w:rPr>
          <w:rFonts w:ascii="Arial" w:hAnsi="Arial" w:cs="Arial"/>
          <w:color w:val="7B7B7B" w:themeColor="accent3" w:themeShade="BF"/>
          <w:sz w:val="22"/>
          <w:szCs w:val="22"/>
          <w:lang w:val="en-GB"/>
        </w:rPr>
        <w:t xml:space="preserve">  is u/Art 21 and Para 2 thereunder envisages that any order of the FCA is subject to the satisfaction of the Court that interests of creditors in Australia are adequately protected. In this case, there is patently a gap in the </w:t>
      </w:r>
      <w:proofErr w:type="spellStart"/>
      <w:r w:rsidR="007E2C5D">
        <w:rPr>
          <w:rFonts w:ascii="Arial" w:hAnsi="Arial" w:cs="Arial"/>
          <w:color w:val="7B7B7B" w:themeColor="accent3" w:themeShade="BF"/>
          <w:sz w:val="22"/>
          <w:szCs w:val="22"/>
          <w:lang w:val="en-GB"/>
        </w:rPr>
        <w:t>Lqdtr</w:t>
      </w:r>
      <w:r w:rsidR="007E2C5D">
        <w:rPr>
          <w:rFonts w:ascii="Arial" w:hAnsi="Arial" w:cs="Arial"/>
          <w:color w:val="7B7B7B" w:themeColor="accent3" w:themeShade="BF"/>
          <w:sz w:val="22"/>
          <w:szCs w:val="22"/>
          <w:vertAlign w:val="superscript"/>
          <w:lang w:val="en-GB"/>
        </w:rPr>
        <w:t>ly</w:t>
      </w:r>
      <w:proofErr w:type="spellEnd"/>
      <w:r w:rsidR="007E2C5D">
        <w:rPr>
          <w:rFonts w:ascii="Arial" w:hAnsi="Arial" w:cs="Arial"/>
          <w:color w:val="7B7B7B" w:themeColor="accent3" w:themeShade="BF"/>
          <w:sz w:val="22"/>
          <w:szCs w:val="22"/>
          <w:vertAlign w:val="superscript"/>
          <w:lang w:val="en-GB"/>
        </w:rPr>
        <w:noBreakHyphen/>
        <w:t xml:space="preserve"> ‘</w:t>
      </w:r>
      <w:r w:rsidR="007E2C5D">
        <w:rPr>
          <w:rFonts w:ascii="Arial" w:hAnsi="Arial" w:cs="Arial"/>
          <w:color w:val="7B7B7B" w:themeColor="accent3" w:themeShade="BF"/>
          <w:sz w:val="22"/>
          <w:szCs w:val="22"/>
          <w:lang w:val="en-GB"/>
        </w:rPr>
        <w:t xml:space="preserve">’s application which simply confines distribution to creditors in the </w:t>
      </w:r>
      <w:proofErr w:type="spellStart"/>
      <w:r w:rsidR="007E2C5D">
        <w:rPr>
          <w:rFonts w:ascii="Arial" w:hAnsi="Arial" w:cs="Arial"/>
          <w:color w:val="7B7B7B" w:themeColor="accent3" w:themeShade="BF"/>
          <w:sz w:val="22"/>
          <w:szCs w:val="22"/>
          <w:lang w:val="en-GB"/>
        </w:rPr>
        <w:t>Lyonnese</w:t>
      </w:r>
      <w:proofErr w:type="spellEnd"/>
      <w:r w:rsidR="007E2C5D">
        <w:rPr>
          <w:rFonts w:ascii="Arial" w:hAnsi="Arial" w:cs="Arial"/>
          <w:color w:val="7B7B7B" w:themeColor="accent3" w:themeShade="BF"/>
          <w:sz w:val="22"/>
          <w:szCs w:val="22"/>
          <w:lang w:val="en-GB"/>
        </w:rPr>
        <w:t xml:space="preserve"> liquidation. The </w:t>
      </w:r>
      <w:proofErr w:type="spellStart"/>
      <w:r w:rsidR="007E2C5D">
        <w:rPr>
          <w:rFonts w:ascii="Arial" w:hAnsi="Arial" w:cs="Arial"/>
          <w:color w:val="7B7B7B" w:themeColor="accent3" w:themeShade="BF"/>
          <w:sz w:val="22"/>
          <w:szCs w:val="22"/>
          <w:lang w:val="en-GB"/>
        </w:rPr>
        <w:t>Lqdtr</w:t>
      </w:r>
      <w:r w:rsidR="007E2C5D">
        <w:rPr>
          <w:rFonts w:ascii="Arial" w:hAnsi="Arial" w:cs="Arial"/>
          <w:color w:val="7B7B7B" w:themeColor="accent3" w:themeShade="BF"/>
          <w:sz w:val="22"/>
          <w:szCs w:val="22"/>
          <w:vertAlign w:val="superscript"/>
          <w:lang w:val="en-GB"/>
        </w:rPr>
        <w:t>ly</w:t>
      </w:r>
      <w:proofErr w:type="spellEnd"/>
      <w:r w:rsidR="007E2C5D">
        <w:rPr>
          <w:rFonts w:ascii="Arial" w:hAnsi="Arial" w:cs="Arial"/>
          <w:color w:val="7B7B7B" w:themeColor="accent3" w:themeShade="BF"/>
          <w:sz w:val="22"/>
          <w:szCs w:val="22"/>
          <w:lang w:val="en-GB"/>
        </w:rPr>
        <w:t xml:space="preserve"> has not been in any obligation to give notice to any creditors in Australia </w:t>
      </w:r>
      <w:r w:rsidR="00514B9C">
        <w:rPr>
          <w:rFonts w:ascii="Arial" w:hAnsi="Arial" w:cs="Arial"/>
          <w:color w:val="7B7B7B" w:themeColor="accent3" w:themeShade="BF"/>
          <w:sz w:val="22"/>
          <w:szCs w:val="22"/>
          <w:lang w:val="en-GB"/>
        </w:rPr>
        <w:t xml:space="preserve">related to the application for recognition u/Art 15. (It is possible, however that as part of the earlier ;liquidation process in </w:t>
      </w:r>
      <w:proofErr w:type="spellStart"/>
      <w:r w:rsidR="00514B9C">
        <w:rPr>
          <w:rFonts w:ascii="Arial" w:hAnsi="Arial" w:cs="Arial"/>
          <w:color w:val="7B7B7B" w:themeColor="accent3" w:themeShade="BF"/>
          <w:sz w:val="22"/>
          <w:szCs w:val="22"/>
          <w:lang w:val="en-GB"/>
        </w:rPr>
        <w:t>Lyonnese</w:t>
      </w:r>
      <w:proofErr w:type="spellEnd"/>
      <w:r w:rsidR="00514B9C">
        <w:rPr>
          <w:rFonts w:ascii="Arial" w:hAnsi="Arial" w:cs="Arial"/>
          <w:color w:val="7B7B7B" w:themeColor="accent3" w:themeShade="BF"/>
          <w:sz w:val="22"/>
          <w:szCs w:val="22"/>
          <w:lang w:val="en-GB"/>
        </w:rPr>
        <w:t xml:space="preserve"> , notices were publicly issued in Australia , and eligible creditors in Australia have filed proofs of debt with </w:t>
      </w:r>
      <w:proofErr w:type="spellStart"/>
      <w:r w:rsidR="00514B9C">
        <w:rPr>
          <w:rFonts w:ascii="Arial" w:hAnsi="Arial" w:cs="Arial"/>
          <w:color w:val="7B7B7B" w:themeColor="accent3" w:themeShade="BF"/>
          <w:sz w:val="22"/>
          <w:szCs w:val="22"/>
          <w:lang w:val="en-GB"/>
        </w:rPr>
        <w:t>Lqdtr</w:t>
      </w:r>
      <w:r w:rsidR="00514B9C">
        <w:rPr>
          <w:rFonts w:ascii="Arial" w:hAnsi="Arial" w:cs="Arial"/>
          <w:color w:val="7B7B7B" w:themeColor="accent3" w:themeShade="BF"/>
          <w:sz w:val="22"/>
          <w:szCs w:val="22"/>
          <w:vertAlign w:val="superscript"/>
          <w:lang w:val="en-GB"/>
        </w:rPr>
        <w:t>ly</w:t>
      </w:r>
      <w:proofErr w:type="spellEnd"/>
      <w:r w:rsidR="00514B9C">
        <w:rPr>
          <w:rFonts w:ascii="Arial" w:hAnsi="Arial" w:cs="Arial"/>
          <w:color w:val="7B7B7B" w:themeColor="accent3" w:themeShade="BF"/>
          <w:sz w:val="22"/>
          <w:szCs w:val="22"/>
          <w:lang w:val="en-GB"/>
        </w:rPr>
        <w:t xml:space="preserve"> . There is no information provided to the Court by </w:t>
      </w:r>
      <w:proofErr w:type="spellStart"/>
      <w:r w:rsidR="00514B9C">
        <w:rPr>
          <w:rFonts w:ascii="Arial" w:hAnsi="Arial" w:cs="Arial"/>
          <w:color w:val="7B7B7B" w:themeColor="accent3" w:themeShade="BF"/>
          <w:sz w:val="22"/>
          <w:szCs w:val="22"/>
          <w:lang w:val="en-GB"/>
        </w:rPr>
        <w:t>Lqdtr</w:t>
      </w:r>
      <w:r w:rsidR="00514B9C">
        <w:rPr>
          <w:rFonts w:ascii="Arial" w:hAnsi="Arial" w:cs="Arial"/>
          <w:color w:val="7B7B7B" w:themeColor="accent3" w:themeShade="BF"/>
          <w:sz w:val="22"/>
          <w:szCs w:val="22"/>
          <w:vertAlign w:val="superscript"/>
          <w:lang w:val="en-GB"/>
        </w:rPr>
        <w:t>ly</w:t>
      </w:r>
      <w:proofErr w:type="spellEnd"/>
      <w:r w:rsidR="00514B9C">
        <w:rPr>
          <w:rFonts w:ascii="Arial" w:hAnsi="Arial" w:cs="Arial"/>
          <w:color w:val="7B7B7B" w:themeColor="accent3" w:themeShade="BF"/>
          <w:sz w:val="22"/>
          <w:szCs w:val="22"/>
          <w:lang w:val="en-GB"/>
        </w:rPr>
        <w:t xml:space="preserve"> on this.) </w:t>
      </w:r>
    </w:p>
    <w:p w14:paraId="3BD227F0" w14:textId="77777777" w:rsidR="00FB20D9" w:rsidRDefault="00FB20D9" w:rsidP="001A007A">
      <w:pPr>
        <w:autoSpaceDE w:val="0"/>
        <w:autoSpaceDN w:val="0"/>
        <w:adjustRightInd w:val="0"/>
        <w:jc w:val="both"/>
        <w:rPr>
          <w:rFonts w:ascii="Arial" w:hAnsi="Arial" w:cs="Arial"/>
          <w:color w:val="7B7B7B" w:themeColor="accent3" w:themeShade="BF"/>
          <w:sz w:val="22"/>
          <w:szCs w:val="22"/>
          <w:lang w:val="en-GB"/>
        </w:rPr>
      </w:pPr>
    </w:p>
    <w:p w14:paraId="1312707A" w14:textId="672D7DFA" w:rsidR="001A007A" w:rsidRPr="002A37BB" w:rsidRDefault="00514B9C" w:rsidP="001A007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Presumably, ATO is now aware of the </w:t>
      </w:r>
      <w:proofErr w:type="spellStart"/>
      <w:r>
        <w:rPr>
          <w:rFonts w:ascii="Arial" w:hAnsi="Arial" w:cs="Arial"/>
          <w:color w:val="7B7B7B" w:themeColor="accent3" w:themeShade="BF"/>
          <w:sz w:val="22"/>
          <w:szCs w:val="22"/>
          <w:lang w:val="en-GB"/>
        </w:rPr>
        <w:t>Lqdtr</w:t>
      </w:r>
      <w:r>
        <w:rPr>
          <w:rFonts w:ascii="Arial" w:hAnsi="Arial" w:cs="Arial"/>
          <w:color w:val="7B7B7B" w:themeColor="accent3" w:themeShade="BF"/>
          <w:sz w:val="22"/>
          <w:szCs w:val="22"/>
          <w:vertAlign w:val="superscript"/>
          <w:lang w:val="en-GB"/>
        </w:rPr>
        <w:t>ly</w:t>
      </w:r>
      <w:r>
        <w:rPr>
          <w:rFonts w:ascii="Arial" w:hAnsi="Arial" w:cs="Arial"/>
          <w:color w:val="7B7B7B" w:themeColor="accent3" w:themeShade="BF"/>
          <w:sz w:val="22"/>
          <w:szCs w:val="22"/>
          <w:lang w:val="en-GB"/>
        </w:rPr>
        <w:t>’s</w:t>
      </w:r>
      <w:proofErr w:type="spellEnd"/>
      <w:r>
        <w:rPr>
          <w:rFonts w:ascii="Arial" w:hAnsi="Arial" w:cs="Arial"/>
          <w:color w:val="7B7B7B" w:themeColor="accent3" w:themeShade="BF"/>
          <w:sz w:val="22"/>
          <w:szCs w:val="22"/>
          <w:lang w:val="en-GB"/>
        </w:rPr>
        <w:t xml:space="preserve"> application u/Art 21 at this application stage itself. Since recognition as FMP may be given or is already given, an automatic stay u/Art 20 is in force barring, inter alia, any enforcement or action even regarding the shareholding of </w:t>
      </w:r>
      <w:proofErr w:type="spellStart"/>
      <w:r>
        <w:rPr>
          <w:rFonts w:ascii="Arial" w:hAnsi="Arial" w:cs="Arial"/>
          <w:color w:val="7B7B7B" w:themeColor="accent3" w:themeShade="BF"/>
          <w:sz w:val="22"/>
          <w:szCs w:val="22"/>
          <w:lang w:val="en-GB"/>
        </w:rPr>
        <w:t>Aussiebee</w:t>
      </w:r>
      <w:proofErr w:type="spellEnd"/>
      <w:r>
        <w:rPr>
          <w:rFonts w:ascii="Arial" w:hAnsi="Arial" w:cs="Arial"/>
          <w:color w:val="7B7B7B" w:themeColor="accent3" w:themeShade="BF"/>
          <w:sz w:val="22"/>
          <w:szCs w:val="22"/>
          <w:lang w:val="en-GB"/>
        </w:rPr>
        <w:t xml:space="preserve"> in </w:t>
      </w:r>
      <w:proofErr w:type="spellStart"/>
      <w:r>
        <w:rPr>
          <w:rFonts w:ascii="Arial" w:hAnsi="Arial" w:cs="Arial"/>
          <w:color w:val="7B7B7B" w:themeColor="accent3" w:themeShade="BF"/>
          <w:sz w:val="22"/>
          <w:szCs w:val="22"/>
          <w:lang w:val="en-GB"/>
        </w:rPr>
        <w:t>NewYums</w:t>
      </w:r>
      <w:proofErr w:type="spellEnd"/>
      <w:r>
        <w:rPr>
          <w:rFonts w:ascii="Arial" w:hAnsi="Arial" w:cs="Arial"/>
          <w:color w:val="7B7B7B" w:themeColor="accent3" w:themeShade="BF"/>
          <w:sz w:val="22"/>
          <w:szCs w:val="22"/>
          <w:lang w:val="en-GB"/>
        </w:rPr>
        <w:t xml:space="preserve">. </w:t>
      </w:r>
      <w:r w:rsidR="00943A02">
        <w:rPr>
          <w:rFonts w:ascii="Arial" w:hAnsi="Arial" w:cs="Arial"/>
          <w:color w:val="7B7B7B" w:themeColor="accent3" w:themeShade="BF"/>
          <w:sz w:val="22"/>
          <w:szCs w:val="22"/>
          <w:lang w:val="en-GB"/>
        </w:rPr>
        <w:t>It is relevant that , under Australian law, ATO’s dues rank as unsecured dues and as provable debt in an Australian liquidation.</w:t>
      </w:r>
      <w:r w:rsidR="00BF2117">
        <w:rPr>
          <w:rFonts w:ascii="Arial" w:hAnsi="Arial" w:cs="Arial"/>
          <w:color w:val="7B7B7B" w:themeColor="accent3" w:themeShade="BF"/>
          <w:sz w:val="22"/>
          <w:szCs w:val="22"/>
          <w:lang w:val="en-GB"/>
        </w:rPr>
        <w:t xml:space="preserve"> </w:t>
      </w:r>
      <w:r w:rsidR="00943A02">
        <w:rPr>
          <w:rFonts w:ascii="Arial" w:hAnsi="Arial" w:cs="Arial"/>
          <w:color w:val="7B7B7B" w:themeColor="accent3" w:themeShade="BF"/>
          <w:sz w:val="22"/>
          <w:szCs w:val="22"/>
          <w:lang w:val="en-GB"/>
        </w:rPr>
        <w:t xml:space="preserve">ATO must, accordingly, petition FCA to stipulate that </w:t>
      </w:r>
      <w:proofErr w:type="spellStart"/>
      <w:r w:rsidR="00943A02">
        <w:rPr>
          <w:rFonts w:ascii="Arial" w:hAnsi="Arial" w:cs="Arial"/>
          <w:color w:val="7B7B7B" w:themeColor="accent3" w:themeShade="BF"/>
          <w:sz w:val="22"/>
          <w:szCs w:val="22"/>
          <w:lang w:val="en-GB"/>
        </w:rPr>
        <w:t>Lqdtr</w:t>
      </w:r>
      <w:r w:rsidR="00943A02">
        <w:rPr>
          <w:rFonts w:ascii="Arial" w:hAnsi="Arial" w:cs="Arial"/>
          <w:color w:val="7B7B7B" w:themeColor="accent3" w:themeShade="BF"/>
          <w:sz w:val="22"/>
          <w:szCs w:val="22"/>
          <w:vertAlign w:val="superscript"/>
          <w:lang w:val="en-GB"/>
        </w:rPr>
        <w:t>ly</w:t>
      </w:r>
      <w:proofErr w:type="spellEnd"/>
      <w:r w:rsidR="00943A02">
        <w:rPr>
          <w:rFonts w:ascii="Arial" w:hAnsi="Arial" w:cs="Arial"/>
          <w:color w:val="7B7B7B" w:themeColor="accent3" w:themeShade="BF"/>
          <w:sz w:val="22"/>
          <w:szCs w:val="22"/>
          <w:lang w:val="en-GB"/>
        </w:rPr>
        <w:t xml:space="preserve"> must , even if entrusted with assets of </w:t>
      </w:r>
      <w:proofErr w:type="spellStart"/>
      <w:r w:rsidR="00943A02">
        <w:rPr>
          <w:rFonts w:ascii="Arial" w:hAnsi="Arial" w:cs="Arial"/>
          <w:color w:val="7B7B7B" w:themeColor="accent3" w:themeShade="BF"/>
          <w:sz w:val="22"/>
          <w:szCs w:val="22"/>
          <w:lang w:val="en-GB"/>
        </w:rPr>
        <w:t>Aussiebee</w:t>
      </w:r>
      <w:proofErr w:type="spellEnd"/>
      <w:r w:rsidR="00943A02">
        <w:rPr>
          <w:rFonts w:ascii="Arial" w:hAnsi="Arial" w:cs="Arial"/>
          <w:color w:val="7B7B7B" w:themeColor="accent3" w:themeShade="BF"/>
          <w:sz w:val="22"/>
          <w:szCs w:val="22"/>
          <w:lang w:val="en-GB"/>
        </w:rPr>
        <w:t xml:space="preserve"> in Australia for realisation as Liquidator, remit the proceeds for distribution in the </w:t>
      </w:r>
      <w:proofErr w:type="spellStart"/>
      <w:r w:rsidR="00943A02">
        <w:rPr>
          <w:rFonts w:ascii="Arial" w:hAnsi="Arial" w:cs="Arial"/>
          <w:color w:val="7B7B7B" w:themeColor="accent3" w:themeShade="BF"/>
          <w:sz w:val="22"/>
          <w:szCs w:val="22"/>
          <w:lang w:val="en-GB"/>
        </w:rPr>
        <w:t>Lyonnese</w:t>
      </w:r>
      <w:proofErr w:type="spellEnd"/>
      <w:r w:rsidR="00943A02">
        <w:rPr>
          <w:rFonts w:ascii="Arial" w:hAnsi="Arial" w:cs="Arial"/>
          <w:color w:val="7B7B7B" w:themeColor="accent3" w:themeShade="BF"/>
          <w:sz w:val="22"/>
          <w:szCs w:val="22"/>
          <w:lang w:val="en-GB"/>
        </w:rPr>
        <w:t xml:space="preserve"> liquidation only after arriving at the proportionate share of ATO in the liquidation estate and escrowing in a separate account </w:t>
      </w:r>
      <w:r w:rsidR="001A007A" w:rsidRPr="002A37BB">
        <w:rPr>
          <w:rFonts w:ascii="Arial" w:hAnsi="Arial" w:cs="Arial"/>
          <w:color w:val="7B7B7B" w:themeColor="accent3" w:themeShade="BF"/>
          <w:sz w:val="22"/>
          <w:szCs w:val="22"/>
          <w:lang w:val="en-GB"/>
        </w:rPr>
        <w:t xml:space="preserve"> </w:t>
      </w:r>
      <w:r w:rsidR="00FB20D9">
        <w:rPr>
          <w:rFonts w:ascii="Arial" w:hAnsi="Arial" w:cs="Arial"/>
          <w:color w:val="7B7B7B" w:themeColor="accent3" w:themeShade="BF"/>
          <w:sz w:val="22"/>
          <w:szCs w:val="22"/>
          <w:lang w:val="en-GB"/>
        </w:rPr>
        <w:t xml:space="preserve">in Australia, the amount corresponding to that proportionate </w:t>
      </w:r>
      <w:r w:rsidR="00943A02">
        <w:rPr>
          <w:rFonts w:ascii="Arial" w:hAnsi="Arial" w:cs="Arial"/>
          <w:color w:val="7B7B7B" w:themeColor="accent3" w:themeShade="BF"/>
          <w:sz w:val="22"/>
          <w:szCs w:val="22"/>
          <w:lang w:val="en-GB"/>
        </w:rPr>
        <w:t xml:space="preserve"> share of ATO. We may accept, in alignment with one of the Second Appeal jud</w:t>
      </w:r>
      <w:r w:rsidR="00FB20D9">
        <w:rPr>
          <w:rFonts w:ascii="Arial" w:hAnsi="Arial" w:cs="Arial"/>
          <w:color w:val="7B7B7B" w:themeColor="accent3" w:themeShade="BF"/>
          <w:sz w:val="22"/>
          <w:szCs w:val="22"/>
          <w:lang w:val="en-GB"/>
        </w:rPr>
        <w:t>gments in the UK courts on HIH Casualty and General I</w:t>
      </w:r>
      <w:r w:rsidR="00943A02">
        <w:rPr>
          <w:rFonts w:ascii="Arial" w:hAnsi="Arial" w:cs="Arial"/>
          <w:color w:val="7B7B7B" w:themeColor="accent3" w:themeShade="BF"/>
          <w:sz w:val="22"/>
          <w:szCs w:val="22"/>
          <w:lang w:val="en-GB"/>
        </w:rPr>
        <w:t>nsurance , that an FMP is a universal proceeding</w:t>
      </w:r>
      <w:r w:rsidR="00165EC7">
        <w:rPr>
          <w:rFonts w:ascii="Arial" w:hAnsi="Arial" w:cs="Arial"/>
          <w:color w:val="7B7B7B" w:themeColor="accent3" w:themeShade="BF"/>
          <w:sz w:val="22"/>
          <w:szCs w:val="22"/>
          <w:lang w:val="en-GB"/>
        </w:rPr>
        <w:t>. Care of the interests of ATO requires that rights determined in accord with Australian law are protected.</w:t>
      </w:r>
      <w:r w:rsidR="00FB20D9">
        <w:rPr>
          <w:rFonts w:ascii="Arial" w:hAnsi="Arial" w:cs="Arial"/>
          <w:color w:val="7B7B7B" w:themeColor="accent3" w:themeShade="BF"/>
          <w:sz w:val="22"/>
          <w:szCs w:val="22"/>
          <w:lang w:val="en-GB"/>
        </w:rPr>
        <w:t xml:space="preserve"> </w:t>
      </w:r>
      <w:r w:rsidR="00165EC7">
        <w:rPr>
          <w:rFonts w:ascii="Arial" w:hAnsi="Arial" w:cs="Arial"/>
          <w:color w:val="7B7B7B" w:themeColor="accent3" w:themeShade="BF"/>
          <w:sz w:val="22"/>
          <w:szCs w:val="22"/>
          <w:lang w:val="en-GB"/>
        </w:rPr>
        <w:t xml:space="preserve">ATO may also request that the Court is better-placed than </w:t>
      </w:r>
      <w:proofErr w:type="spellStart"/>
      <w:r w:rsidR="00165EC7">
        <w:rPr>
          <w:rFonts w:ascii="Arial" w:hAnsi="Arial" w:cs="Arial"/>
          <w:color w:val="7B7B7B" w:themeColor="accent3" w:themeShade="BF"/>
          <w:sz w:val="22"/>
          <w:szCs w:val="22"/>
          <w:lang w:val="en-GB"/>
        </w:rPr>
        <w:t>Lqdtr</w:t>
      </w:r>
      <w:r w:rsidR="00165EC7">
        <w:rPr>
          <w:rFonts w:ascii="Arial" w:hAnsi="Arial" w:cs="Arial"/>
          <w:color w:val="7B7B7B" w:themeColor="accent3" w:themeShade="BF"/>
          <w:sz w:val="22"/>
          <w:szCs w:val="22"/>
          <w:vertAlign w:val="superscript"/>
          <w:lang w:val="en-GB"/>
        </w:rPr>
        <w:t>ly</w:t>
      </w:r>
      <w:proofErr w:type="spellEnd"/>
      <w:r w:rsidR="00165EC7">
        <w:rPr>
          <w:rFonts w:ascii="Arial" w:hAnsi="Arial" w:cs="Arial"/>
          <w:color w:val="7B7B7B" w:themeColor="accent3" w:themeShade="BF"/>
          <w:sz w:val="22"/>
          <w:szCs w:val="22"/>
          <w:lang w:val="en-GB"/>
        </w:rPr>
        <w:t xml:space="preserve"> to validate the claim of ATO and so the Court may be requested to adjudicate the ATO claim for settlement from the assets of </w:t>
      </w:r>
      <w:proofErr w:type="spellStart"/>
      <w:r w:rsidR="00165EC7">
        <w:rPr>
          <w:rFonts w:ascii="Arial" w:hAnsi="Arial" w:cs="Arial"/>
          <w:color w:val="7B7B7B" w:themeColor="accent3" w:themeShade="BF"/>
          <w:sz w:val="22"/>
          <w:szCs w:val="22"/>
          <w:lang w:val="en-GB"/>
        </w:rPr>
        <w:t>A</w:t>
      </w:r>
      <w:r w:rsidR="0026004E">
        <w:rPr>
          <w:rFonts w:ascii="Arial" w:hAnsi="Arial" w:cs="Arial"/>
          <w:color w:val="7B7B7B" w:themeColor="accent3" w:themeShade="BF"/>
          <w:sz w:val="22"/>
          <w:szCs w:val="22"/>
          <w:lang w:val="en-GB"/>
        </w:rPr>
        <w:t>ussibee</w:t>
      </w:r>
      <w:proofErr w:type="spellEnd"/>
      <w:r w:rsidR="0026004E">
        <w:rPr>
          <w:rFonts w:ascii="Arial" w:hAnsi="Arial" w:cs="Arial"/>
          <w:color w:val="7B7B7B" w:themeColor="accent3" w:themeShade="BF"/>
          <w:sz w:val="22"/>
          <w:szCs w:val="22"/>
          <w:lang w:val="en-GB"/>
        </w:rPr>
        <w:t xml:space="preserve"> including share</w:t>
      </w:r>
      <w:r w:rsidR="00165EC7">
        <w:rPr>
          <w:rFonts w:ascii="Arial" w:hAnsi="Arial" w:cs="Arial"/>
          <w:color w:val="7B7B7B" w:themeColor="accent3" w:themeShade="BF"/>
          <w:sz w:val="22"/>
          <w:szCs w:val="22"/>
          <w:lang w:val="en-GB"/>
        </w:rPr>
        <w:t xml:space="preserve">s in New </w:t>
      </w:r>
      <w:proofErr w:type="spellStart"/>
      <w:r w:rsidR="00165EC7">
        <w:rPr>
          <w:rFonts w:ascii="Arial" w:hAnsi="Arial" w:cs="Arial"/>
          <w:color w:val="7B7B7B" w:themeColor="accent3" w:themeShade="BF"/>
          <w:sz w:val="22"/>
          <w:szCs w:val="22"/>
          <w:lang w:val="en-GB"/>
        </w:rPr>
        <w:t>Yums</w:t>
      </w:r>
      <w:proofErr w:type="spellEnd"/>
      <w:r w:rsidR="00165EC7">
        <w:rPr>
          <w:rFonts w:ascii="Arial" w:hAnsi="Arial" w:cs="Arial"/>
          <w:color w:val="7B7B7B" w:themeColor="accent3" w:themeShade="BF"/>
          <w:sz w:val="22"/>
          <w:szCs w:val="22"/>
          <w:lang w:val="en-GB"/>
        </w:rPr>
        <w:t>.</w:t>
      </w:r>
      <w:r w:rsidR="001A007A" w:rsidRPr="002A37BB">
        <w:rPr>
          <w:rFonts w:ascii="Arial" w:hAnsi="Arial" w:cs="Arial"/>
          <w:color w:val="7B7B7B" w:themeColor="accent3" w:themeShade="BF"/>
          <w:sz w:val="22"/>
          <w:szCs w:val="22"/>
          <w:lang w:val="en-GB"/>
        </w:rPr>
        <w:t>]</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39B91B62"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244223E" w14:textId="01CEF308" w:rsidR="003361F2" w:rsidRDefault="002476AF" w:rsidP="002476AF">
      <w:pPr>
        <w:jc w:val="both"/>
        <w:rPr>
          <w:rFonts w:ascii="Arial" w:hAnsi="Arial" w:cs="Arial"/>
          <w:iCs/>
          <w:sz w:val="22"/>
          <w:szCs w:val="22"/>
          <w:lang w:val="en-GB"/>
        </w:rPr>
      </w:pPr>
      <w:bookmarkStart w:id="1" w:name="_Hlk60755414"/>
      <w:proofErr w:type="spellStart"/>
      <w:r>
        <w:rPr>
          <w:rFonts w:ascii="Arial" w:hAnsi="Arial" w:cs="Arial"/>
          <w:sz w:val="22"/>
          <w:szCs w:val="22"/>
          <w:lang w:val="en-GB"/>
        </w:rPr>
        <w:lastRenderedPageBreak/>
        <w:t>Shipmin</w:t>
      </w:r>
      <w:proofErr w:type="spellEnd"/>
      <w:r>
        <w:rPr>
          <w:rFonts w:ascii="Arial" w:hAnsi="Arial" w:cs="Arial"/>
          <w:sz w:val="22"/>
          <w:szCs w:val="22"/>
          <w:lang w:val="en-GB"/>
        </w:rPr>
        <w:t xml:space="preserve"> </w:t>
      </w:r>
      <w:r w:rsidR="00B811C1">
        <w:rPr>
          <w:rFonts w:ascii="Arial" w:hAnsi="Arial" w:cs="Arial"/>
          <w:sz w:val="22"/>
          <w:szCs w:val="22"/>
          <w:lang w:val="en-GB"/>
        </w:rPr>
        <w:t xml:space="preserve">Pty Ltd </w:t>
      </w:r>
      <w:r w:rsidR="0074088D">
        <w:rPr>
          <w:rFonts w:ascii="Arial" w:hAnsi="Arial" w:cs="Arial"/>
          <w:sz w:val="22"/>
          <w:szCs w:val="22"/>
          <w:lang w:val="en-GB"/>
        </w:rPr>
        <w:t>(</w:t>
      </w:r>
      <w:proofErr w:type="spellStart"/>
      <w:r w:rsidR="0074088D">
        <w:rPr>
          <w:rFonts w:ascii="Arial" w:hAnsi="Arial" w:cs="Arial"/>
          <w:sz w:val="22"/>
          <w:szCs w:val="22"/>
          <w:lang w:val="en-GB"/>
        </w:rPr>
        <w:t>Shipmin</w:t>
      </w:r>
      <w:proofErr w:type="spellEnd"/>
      <w:r w:rsidR="0074088D">
        <w:rPr>
          <w:rFonts w:ascii="Arial" w:hAnsi="Arial" w:cs="Arial"/>
          <w:sz w:val="22"/>
          <w:szCs w:val="22"/>
          <w:lang w:val="en-GB"/>
        </w:rPr>
        <w:t xml:space="preserve">) </w:t>
      </w:r>
      <w:r>
        <w:rPr>
          <w:rFonts w:ascii="Arial" w:hAnsi="Arial" w:cs="Arial"/>
          <w:sz w:val="22"/>
          <w:szCs w:val="22"/>
          <w:lang w:val="en-GB"/>
        </w:rPr>
        <w:t>is a company incorporated in Australia.</w:t>
      </w:r>
      <w:r>
        <w:rPr>
          <w:rFonts w:ascii="Arial" w:hAnsi="Arial" w:cs="Arial"/>
          <w:i/>
          <w:sz w:val="22"/>
          <w:szCs w:val="22"/>
          <w:lang w:val="en-GB"/>
        </w:rPr>
        <w:t xml:space="preserve"> </w:t>
      </w:r>
      <w:proofErr w:type="spellStart"/>
      <w:r w:rsidR="004D05ED">
        <w:rPr>
          <w:rFonts w:ascii="Arial" w:hAnsi="Arial" w:cs="Arial"/>
          <w:iCs/>
          <w:sz w:val="22"/>
          <w:szCs w:val="22"/>
          <w:lang w:val="en-GB"/>
        </w:rPr>
        <w:t>Shipmin</w:t>
      </w:r>
      <w:proofErr w:type="spellEnd"/>
      <w:r w:rsidR="004D05ED">
        <w:rPr>
          <w:rFonts w:ascii="Arial" w:hAnsi="Arial" w:cs="Arial"/>
          <w:iCs/>
          <w:sz w:val="22"/>
          <w:szCs w:val="22"/>
          <w:lang w:val="en-GB"/>
        </w:rPr>
        <w:t xml:space="preserve"> owned two cargo ships, one valued at AUD 20 million, the other at AUD 15 million. About 3 months ago, </w:t>
      </w:r>
      <w:proofErr w:type="spellStart"/>
      <w:r w:rsidR="004D05ED">
        <w:rPr>
          <w:rFonts w:ascii="Arial" w:hAnsi="Arial" w:cs="Arial"/>
          <w:iCs/>
          <w:sz w:val="22"/>
          <w:szCs w:val="22"/>
          <w:lang w:val="en-GB"/>
        </w:rPr>
        <w:t>Shipmin</w:t>
      </w:r>
      <w:proofErr w:type="spellEnd"/>
      <w:r w:rsidR="004D05ED">
        <w:rPr>
          <w:rFonts w:ascii="Arial" w:hAnsi="Arial" w:cs="Arial"/>
          <w:iCs/>
          <w:sz w:val="22"/>
          <w:szCs w:val="22"/>
          <w:lang w:val="en-GB"/>
        </w:rPr>
        <w:t xml:space="preserve"> sold the AUD 20 million cargo ship and paid the full proceeds of AUD 20 million to</w:t>
      </w:r>
      <w:r w:rsidR="003361F2">
        <w:rPr>
          <w:rFonts w:ascii="Arial" w:hAnsi="Arial" w:cs="Arial"/>
          <w:iCs/>
          <w:sz w:val="22"/>
          <w:szCs w:val="22"/>
          <w:lang w:val="en-GB"/>
        </w:rPr>
        <w:t xml:space="preserve"> its parent company</w:t>
      </w:r>
      <w:r w:rsidR="004D05ED">
        <w:rPr>
          <w:rFonts w:ascii="Arial" w:hAnsi="Arial" w:cs="Arial"/>
          <w:iCs/>
          <w:sz w:val="22"/>
          <w:szCs w:val="22"/>
          <w:lang w:val="en-GB"/>
        </w:rPr>
        <w:t xml:space="preserve"> </w:t>
      </w:r>
      <w:proofErr w:type="spellStart"/>
      <w:r w:rsidR="004D05ED">
        <w:rPr>
          <w:rFonts w:ascii="Arial" w:hAnsi="Arial" w:cs="Arial"/>
          <w:iCs/>
          <w:sz w:val="22"/>
          <w:szCs w:val="22"/>
          <w:lang w:val="en-GB"/>
        </w:rPr>
        <w:t>Shipmax</w:t>
      </w:r>
      <w:proofErr w:type="spellEnd"/>
      <w:r w:rsidR="004D05ED">
        <w:rPr>
          <w:rFonts w:ascii="Arial" w:hAnsi="Arial" w:cs="Arial"/>
          <w:iCs/>
          <w:sz w:val="22"/>
          <w:szCs w:val="22"/>
          <w:lang w:val="en-GB"/>
        </w:rPr>
        <w:t xml:space="preserve"> </w:t>
      </w:r>
      <w:r w:rsidR="003361F2">
        <w:rPr>
          <w:rFonts w:ascii="Arial" w:hAnsi="Arial" w:cs="Arial"/>
          <w:iCs/>
          <w:sz w:val="22"/>
          <w:szCs w:val="22"/>
          <w:lang w:val="en-GB"/>
        </w:rPr>
        <w:t>Ltd (</w:t>
      </w:r>
      <w:proofErr w:type="spellStart"/>
      <w:r w:rsidR="003361F2">
        <w:rPr>
          <w:rFonts w:ascii="Arial" w:hAnsi="Arial" w:cs="Arial"/>
          <w:iCs/>
          <w:sz w:val="22"/>
          <w:szCs w:val="22"/>
          <w:lang w:val="en-GB"/>
        </w:rPr>
        <w:t>Shipmax</w:t>
      </w:r>
      <w:proofErr w:type="spellEnd"/>
      <w:r w:rsidR="003361F2">
        <w:rPr>
          <w:rFonts w:ascii="Arial" w:hAnsi="Arial" w:cs="Arial"/>
          <w:iCs/>
          <w:sz w:val="22"/>
          <w:szCs w:val="22"/>
          <w:lang w:val="en-GB"/>
        </w:rPr>
        <w:t xml:space="preserve">) </w:t>
      </w:r>
      <w:r w:rsidR="004D05ED">
        <w:rPr>
          <w:rFonts w:ascii="Arial" w:hAnsi="Arial" w:cs="Arial"/>
          <w:iCs/>
          <w:sz w:val="22"/>
          <w:szCs w:val="22"/>
          <w:lang w:val="en-GB"/>
        </w:rPr>
        <w:t xml:space="preserve">to reduce </w:t>
      </w:r>
      <w:proofErr w:type="spellStart"/>
      <w:r w:rsidR="004D05ED">
        <w:rPr>
          <w:rFonts w:ascii="Arial" w:hAnsi="Arial" w:cs="Arial"/>
          <w:iCs/>
          <w:sz w:val="22"/>
          <w:szCs w:val="22"/>
          <w:lang w:val="en-GB"/>
        </w:rPr>
        <w:t>Shipmin’s</w:t>
      </w:r>
      <w:proofErr w:type="spellEnd"/>
      <w:r w:rsidR="004D05ED">
        <w:rPr>
          <w:rFonts w:ascii="Arial" w:hAnsi="Arial" w:cs="Arial"/>
          <w:iCs/>
          <w:sz w:val="22"/>
          <w:szCs w:val="22"/>
          <w:lang w:val="en-GB"/>
        </w:rPr>
        <w:t xml:space="preserve"> intercompany debt to </w:t>
      </w:r>
      <w:proofErr w:type="spellStart"/>
      <w:r w:rsidR="003361F2">
        <w:rPr>
          <w:rFonts w:ascii="Arial" w:hAnsi="Arial" w:cs="Arial"/>
          <w:iCs/>
          <w:sz w:val="22"/>
          <w:szCs w:val="22"/>
          <w:lang w:val="en-GB"/>
        </w:rPr>
        <w:t>Shipmax</w:t>
      </w:r>
      <w:proofErr w:type="spellEnd"/>
      <w:r w:rsidR="003361F2">
        <w:rPr>
          <w:rFonts w:ascii="Arial" w:hAnsi="Arial" w:cs="Arial"/>
          <w:iCs/>
          <w:sz w:val="22"/>
          <w:szCs w:val="22"/>
          <w:lang w:val="en-GB"/>
        </w:rPr>
        <w:t xml:space="preserve">. </w:t>
      </w:r>
      <w:proofErr w:type="spellStart"/>
      <w:r w:rsidR="003361F2">
        <w:rPr>
          <w:rFonts w:ascii="Arial" w:hAnsi="Arial" w:cs="Arial"/>
          <w:iCs/>
          <w:sz w:val="22"/>
          <w:szCs w:val="22"/>
          <w:lang w:val="en-GB"/>
        </w:rPr>
        <w:t>Shipmax</w:t>
      </w:r>
      <w:proofErr w:type="spellEnd"/>
      <w:r w:rsidR="003361F2">
        <w:rPr>
          <w:rFonts w:ascii="Arial" w:hAnsi="Arial" w:cs="Arial"/>
          <w:iCs/>
          <w:sz w:val="22"/>
          <w:szCs w:val="22"/>
          <w:lang w:val="en-GB"/>
        </w:rPr>
        <w:t xml:space="preserve"> is also incorporated in Australia and owns 100% of the shares in </w:t>
      </w:r>
      <w:proofErr w:type="spellStart"/>
      <w:r w:rsidR="003361F2">
        <w:rPr>
          <w:rFonts w:ascii="Arial" w:hAnsi="Arial" w:cs="Arial"/>
          <w:iCs/>
          <w:sz w:val="22"/>
          <w:szCs w:val="22"/>
          <w:lang w:val="en-GB"/>
        </w:rPr>
        <w:t>Shipmin</w:t>
      </w:r>
      <w:proofErr w:type="spellEnd"/>
      <w:r w:rsidR="003361F2">
        <w:rPr>
          <w:rFonts w:ascii="Arial" w:hAnsi="Arial" w:cs="Arial"/>
          <w:iCs/>
          <w:sz w:val="22"/>
          <w:szCs w:val="22"/>
          <w:lang w:val="en-GB"/>
        </w:rPr>
        <w:t>.</w:t>
      </w:r>
    </w:p>
    <w:p w14:paraId="3A08D625" w14:textId="77777777" w:rsidR="003361F2" w:rsidRDefault="003361F2" w:rsidP="002476AF">
      <w:pPr>
        <w:jc w:val="both"/>
        <w:rPr>
          <w:rFonts w:ascii="Arial" w:hAnsi="Arial" w:cs="Arial"/>
          <w:iCs/>
          <w:sz w:val="22"/>
          <w:szCs w:val="22"/>
          <w:lang w:val="en-GB"/>
        </w:rPr>
      </w:pPr>
    </w:p>
    <w:p w14:paraId="2D6D2764" w14:textId="6681CF9B" w:rsidR="00B811C1" w:rsidRDefault="002476AF" w:rsidP="002476AF">
      <w:pPr>
        <w:jc w:val="both"/>
        <w:rPr>
          <w:rFonts w:ascii="Arial" w:hAnsi="Arial" w:cs="Arial"/>
          <w:sz w:val="22"/>
          <w:szCs w:val="22"/>
          <w:lang w:val="en-GB"/>
        </w:rPr>
      </w:pPr>
      <w:proofErr w:type="spellStart"/>
      <w:r>
        <w:rPr>
          <w:rFonts w:ascii="Arial" w:hAnsi="Arial" w:cs="Arial"/>
          <w:sz w:val="22"/>
          <w:szCs w:val="22"/>
          <w:lang w:val="en-GB"/>
        </w:rPr>
        <w:t>Shipmin</w:t>
      </w:r>
      <w:proofErr w:type="spellEnd"/>
      <w:r>
        <w:rPr>
          <w:rFonts w:ascii="Arial" w:hAnsi="Arial" w:cs="Arial"/>
          <w:sz w:val="22"/>
          <w:szCs w:val="22"/>
          <w:lang w:val="en-GB"/>
        </w:rPr>
        <w:t xml:space="preserve"> </w:t>
      </w:r>
      <w:r w:rsidR="004D05ED">
        <w:rPr>
          <w:rFonts w:ascii="Arial" w:hAnsi="Arial" w:cs="Arial"/>
          <w:sz w:val="22"/>
          <w:szCs w:val="22"/>
          <w:lang w:val="en-GB"/>
        </w:rPr>
        <w:t xml:space="preserve">now </w:t>
      </w:r>
      <w:r>
        <w:rPr>
          <w:rFonts w:ascii="Arial" w:hAnsi="Arial" w:cs="Arial"/>
          <w:sz w:val="22"/>
          <w:szCs w:val="22"/>
          <w:lang w:val="en-GB"/>
        </w:rPr>
        <w:t xml:space="preserve">owns </w:t>
      </w:r>
      <w:r w:rsidR="004D05ED">
        <w:rPr>
          <w:rFonts w:ascii="Arial" w:hAnsi="Arial" w:cs="Arial"/>
          <w:sz w:val="22"/>
          <w:szCs w:val="22"/>
          <w:lang w:val="en-GB"/>
        </w:rPr>
        <w:t xml:space="preserve">only the </w:t>
      </w:r>
      <w:r>
        <w:rPr>
          <w:rFonts w:ascii="Arial" w:hAnsi="Arial" w:cs="Arial"/>
          <w:sz w:val="22"/>
          <w:szCs w:val="22"/>
          <w:lang w:val="en-GB"/>
        </w:rPr>
        <w:t xml:space="preserve">one </w:t>
      </w:r>
      <w:r w:rsidR="00B811C1">
        <w:rPr>
          <w:rFonts w:ascii="Arial" w:hAnsi="Arial" w:cs="Arial"/>
          <w:sz w:val="22"/>
          <w:szCs w:val="22"/>
          <w:lang w:val="en-GB"/>
        </w:rPr>
        <w:t xml:space="preserve">cargo </w:t>
      </w:r>
      <w:r>
        <w:rPr>
          <w:rFonts w:ascii="Arial" w:hAnsi="Arial" w:cs="Arial"/>
          <w:sz w:val="22"/>
          <w:szCs w:val="22"/>
          <w:lang w:val="en-GB"/>
        </w:rPr>
        <w:t xml:space="preserve">ship with a value of </w:t>
      </w:r>
      <w:r w:rsidR="00ED5BDC">
        <w:rPr>
          <w:rFonts w:ascii="Arial" w:hAnsi="Arial" w:cs="Arial"/>
          <w:sz w:val="22"/>
          <w:szCs w:val="22"/>
          <w:lang w:val="en-GB"/>
        </w:rPr>
        <w:t xml:space="preserve">AUD </w:t>
      </w:r>
      <w:r>
        <w:rPr>
          <w:rFonts w:ascii="Arial" w:hAnsi="Arial" w:cs="Arial"/>
          <w:sz w:val="22"/>
          <w:szCs w:val="22"/>
          <w:lang w:val="en-GB"/>
        </w:rPr>
        <w:t xml:space="preserve">15 million. </w:t>
      </w:r>
      <w:proofErr w:type="spellStart"/>
      <w:r>
        <w:rPr>
          <w:rFonts w:ascii="Arial" w:hAnsi="Arial" w:cs="Arial"/>
          <w:sz w:val="22"/>
          <w:szCs w:val="22"/>
          <w:lang w:val="en-GB"/>
        </w:rPr>
        <w:t>Shipmin</w:t>
      </w:r>
      <w:proofErr w:type="spellEnd"/>
      <w:r>
        <w:rPr>
          <w:rFonts w:ascii="Arial" w:hAnsi="Arial" w:cs="Arial"/>
          <w:sz w:val="22"/>
          <w:szCs w:val="22"/>
          <w:lang w:val="en-GB"/>
        </w:rPr>
        <w:t xml:space="preserve"> owes </w:t>
      </w:r>
      <w:r w:rsidR="00ED5BDC">
        <w:rPr>
          <w:rFonts w:ascii="Arial" w:hAnsi="Arial" w:cs="Arial"/>
          <w:sz w:val="22"/>
          <w:szCs w:val="22"/>
          <w:lang w:val="en-GB"/>
        </w:rPr>
        <w:t xml:space="preserve">AUD </w:t>
      </w:r>
      <w:r>
        <w:rPr>
          <w:rFonts w:ascii="Arial" w:hAnsi="Arial" w:cs="Arial"/>
          <w:sz w:val="22"/>
          <w:szCs w:val="22"/>
          <w:lang w:val="en-GB"/>
        </w:rPr>
        <w:t>20</w:t>
      </w:r>
      <w:r w:rsidR="006B7879">
        <w:rPr>
          <w:rFonts w:ascii="Arial" w:hAnsi="Arial" w:cs="Arial"/>
          <w:sz w:val="22"/>
          <w:szCs w:val="22"/>
          <w:lang w:val="en-GB"/>
        </w:rPr>
        <w:t> </w:t>
      </w:r>
      <w:r>
        <w:rPr>
          <w:rFonts w:ascii="Arial" w:hAnsi="Arial" w:cs="Arial"/>
          <w:sz w:val="22"/>
          <w:szCs w:val="22"/>
          <w:lang w:val="en-GB"/>
        </w:rPr>
        <w:t>million to the Commonwealth Bank of Australia (</w:t>
      </w:r>
      <w:r w:rsidRPr="00ED5BDC">
        <w:rPr>
          <w:rFonts w:ascii="Arial" w:hAnsi="Arial" w:cs="Arial"/>
          <w:bCs/>
          <w:sz w:val="22"/>
          <w:szCs w:val="22"/>
          <w:lang w:val="en-GB"/>
        </w:rPr>
        <w:t>CBA</w:t>
      </w:r>
      <w:r>
        <w:rPr>
          <w:rFonts w:ascii="Arial" w:hAnsi="Arial" w:cs="Arial"/>
          <w:sz w:val="22"/>
          <w:szCs w:val="22"/>
          <w:lang w:val="en-GB"/>
        </w:rPr>
        <w:t xml:space="preserve">), which is secured by a mortgage over </w:t>
      </w:r>
      <w:r w:rsidR="004D05ED">
        <w:rPr>
          <w:rFonts w:ascii="Arial" w:hAnsi="Arial" w:cs="Arial"/>
          <w:sz w:val="22"/>
          <w:szCs w:val="22"/>
          <w:lang w:val="en-GB"/>
        </w:rPr>
        <w:t xml:space="preserve">the remaining </w:t>
      </w:r>
      <w:r>
        <w:rPr>
          <w:rFonts w:ascii="Arial" w:hAnsi="Arial" w:cs="Arial"/>
          <w:sz w:val="22"/>
          <w:szCs w:val="22"/>
          <w:lang w:val="en-GB"/>
        </w:rPr>
        <w:t xml:space="preserve">ship. The mortgage is not registered on the Personal Property Securities Register. </w:t>
      </w:r>
    </w:p>
    <w:p w14:paraId="7010B92D" w14:textId="77777777" w:rsidR="00B811C1" w:rsidRDefault="00B811C1" w:rsidP="002476AF">
      <w:pPr>
        <w:jc w:val="both"/>
        <w:rPr>
          <w:rFonts w:ascii="Arial" w:hAnsi="Arial" w:cs="Arial"/>
          <w:sz w:val="22"/>
          <w:szCs w:val="22"/>
          <w:lang w:val="en-GB"/>
        </w:rPr>
      </w:pPr>
    </w:p>
    <w:p w14:paraId="3729DC42" w14:textId="68381B30" w:rsidR="002476AF" w:rsidRDefault="00B811C1" w:rsidP="002476AF">
      <w:pPr>
        <w:jc w:val="both"/>
        <w:rPr>
          <w:rFonts w:ascii="Arial" w:hAnsi="Arial" w:cs="Arial"/>
          <w:sz w:val="22"/>
          <w:szCs w:val="22"/>
          <w:lang w:val="en-GB"/>
        </w:rPr>
      </w:pPr>
      <w:proofErr w:type="spellStart"/>
      <w:r>
        <w:rPr>
          <w:rFonts w:ascii="Arial" w:hAnsi="Arial" w:cs="Arial"/>
          <w:sz w:val="22"/>
          <w:szCs w:val="22"/>
          <w:lang w:val="en-GB"/>
        </w:rPr>
        <w:t>Shipmin’s</w:t>
      </w:r>
      <w:proofErr w:type="spellEnd"/>
      <w:r>
        <w:rPr>
          <w:rFonts w:ascii="Arial" w:hAnsi="Arial" w:cs="Arial"/>
          <w:sz w:val="22"/>
          <w:szCs w:val="22"/>
          <w:lang w:val="en-GB"/>
        </w:rPr>
        <w:t xml:space="preserve"> debt to CBA has been guaranteed by </w:t>
      </w:r>
      <w:proofErr w:type="spellStart"/>
      <w:r w:rsidR="004D05ED">
        <w:rPr>
          <w:rFonts w:ascii="Arial" w:hAnsi="Arial" w:cs="Arial"/>
          <w:sz w:val="22"/>
          <w:szCs w:val="22"/>
          <w:lang w:val="en-GB"/>
        </w:rPr>
        <w:t>Shipmax</w:t>
      </w:r>
      <w:proofErr w:type="spellEnd"/>
      <w:r>
        <w:rPr>
          <w:rFonts w:ascii="Arial" w:hAnsi="Arial" w:cs="Arial"/>
          <w:sz w:val="22"/>
          <w:szCs w:val="22"/>
          <w:lang w:val="en-GB"/>
        </w:rPr>
        <w:t>.</w:t>
      </w:r>
      <w:r w:rsidR="002476AF">
        <w:rPr>
          <w:rFonts w:ascii="Arial" w:hAnsi="Arial" w:cs="Arial"/>
          <w:sz w:val="22"/>
          <w:szCs w:val="22"/>
          <w:lang w:val="en-GB"/>
        </w:rPr>
        <w:t xml:space="preserve"> </w:t>
      </w:r>
      <w:proofErr w:type="spellStart"/>
      <w:r w:rsidR="002476AF">
        <w:rPr>
          <w:rFonts w:ascii="Arial" w:hAnsi="Arial" w:cs="Arial"/>
          <w:sz w:val="22"/>
          <w:szCs w:val="22"/>
          <w:lang w:val="en-GB"/>
        </w:rPr>
        <w:t>Shipmin</w:t>
      </w:r>
      <w:proofErr w:type="spellEnd"/>
      <w:r w:rsidR="002476AF">
        <w:rPr>
          <w:rFonts w:ascii="Arial" w:hAnsi="Arial" w:cs="Arial"/>
          <w:sz w:val="22"/>
          <w:szCs w:val="22"/>
          <w:lang w:val="en-GB"/>
        </w:rPr>
        <w:t xml:space="preserve"> owes </w:t>
      </w:r>
      <w:proofErr w:type="spellStart"/>
      <w:r w:rsidR="002476AF">
        <w:rPr>
          <w:rFonts w:ascii="Arial" w:hAnsi="Arial" w:cs="Arial"/>
          <w:sz w:val="22"/>
          <w:szCs w:val="22"/>
          <w:lang w:val="en-GB"/>
        </w:rPr>
        <w:t>Shipmax</w:t>
      </w:r>
      <w:proofErr w:type="spellEnd"/>
      <w:r w:rsidR="002476AF">
        <w:rPr>
          <w:rFonts w:ascii="Arial" w:hAnsi="Arial" w:cs="Arial"/>
          <w:sz w:val="22"/>
          <w:szCs w:val="22"/>
          <w:lang w:val="en-GB"/>
        </w:rPr>
        <w:t xml:space="preserve"> </w:t>
      </w:r>
      <w:r w:rsidR="005C5A6D">
        <w:rPr>
          <w:rFonts w:ascii="Arial" w:hAnsi="Arial" w:cs="Arial"/>
          <w:sz w:val="22"/>
          <w:szCs w:val="22"/>
          <w:lang w:val="en-GB"/>
        </w:rPr>
        <w:t>AUD</w:t>
      </w:r>
      <w:r w:rsidR="003361F2">
        <w:rPr>
          <w:rFonts w:ascii="Arial" w:hAnsi="Arial" w:cs="Arial"/>
          <w:sz w:val="22"/>
          <w:szCs w:val="22"/>
          <w:lang w:val="en-GB"/>
        </w:rPr>
        <w:t> 180 </w:t>
      </w:r>
      <w:r w:rsidR="002476AF">
        <w:rPr>
          <w:rFonts w:ascii="Arial" w:hAnsi="Arial" w:cs="Arial"/>
          <w:sz w:val="22"/>
          <w:szCs w:val="22"/>
          <w:lang w:val="en-GB"/>
        </w:rPr>
        <w:t>million in inter</w:t>
      </w:r>
      <w:r w:rsidR="007B22CF">
        <w:rPr>
          <w:rFonts w:ascii="Arial" w:hAnsi="Arial" w:cs="Arial"/>
          <w:sz w:val="22"/>
          <w:szCs w:val="22"/>
          <w:lang w:val="en-GB"/>
        </w:rPr>
        <w:t>-</w:t>
      </w:r>
      <w:r w:rsidR="002476AF">
        <w:rPr>
          <w:rFonts w:ascii="Arial" w:hAnsi="Arial" w:cs="Arial"/>
          <w:sz w:val="22"/>
          <w:szCs w:val="22"/>
          <w:lang w:val="en-GB"/>
        </w:rPr>
        <w:t>company debt</w:t>
      </w:r>
      <w:r w:rsidR="006B7879">
        <w:rPr>
          <w:rFonts w:ascii="Arial" w:hAnsi="Arial" w:cs="Arial"/>
          <w:sz w:val="22"/>
          <w:szCs w:val="22"/>
          <w:lang w:val="en-GB"/>
        </w:rPr>
        <w:t>.</w:t>
      </w:r>
      <w:r w:rsidR="003361F2" w:rsidDel="006B7879">
        <w:rPr>
          <w:rFonts w:ascii="Arial" w:hAnsi="Arial" w:cs="Arial"/>
          <w:sz w:val="22"/>
          <w:szCs w:val="22"/>
          <w:lang w:val="en-GB"/>
        </w:rPr>
        <w:t xml:space="preserve"> </w:t>
      </w:r>
      <w:proofErr w:type="spellStart"/>
      <w:r w:rsidR="00E7563D">
        <w:rPr>
          <w:rFonts w:ascii="Arial" w:hAnsi="Arial" w:cs="Arial"/>
          <w:sz w:val="22"/>
          <w:szCs w:val="22"/>
          <w:lang w:val="en-GB"/>
        </w:rPr>
        <w:t>Shipmin</w:t>
      </w:r>
      <w:proofErr w:type="spellEnd"/>
      <w:r w:rsidR="00E7563D">
        <w:rPr>
          <w:rFonts w:ascii="Arial" w:hAnsi="Arial" w:cs="Arial"/>
          <w:sz w:val="22"/>
          <w:szCs w:val="22"/>
          <w:lang w:val="en-GB"/>
        </w:rPr>
        <w:t xml:space="preserve"> has no other creditors.</w:t>
      </w:r>
    </w:p>
    <w:p w14:paraId="5BF39D87" w14:textId="77777777" w:rsidR="002476AF" w:rsidRDefault="002476AF" w:rsidP="002476AF">
      <w:pPr>
        <w:jc w:val="both"/>
        <w:rPr>
          <w:rFonts w:ascii="Arial" w:hAnsi="Arial" w:cs="Arial"/>
          <w:sz w:val="22"/>
          <w:szCs w:val="22"/>
          <w:lang w:val="en-GB"/>
        </w:rPr>
      </w:pPr>
    </w:p>
    <w:p w14:paraId="6B5A53C1" w14:textId="66C6AE46" w:rsidR="009D20B1" w:rsidRDefault="00B811C1" w:rsidP="00087F21">
      <w:pPr>
        <w:jc w:val="both"/>
        <w:rPr>
          <w:rFonts w:ascii="Arial" w:hAnsi="Arial" w:cs="Arial"/>
          <w:color w:val="000000" w:themeColor="text1"/>
          <w:sz w:val="22"/>
          <w:szCs w:val="22"/>
          <w:lang w:val="en-GB"/>
        </w:rPr>
      </w:pPr>
      <w:proofErr w:type="spellStart"/>
      <w:r>
        <w:rPr>
          <w:rFonts w:ascii="Arial" w:hAnsi="Arial" w:cs="Arial"/>
          <w:sz w:val="22"/>
          <w:szCs w:val="22"/>
          <w:lang w:val="en-GB"/>
        </w:rPr>
        <w:t>Shipmax</w:t>
      </w:r>
      <w:proofErr w:type="spellEnd"/>
      <w:r>
        <w:rPr>
          <w:rFonts w:ascii="Arial" w:hAnsi="Arial" w:cs="Arial"/>
          <w:sz w:val="22"/>
          <w:szCs w:val="22"/>
          <w:lang w:val="en-GB"/>
        </w:rPr>
        <w:t xml:space="preserve"> has been placed into liquidation. </w:t>
      </w:r>
      <w:r w:rsidR="004003CF">
        <w:rPr>
          <w:rFonts w:ascii="Arial" w:hAnsi="Arial" w:cs="Arial"/>
          <w:sz w:val="22"/>
          <w:szCs w:val="22"/>
          <w:lang w:val="en-GB"/>
        </w:rPr>
        <w:t>Advise</w:t>
      </w:r>
      <w:r>
        <w:rPr>
          <w:rFonts w:ascii="Arial" w:hAnsi="Arial" w:cs="Arial"/>
          <w:sz w:val="22"/>
          <w:szCs w:val="22"/>
          <w:lang w:val="en-GB"/>
        </w:rPr>
        <w:t xml:space="preserve"> </w:t>
      </w:r>
      <w:proofErr w:type="spellStart"/>
      <w:r>
        <w:rPr>
          <w:rFonts w:ascii="Arial" w:hAnsi="Arial" w:cs="Arial"/>
          <w:sz w:val="22"/>
          <w:szCs w:val="22"/>
          <w:lang w:val="en-GB"/>
        </w:rPr>
        <w:t>Shipmax’s</w:t>
      </w:r>
      <w:proofErr w:type="spellEnd"/>
      <w:r>
        <w:rPr>
          <w:rFonts w:ascii="Arial" w:hAnsi="Arial" w:cs="Arial"/>
          <w:sz w:val="22"/>
          <w:szCs w:val="22"/>
          <w:lang w:val="en-GB"/>
        </w:rPr>
        <w:t xml:space="preserve"> liquidator on the best way to bring the operations of </w:t>
      </w:r>
      <w:proofErr w:type="spellStart"/>
      <w:r>
        <w:rPr>
          <w:rFonts w:ascii="Arial" w:hAnsi="Arial" w:cs="Arial"/>
          <w:sz w:val="22"/>
          <w:szCs w:val="22"/>
          <w:lang w:val="en-GB"/>
        </w:rPr>
        <w:t>Shipmin</w:t>
      </w:r>
      <w:proofErr w:type="spellEnd"/>
      <w:r>
        <w:rPr>
          <w:rFonts w:ascii="Arial" w:hAnsi="Arial" w:cs="Arial"/>
          <w:sz w:val="22"/>
          <w:szCs w:val="22"/>
          <w:lang w:val="en-GB"/>
        </w:rPr>
        <w:t xml:space="preserve"> to an end and maximise the return to </w:t>
      </w:r>
      <w:proofErr w:type="spellStart"/>
      <w:r>
        <w:rPr>
          <w:rFonts w:ascii="Arial" w:hAnsi="Arial" w:cs="Arial"/>
          <w:sz w:val="22"/>
          <w:szCs w:val="22"/>
          <w:lang w:val="en-GB"/>
        </w:rPr>
        <w:t>Shipmax</w:t>
      </w:r>
      <w:proofErr w:type="spellEnd"/>
      <w:r w:rsidR="006B7879">
        <w:rPr>
          <w:rFonts w:ascii="Arial" w:hAnsi="Arial" w:cs="Arial"/>
          <w:sz w:val="22"/>
          <w:szCs w:val="22"/>
          <w:lang w:val="en-GB"/>
        </w:rPr>
        <w:t xml:space="preserve"> from the assets of </w:t>
      </w:r>
      <w:proofErr w:type="spellStart"/>
      <w:r w:rsidR="006B7879">
        <w:rPr>
          <w:rFonts w:ascii="Arial" w:hAnsi="Arial" w:cs="Arial"/>
          <w:sz w:val="22"/>
          <w:szCs w:val="22"/>
          <w:lang w:val="en-GB"/>
        </w:rPr>
        <w:t>Shipmin</w:t>
      </w:r>
      <w:proofErr w:type="spellEnd"/>
      <w:r>
        <w:rPr>
          <w:rFonts w:ascii="Arial" w:hAnsi="Arial" w:cs="Arial"/>
          <w:sz w:val="22"/>
          <w:szCs w:val="22"/>
          <w:lang w:val="en-GB"/>
        </w:rPr>
        <w:t xml:space="preserve">. </w:t>
      </w:r>
      <w:bookmarkEnd w:id="0"/>
    </w:p>
    <w:bookmarkEnd w:id="1"/>
    <w:p w14:paraId="154681F0" w14:textId="3933A239" w:rsidR="009D20B1" w:rsidRDefault="009D20B1" w:rsidP="00087F21">
      <w:pPr>
        <w:jc w:val="both"/>
        <w:rPr>
          <w:rFonts w:ascii="Arial" w:hAnsi="Arial" w:cs="Arial"/>
          <w:color w:val="000000" w:themeColor="text1"/>
          <w:sz w:val="22"/>
          <w:szCs w:val="22"/>
          <w:lang w:val="en-GB"/>
        </w:rPr>
      </w:pPr>
    </w:p>
    <w:p w14:paraId="61E0495A" w14:textId="77777777" w:rsidR="00E32181" w:rsidRDefault="004003CF" w:rsidP="00692909">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E32181">
        <w:rPr>
          <w:rFonts w:ascii="Arial" w:hAnsi="Arial" w:cs="Arial"/>
          <w:color w:val="7B7B7B" w:themeColor="accent3" w:themeShade="BF"/>
          <w:sz w:val="22"/>
          <w:szCs w:val="22"/>
          <w:lang w:val="en-GB"/>
        </w:rPr>
        <w:t xml:space="preserve">Considering that it was only 3 months ago that AUD 20 million was received by </w:t>
      </w:r>
      <w:proofErr w:type="spellStart"/>
      <w:r w:rsidR="00E32181">
        <w:rPr>
          <w:rFonts w:ascii="Arial" w:hAnsi="Arial" w:cs="Arial"/>
          <w:color w:val="7B7B7B" w:themeColor="accent3" w:themeShade="BF"/>
          <w:sz w:val="22"/>
          <w:szCs w:val="22"/>
          <w:lang w:val="en-GB"/>
        </w:rPr>
        <w:t>Shipmax</w:t>
      </w:r>
      <w:proofErr w:type="spellEnd"/>
      <w:r w:rsidR="00E32181">
        <w:rPr>
          <w:rFonts w:ascii="Arial" w:hAnsi="Arial" w:cs="Arial"/>
          <w:color w:val="7B7B7B" w:themeColor="accent3" w:themeShade="BF"/>
          <w:sz w:val="22"/>
          <w:szCs w:val="22"/>
          <w:lang w:val="en-GB"/>
        </w:rPr>
        <w:t xml:space="preserve"> from </w:t>
      </w:r>
      <w:proofErr w:type="spellStart"/>
      <w:r w:rsidR="00E32181">
        <w:rPr>
          <w:rFonts w:ascii="Arial" w:hAnsi="Arial" w:cs="Arial"/>
          <w:color w:val="7B7B7B" w:themeColor="accent3" w:themeShade="BF"/>
          <w:sz w:val="22"/>
          <w:szCs w:val="22"/>
          <w:lang w:val="en-GB"/>
        </w:rPr>
        <w:t>Shipmin</w:t>
      </w:r>
      <w:proofErr w:type="spellEnd"/>
      <w:r w:rsidR="00E32181">
        <w:rPr>
          <w:rFonts w:ascii="Arial" w:hAnsi="Arial" w:cs="Arial"/>
          <w:color w:val="7B7B7B" w:themeColor="accent3" w:themeShade="BF"/>
          <w:sz w:val="22"/>
          <w:szCs w:val="22"/>
          <w:lang w:val="en-GB"/>
        </w:rPr>
        <w:t xml:space="preserve">, those funds should be available in the asset pool of </w:t>
      </w:r>
      <w:proofErr w:type="spellStart"/>
      <w:r w:rsidR="00E32181">
        <w:rPr>
          <w:rFonts w:ascii="Arial" w:hAnsi="Arial" w:cs="Arial"/>
          <w:color w:val="7B7B7B" w:themeColor="accent3" w:themeShade="BF"/>
          <w:sz w:val="22"/>
          <w:szCs w:val="22"/>
          <w:lang w:val="en-GB"/>
        </w:rPr>
        <w:t>Shipmax</w:t>
      </w:r>
      <w:proofErr w:type="spellEnd"/>
      <w:r w:rsidR="00E32181">
        <w:rPr>
          <w:rFonts w:ascii="Arial" w:hAnsi="Arial" w:cs="Arial"/>
          <w:color w:val="7B7B7B" w:themeColor="accent3" w:themeShade="BF"/>
          <w:sz w:val="22"/>
          <w:szCs w:val="22"/>
          <w:lang w:val="en-GB"/>
        </w:rPr>
        <w:t xml:space="preserve">-in-liquidation and in the Liquidation Estate. The mortgage of </w:t>
      </w:r>
      <w:proofErr w:type="spellStart"/>
      <w:r w:rsidR="00E32181">
        <w:rPr>
          <w:rFonts w:ascii="Arial" w:hAnsi="Arial" w:cs="Arial"/>
          <w:color w:val="7B7B7B" w:themeColor="accent3" w:themeShade="BF"/>
          <w:sz w:val="22"/>
          <w:szCs w:val="22"/>
          <w:lang w:val="en-GB"/>
        </w:rPr>
        <w:t>Shipmin’s</w:t>
      </w:r>
      <w:proofErr w:type="spellEnd"/>
      <w:r w:rsidR="00E32181">
        <w:rPr>
          <w:rFonts w:ascii="Arial" w:hAnsi="Arial" w:cs="Arial"/>
          <w:color w:val="7B7B7B" w:themeColor="accent3" w:themeShade="BF"/>
          <w:sz w:val="22"/>
          <w:szCs w:val="22"/>
          <w:lang w:val="en-GB"/>
        </w:rPr>
        <w:t xml:space="preserve"> ship has not been perfected and therefore, the ownership of that AUD 15 </w:t>
      </w:r>
      <w:proofErr w:type="spellStart"/>
      <w:r w:rsidR="00E32181">
        <w:rPr>
          <w:rFonts w:ascii="Arial" w:hAnsi="Arial" w:cs="Arial"/>
          <w:color w:val="7B7B7B" w:themeColor="accent3" w:themeShade="BF"/>
          <w:sz w:val="22"/>
          <w:szCs w:val="22"/>
          <w:lang w:val="en-GB"/>
        </w:rPr>
        <w:t>mio</w:t>
      </w:r>
      <w:proofErr w:type="spellEnd"/>
      <w:r w:rsidR="00E32181">
        <w:rPr>
          <w:rFonts w:ascii="Arial" w:hAnsi="Arial" w:cs="Arial"/>
          <w:color w:val="7B7B7B" w:themeColor="accent3" w:themeShade="BF"/>
          <w:sz w:val="22"/>
          <w:szCs w:val="22"/>
          <w:lang w:val="en-GB"/>
        </w:rPr>
        <w:t xml:space="preserve"> asset remains with </w:t>
      </w:r>
      <w:proofErr w:type="spellStart"/>
      <w:r w:rsidR="00E32181">
        <w:rPr>
          <w:rFonts w:ascii="Arial" w:hAnsi="Arial" w:cs="Arial"/>
          <w:color w:val="7B7B7B" w:themeColor="accent3" w:themeShade="BF"/>
          <w:sz w:val="22"/>
          <w:szCs w:val="22"/>
          <w:lang w:val="en-GB"/>
        </w:rPr>
        <w:t>Shipmin</w:t>
      </w:r>
      <w:proofErr w:type="spellEnd"/>
      <w:r w:rsidR="00E32181">
        <w:rPr>
          <w:rFonts w:ascii="Arial" w:hAnsi="Arial" w:cs="Arial"/>
          <w:color w:val="7B7B7B" w:themeColor="accent3" w:themeShade="BF"/>
          <w:sz w:val="22"/>
          <w:szCs w:val="22"/>
          <w:lang w:val="en-GB"/>
        </w:rPr>
        <w:t xml:space="preserve">. In case, the receipt of AUD 20 million was utilised during the 3-month period ending now to acquire some other assets then , those assets would currently form part of the liquidation estate. In case the utilisation of  the proceeds have resulted in </w:t>
      </w:r>
      <w:proofErr w:type="spellStart"/>
      <w:r w:rsidR="00E32181">
        <w:rPr>
          <w:rFonts w:ascii="Arial" w:hAnsi="Arial" w:cs="Arial"/>
          <w:color w:val="7B7B7B" w:themeColor="accent3" w:themeShade="BF"/>
          <w:sz w:val="22"/>
          <w:szCs w:val="22"/>
          <w:lang w:val="en-GB"/>
        </w:rPr>
        <w:t>Shipmax</w:t>
      </w:r>
      <w:proofErr w:type="spellEnd"/>
      <w:r w:rsidR="00E32181">
        <w:rPr>
          <w:rFonts w:ascii="Arial" w:hAnsi="Arial" w:cs="Arial"/>
          <w:color w:val="7B7B7B" w:themeColor="accent3" w:themeShade="BF"/>
          <w:sz w:val="22"/>
          <w:szCs w:val="22"/>
          <w:lang w:val="en-GB"/>
        </w:rPr>
        <w:t xml:space="preserve"> being saddled with assets of lesser value, then Liquidator needs to investigate if there are any voidable transactions such as unfair preferences or uncommercial transactions. The liquidation estate of </w:t>
      </w:r>
      <w:proofErr w:type="spellStart"/>
      <w:r w:rsidR="00E32181">
        <w:rPr>
          <w:rFonts w:ascii="Arial" w:hAnsi="Arial" w:cs="Arial"/>
          <w:color w:val="7B7B7B" w:themeColor="accent3" w:themeShade="BF"/>
          <w:sz w:val="22"/>
          <w:szCs w:val="22"/>
          <w:lang w:val="en-GB"/>
        </w:rPr>
        <w:t>Shipmax</w:t>
      </w:r>
      <w:proofErr w:type="spellEnd"/>
      <w:r w:rsidR="00E32181">
        <w:rPr>
          <w:rFonts w:ascii="Arial" w:hAnsi="Arial" w:cs="Arial"/>
          <w:color w:val="7B7B7B" w:themeColor="accent3" w:themeShade="BF"/>
          <w:sz w:val="22"/>
          <w:szCs w:val="22"/>
          <w:lang w:val="en-GB"/>
        </w:rPr>
        <w:t xml:space="preserve"> would comprise of :</w:t>
      </w:r>
    </w:p>
    <w:p w14:paraId="458B64E0" w14:textId="77777777" w:rsidR="00E32181" w:rsidRDefault="00E32181" w:rsidP="00692909">
      <w:pPr>
        <w:autoSpaceDE w:val="0"/>
        <w:autoSpaceDN w:val="0"/>
        <w:adjustRightInd w:val="0"/>
        <w:jc w:val="both"/>
        <w:rPr>
          <w:rFonts w:ascii="Arial" w:hAnsi="Arial" w:cs="Arial"/>
          <w:color w:val="7B7B7B" w:themeColor="accent3" w:themeShade="BF"/>
          <w:sz w:val="22"/>
          <w:szCs w:val="22"/>
          <w:lang w:val="en-GB"/>
        </w:rPr>
      </w:pPr>
    </w:p>
    <w:p w14:paraId="7D3084DB" w14:textId="77777777" w:rsidR="00E32181" w:rsidRDefault="00E32181"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 No                   Item                                                Estimated Value</w:t>
      </w:r>
    </w:p>
    <w:p w14:paraId="5E7231D4" w14:textId="77777777" w:rsidR="00E32181" w:rsidRDefault="00E32181" w:rsidP="00692909">
      <w:pPr>
        <w:autoSpaceDE w:val="0"/>
        <w:autoSpaceDN w:val="0"/>
        <w:adjustRightInd w:val="0"/>
        <w:jc w:val="both"/>
        <w:rPr>
          <w:rFonts w:ascii="Arial" w:hAnsi="Arial" w:cs="Arial"/>
          <w:color w:val="7B7B7B" w:themeColor="accent3" w:themeShade="BF"/>
          <w:sz w:val="22"/>
          <w:szCs w:val="22"/>
          <w:lang w:val="en-GB"/>
        </w:rPr>
      </w:pPr>
    </w:p>
    <w:p w14:paraId="32D88132" w14:textId="77777777" w:rsidR="00E32181" w:rsidRDefault="00E32181"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Shareholding in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AUD 15 </w:t>
      </w:r>
      <w:proofErr w:type="spellStart"/>
      <w:r>
        <w:rPr>
          <w:rFonts w:ascii="Arial" w:hAnsi="Arial" w:cs="Arial"/>
          <w:color w:val="7B7B7B" w:themeColor="accent3" w:themeShade="BF"/>
          <w:sz w:val="22"/>
          <w:szCs w:val="22"/>
          <w:lang w:val="en-GB"/>
        </w:rPr>
        <w:t>mio</w:t>
      </w:r>
      <w:proofErr w:type="spellEnd"/>
    </w:p>
    <w:p w14:paraId="791A14C4" w14:textId="77777777" w:rsidR="00E32181" w:rsidRDefault="00E32181" w:rsidP="00692909">
      <w:pPr>
        <w:autoSpaceDE w:val="0"/>
        <w:autoSpaceDN w:val="0"/>
        <w:adjustRightInd w:val="0"/>
        <w:jc w:val="both"/>
        <w:rPr>
          <w:rFonts w:ascii="Arial" w:hAnsi="Arial" w:cs="Arial"/>
          <w:color w:val="7B7B7B" w:themeColor="accent3" w:themeShade="BF"/>
          <w:sz w:val="22"/>
          <w:szCs w:val="22"/>
          <w:lang w:val="en-GB"/>
        </w:rPr>
      </w:pPr>
    </w:p>
    <w:p w14:paraId="444A9730" w14:textId="77777777" w:rsidR="00E32181" w:rsidRDefault="00E32181"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Assets from proceeds of AUD 20 </w:t>
      </w:r>
      <w:proofErr w:type="spellStart"/>
      <w:r>
        <w:rPr>
          <w:rFonts w:ascii="Arial" w:hAnsi="Arial" w:cs="Arial"/>
          <w:color w:val="7B7B7B" w:themeColor="accent3" w:themeShade="BF"/>
          <w:sz w:val="22"/>
          <w:szCs w:val="22"/>
          <w:lang w:val="en-GB"/>
        </w:rPr>
        <w:t>mio</w:t>
      </w:r>
      <w:proofErr w:type="spellEnd"/>
    </w:p>
    <w:p w14:paraId="3CDDCC7F" w14:textId="14A417DA" w:rsidR="00E32181" w:rsidRDefault="00E32181"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941900">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eceived 3 m ago from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AUD   20 </w:t>
      </w:r>
      <w:proofErr w:type="spellStart"/>
      <w:r>
        <w:rPr>
          <w:rFonts w:ascii="Arial" w:hAnsi="Arial" w:cs="Arial"/>
          <w:color w:val="7B7B7B" w:themeColor="accent3" w:themeShade="BF"/>
          <w:sz w:val="22"/>
          <w:szCs w:val="22"/>
          <w:lang w:val="en-GB"/>
        </w:rPr>
        <w:t>mio</w:t>
      </w:r>
      <w:proofErr w:type="spellEnd"/>
    </w:p>
    <w:p w14:paraId="05C5DB5A" w14:textId="77777777" w:rsidR="00E32181" w:rsidRDefault="00E32181" w:rsidP="00692909">
      <w:pPr>
        <w:autoSpaceDE w:val="0"/>
        <w:autoSpaceDN w:val="0"/>
        <w:adjustRightInd w:val="0"/>
        <w:jc w:val="both"/>
        <w:rPr>
          <w:rFonts w:ascii="Arial" w:hAnsi="Arial" w:cs="Arial"/>
          <w:color w:val="7B7B7B" w:themeColor="accent3" w:themeShade="BF"/>
          <w:sz w:val="22"/>
          <w:szCs w:val="22"/>
          <w:lang w:val="en-GB"/>
        </w:rPr>
      </w:pPr>
    </w:p>
    <w:p w14:paraId="127CBCA0" w14:textId="5DC199F8" w:rsidR="00E32181" w:rsidRDefault="00E32181"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Due from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AUD    180 </w:t>
      </w:r>
      <w:proofErr w:type="spellStart"/>
      <w:r>
        <w:rPr>
          <w:rFonts w:ascii="Arial" w:hAnsi="Arial" w:cs="Arial"/>
          <w:color w:val="7B7B7B" w:themeColor="accent3" w:themeShade="BF"/>
          <w:sz w:val="22"/>
          <w:szCs w:val="22"/>
          <w:lang w:val="en-GB"/>
        </w:rPr>
        <w:t>mio</w:t>
      </w:r>
      <w:proofErr w:type="spellEnd"/>
    </w:p>
    <w:p w14:paraId="071578A2" w14:textId="77777777" w:rsidR="00E32181" w:rsidRDefault="00E32181" w:rsidP="00692909">
      <w:pPr>
        <w:autoSpaceDE w:val="0"/>
        <w:autoSpaceDN w:val="0"/>
        <w:adjustRightInd w:val="0"/>
        <w:jc w:val="both"/>
        <w:rPr>
          <w:rFonts w:ascii="Arial" w:hAnsi="Arial" w:cs="Arial"/>
          <w:color w:val="7B7B7B" w:themeColor="accent3" w:themeShade="BF"/>
          <w:sz w:val="22"/>
          <w:szCs w:val="22"/>
          <w:lang w:val="en-GB"/>
        </w:rPr>
      </w:pPr>
    </w:p>
    <w:p w14:paraId="673CA4FF" w14:textId="19C6B939" w:rsidR="00E32181" w:rsidRDefault="00E32181"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against this, there is a contingent liability of AUD </w:t>
      </w:r>
      <w:r w:rsidR="00941900">
        <w:rPr>
          <w:rFonts w:ascii="Arial" w:hAnsi="Arial" w:cs="Arial"/>
          <w:color w:val="7B7B7B" w:themeColor="accent3" w:themeShade="BF"/>
          <w:sz w:val="22"/>
          <w:szCs w:val="22"/>
          <w:lang w:val="en-GB"/>
        </w:rPr>
        <w:t xml:space="preserve">20 </w:t>
      </w:r>
      <w:proofErr w:type="spellStart"/>
      <w:r w:rsidR="00941900">
        <w:rPr>
          <w:rFonts w:ascii="Arial" w:hAnsi="Arial" w:cs="Arial"/>
          <w:color w:val="7B7B7B" w:themeColor="accent3" w:themeShade="BF"/>
          <w:sz w:val="22"/>
          <w:szCs w:val="22"/>
          <w:lang w:val="en-GB"/>
        </w:rPr>
        <w:t>mio</w:t>
      </w:r>
      <w:proofErr w:type="spellEnd"/>
      <w:r w:rsidR="00941900">
        <w:rPr>
          <w:rFonts w:ascii="Arial" w:hAnsi="Arial" w:cs="Arial"/>
          <w:color w:val="7B7B7B" w:themeColor="accent3" w:themeShade="BF"/>
          <w:sz w:val="22"/>
          <w:szCs w:val="22"/>
          <w:lang w:val="en-GB"/>
        </w:rPr>
        <w:t xml:space="preserve"> to CBA on account of guarantee extended to secure their loan to </w:t>
      </w:r>
      <w:proofErr w:type="spellStart"/>
      <w:r w:rsidR="00941900">
        <w:rPr>
          <w:rFonts w:ascii="Arial" w:hAnsi="Arial" w:cs="Arial"/>
          <w:color w:val="7B7B7B" w:themeColor="accent3" w:themeShade="BF"/>
          <w:sz w:val="22"/>
          <w:szCs w:val="22"/>
          <w:lang w:val="en-GB"/>
        </w:rPr>
        <w:t>Shipmin</w:t>
      </w:r>
      <w:proofErr w:type="spellEnd"/>
      <w:r w:rsidR="00941900">
        <w:rPr>
          <w:rFonts w:ascii="Arial" w:hAnsi="Arial" w:cs="Arial"/>
          <w:color w:val="7B7B7B" w:themeColor="accent3" w:themeShade="BF"/>
          <w:sz w:val="22"/>
          <w:szCs w:val="22"/>
          <w:lang w:val="en-GB"/>
        </w:rPr>
        <w:t>.</w:t>
      </w:r>
    </w:p>
    <w:p w14:paraId="7633BDDD" w14:textId="77777777" w:rsidR="00941900" w:rsidRDefault="00941900" w:rsidP="00692909">
      <w:pPr>
        <w:autoSpaceDE w:val="0"/>
        <w:autoSpaceDN w:val="0"/>
        <w:adjustRightInd w:val="0"/>
        <w:jc w:val="both"/>
        <w:rPr>
          <w:rFonts w:ascii="Arial" w:hAnsi="Arial" w:cs="Arial"/>
          <w:color w:val="7B7B7B" w:themeColor="accent3" w:themeShade="BF"/>
          <w:sz w:val="22"/>
          <w:szCs w:val="22"/>
          <w:lang w:val="en-GB"/>
        </w:rPr>
      </w:pPr>
    </w:p>
    <w:p w14:paraId="3A07C5EA" w14:textId="14836E96" w:rsidR="00941900" w:rsidRDefault="00941900" w:rsidP="00692909">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Shipmax</w:t>
      </w:r>
      <w:proofErr w:type="spellEnd"/>
      <w:r>
        <w:rPr>
          <w:rFonts w:ascii="Arial" w:hAnsi="Arial" w:cs="Arial"/>
          <w:color w:val="7B7B7B" w:themeColor="accent3" w:themeShade="BF"/>
          <w:sz w:val="22"/>
          <w:szCs w:val="22"/>
          <w:lang w:val="en-GB"/>
        </w:rPr>
        <w:t xml:space="preserve"> is now heading for liquidation and deregistration, and CBA faces the prospect of being left high and dry , losing the recourse of the guarantee of </w:t>
      </w:r>
      <w:proofErr w:type="spellStart"/>
      <w:r>
        <w:rPr>
          <w:rFonts w:ascii="Arial" w:hAnsi="Arial" w:cs="Arial"/>
          <w:color w:val="7B7B7B" w:themeColor="accent3" w:themeShade="BF"/>
          <w:sz w:val="22"/>
          <w:szCs w:val="22"/>
          <w:lang w:val="en-GB"/>
        </w:rPr>
        <w:t>Shipmax</w:t>
      </w:r>
      <w:proofErr w:type="spellEnd"/>
      <w:r>
        <w:rPr>
          <w:rFonts w:ascii="Arial" w:hAnsi="Arial" w:cs="Arial"/>
          <w:color w:val="7B7B7B" w:themeColor="accent3" w:themeShade="BF"/>
          <w:sz w:val="22"/>
          <w:szCs w:val="22"/>
          <w:lang w:val="en-GB"/>
        </w:rPr>
        <w:t>.</w:t>
      </w:r>
    </w:p>
    <w:p w14:paraId="60B4D605" w14:textId="77777777" w:rsidR="00941900" w:rsidRDefault="00941900" w:rsidP="00692909">
      <w:pPr>
        <w:autoSpaceDE w:val="0"/>
        <w:autoSpaceDN w:val="0"/>
        <w:adjustRightInd w:val="0"/>
        <w:jc w:val="both"/>
        <w:rPr>
          <w:rFonts w:ascii="Arial" w:hAnsi="Arial" w:cs="Arial"/>
          <w:color w:val="7B7B7B" w:themeColor="accent3" w:themeShade="BF"/>
          <w:sz w:val="22"/>
          <w:szCs w:val="22"/>
          <w:lang w:val="en-GB"/>
        </w:rPr>
      </w:pPr>
    </w:p>
    <w:p w14:paraId="11363222" w14:textId="2E8CCEB8" w:rsidR="00941900" w:rsidRDefault="00941900"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Liquidator should assist CBA to now complete the formalities for perfecting the security over the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vessel to provide a cover of at least AUD 15 </w:t>
      </w:r>
      <w:proofErr w:type="spellStart"/>
      <w:r>
        <w:rPr>
          <w:rFonts w:ascii="Arial" w:hAnsi="Arial" w:cs="Arial"/>
          <w:color w:val="7B7B7B" w:themeColor="accent3" w:themeShade="BF"/>
          <w:sz w:val="22"/>
          <w:szCs w:val="22"/>
          <w:lang w:val="en-GB"/>
        </w:rPr>
        <w:t>mio</w:t>
      </w:r>
      <w:proofErr w:type="spellEnd"/>
      <w:r>
        <w:rPr>
          <w:rFonts w:ascii="Arial" w:hAnsi="Arial" w:cs="Arial"/>
          <w:color w:val="7B7B7B" w:themeColor="accent3" w:themeShade="BF"/>
          <w:sz w:val="22"/>
          <w:szCs w:val="22"/>
          <w:lang w:val="en-GB"/>
        </w:rPr>
        <w:t xml:space="preserve"> in this form for the outstanding dues of AUD 20 </w:t>
      </w:r>
      <w:proofErr w:type="spellStart"/>
      <w:r>
        <w:rPr>
          <w:rFonts w:ascii="Arial" w:hAnsi="Arial" w:cs="Arial"/>
          <w:color w:val="7B7B7B" w:themeColor="accent3" w:themeShade="BF"/>
          <w:sz w:val="22"/>
          <w:szCs w:val="22"/>
          <w:lang w:val="en-GB"/>
        </w:rPr>
        <w:t>mio</w:t>
      </w:r>
      <w:proofErr w:type="spellEnd"/>
      <w:r>
        <w:rPr>
          <w:rFonts w:ascii="Arial" w:hAnsi="Arial" w:cs="Arial"/>
          <w:color w:val="7B7B7B" w:themeColor="accent3" w:themeShade="BF"/>
          <w:sz w:val="22"/>
          <w:szCs w:val="22"/>
          <w:lang w:val="en-GB"/>
        </w:rPr>
        <w:t xml:space="preserve">. Further, a sum of AUD 5 </w:t>
      </w:r>
      <w:proofErr w:type="spellStart"/>
      <w:r>
        <w:rPr>
          <w:rFonts w:ascii="Arial" w:hAnsi="Arial" w:cs="Arial"/>
          <w:color w:val="7B7B7B" w:themeColor="accent3" w:themeShade="BF"/>
          <w:sz w:val="22"/>
          <w:szCs w:val="22"/>
          <w:lang w:val="en-GB"/>
        </w:rPr>
        <w:t>mio</w:t>
      </w:r>
      <w:proofErr w:type="spellEnd"/>
      <w:r>
        <w:rPr>
          <w:rFonts w:ascii="Arial" w:hAnsi="Arial" w:cs="Arial"/>
          <w:color w:val="7B7B7B" w:themeColor="accent3" w:themeShade="BF"/>
          <w:sz w:val="22"/>
          <w:szCs w:val="22"/>
          <w:lang w:val="en-GB"/>
        </w:rPr>
        <w:t xml:space="preserve"> should be transferred from item at s no 2 above (assets representing proceeds utilised from inflow of AUD 20 </w:t>
      </w:r>
      <w:proofErr w:type="spellStart"/>
      <w:r>
        <w:rPr>
          <w:rFonts w:ascii="Arial" w:hAnsi="Arial" w:cs="Arial"/>
          <w:color w:val="7B7B7B" w:themeColor="accent3" w:themeShade="BF"/>
          <w:sz w:val="22"/>
          <w:szCs w:val="22"/>
          <w:lang w:val="en-GB"/>
        </w:rPr>
        <w:t>mio</w:t>
      </w:r>
      <w:proofErr w:type="spellEnd"/>
      <w:r>
        <w:rPr>
          <w:rFonts w:ascii="Arial" w:hAnsi="Arial" w:cs="Arial"/>
          <w:color w:val="7B7B7B" w:themeColor="accent3" w:themeShade="BF"/>
          <w:sz w:val="22"/>
          <w:szCs w:val="22"/>
          <w:lang w:val="en-GB"/>
        </w:rPr>
        <w:t xml:space="preserve"> 3 m ago from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to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to be offered by latter to CBA as cash collateral.</w:t>
      </w:r>
    </w:p>
    <w:p w14:paraId="11DB8BBF" w14:textId="77777777" w:rsidR="00941900" w:rsidRDefault="00941900" w:rsidP="00692909">
      <w:pPr>
        <w:autoSpaceDE w:val="0"/>
        <w:autoSpaceDN w:val="0"/>
        <w:adjustRightInd w:val="0"/>
        <w:jc w:val="both"/>
        <w:rPr>
          <w:rFonts w:ascii="Arial" w:hAnsi="Arial" w:cs="Arial"/>
          <w:color w:val="7B7B7B" w:themeColor="accent3" w:themeShade="BF"/>
          <w:sz w:val="22"/>
          <w:szCs w:val="22"/>
          <w:lang w:val="en-GB"/>
        </w:rPr>
      </w:pPr>
    </w:p>
    <w:p w14:paraId="6AE32263" w14:textId="0377E82D" w:rsidR="00941900" w:rsidRDefault="00941900"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shares of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would now be valued at nil and Liquidator does not have a task of realising any amount from them. The dues of 180 </w:t>
      </w:r>
      <w:proofErr w:type="spellStart"/>
      <w:r>
        <w:rPr>
          <w:rFonts w:ascii="Arial" w:hAnsi="Arial" w:cs="Arial"/>
          <w:color w:val="7B7B7B" w:themeColor="accent3" w:themeShade="BF"/>
          <w:sz w:val="22"/>
          <w:szCs w:val="22"/>
          <w:lang w:val="en-GB"/>
        </w:rPr>
        <w:t>mio</w:t>
      </w:r>
      <w:proofErr w:type="spellEnd"/>
      <w:r>
        <w:rPr>
          <w:rFonts w:ascii="Arial" w:hAnsi="Arial" w:cs="Arial"/>
          <w:color w:val="7B7B7B" w:themeColor="accent3" w:themeShade="BF"/>
          <w:sz w:val="22"/>
          <w:szCs w:val="22"/>
          <w:lang w:val="en-GB"/>
        </w:rPr>
        <w:t xml:space="preserve"> from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also </w:t>
      </w:r>
      <w:r w:rsidR="007A65EB">
        <w:rPr>
          <w:rFonts w:ascii="Arial" w:hAnsi="Arial" w:cs="Arial"/>
          <w:color w:val="7B7B7B" w:themeColor="accent3" w:themeShade="BF"/>
          <w:sz w:val="22"/>
          <w:szCs w:val="22"/>
          <w:lang w:val="en-GB"/>
        </w:rPr>
        <w:t xml:space="preserve">may </w:t>
      </w:r>
      <w:r>
        <w:rPr>
          <w:rFonts w:ascii="Arial" w:hAnsi="Arial" w:cs="Arial"/>
          <w:color w:val="7B7B7B" w:themeColor="accent3" w:themeShade="BF"/>
          <w:sz w:val="22"/>
          <w:szCs w:val="22"/>
          <w:lang w:val="en-GB"/>
        </w:rPr>
        <w:t xml:space="preserve"> have to be extinguished since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w:t>
      </w:r>
      <w:r w:rsidR="007A65EB">
        <w:rPr>
          <w:rFonts w:ascii="Arial" w:hAnsi="Arial" w:cs="Arial"/>
          <w:color w:val="7B7B7B" w:themeColor="accent3" w:themeShade="BF"/>
          <w:sz w:val="22"/>
          <w:szCs w:val="22"/>
          <w:lang w:val="en-GB"/>
        </w:rPr>
        <w:t xml:space="preserve">may </w:t>
      </w:r>
      <w:r>
        <w:rPr>
          <w:rFonts w:ascii="Arial" w:hAnsi="Arial" w:cs="Arial"/>
          <w:color w:val="7B7B7B" w:themeColor="accent3" w:themeShade="BF"/>
          <w:sz w:val="22"/>
          <w:szCs w:val="22"/>
          <w:lang w:val="en-GB"/>
        </w:rPr>
        <w:t>ha</w:t>
      </w:r>
      <w:r w:rsidR="007A65EB">
        <w:rPr>
          <w:rFonts w:ascii="Arial" w:hAnsi="Arial" w:cs="Arial"/>
          <w:color w:val="7B7B7B" w:themeColor="accent3" w:themeShade="BF"/>
          <w:sz w:val="22"/>
          <w:szCs w:val="22"/>
          <w:lang w:val="en-GB"/>
        </w:rPr>
        <w:t>ve</w:t>
      </w:r>
      <w:r>
        <w:rPr>
          <w:rFonts w:ascii="Arial" w:hAnsi="Arial" w:cs="Arial"/>
          <w:color w:val="7B7B7B" w:themeColor="accent3" w:themeShade="BF"/>
          <w:sz w:val="22"/>
          <w:szCs w:val="22"/>
          <w:lang w:val="en-GB"/>
        </w:rPr>
        <w:t xml:space="preserve"> no </w:t>
      </w:r>
      <w:r w:rsidR="007A65EB">
        <w:rPr>
          <w:rFonts w:ascii="Arial" w:hAnsi="Arial" w:cs="Arial"/>
          <w:color w:val="7B7B7B" w:themeColor="accent3" w:themeShade="BF"/>
          <w:sz w:val="22"/>
          <w:szCs w:val="22"/>
          <w:lang w:val="en-GB"/>
        </w:rPr>
        <w:t xml:space="preserve">residual value or sufficient future income with which to service this liability of AUD 180 </w:t>
      </w:r>
      <w:proofErr w:type="spellStart"/>
      <w:r w:rsidR="007A65EB">
        <w:rPr>
          <w:rFonts w:ascii="Arial" w:hAnsi="Arial" w:cs="Arial"/>
          <w:color w:val="7B7B7B" w:themeColor="accent3" w:themeShade="BF"/>
          <w:sz w:val="22"/>
          <w:szCs w:val="22"/>
          <w:lang w:val="en-GB"/>
        </w:rPr>
        <w:t>mio</w:t>
      </w:r>
      <w:proofErr w:type="spellEnd"/>
      <w:r w:rsidR="007A65EB">
        <w:rPr>
          <w:rFonts w:ascii="Arial" w:hAnsi="Arial" w:cs="Arial"/>
          <w:color w:val="7B7B7B" w:themeColor="accent3" w:themeShade="BF"/>
          <w:sz w:val="22"/>
          <w:szCs w:val="22"/>
          <w:lang w:val="en-GB"/>
        </w:rPr>
        <w:t>.</w:t>
      </w:r>
    </w:p>
    <w:p w14:paraId="1994FB43" w14:textId="77777777" w:rsidR="007A65EB" w:rsidRDefault="007A65EB" w:rsidP="00692909">
      <w:pPr>
        <w:autoSpaceDE w:val="0"/>
        <w:autoSpaceDN w:val="0"/>
        <w:adjustRightInd w:val="0"/>
        <w:jc w:val="both"/>
        <w:rPr>
          <w:rFonts w:ascii="Arial" w:hAnsi="Arial" w:cs="Arial"/>
          <w:color w:val="7B7B7B" w:themeColor="accent3" w:themeShade="BF"/>
          <w:sz w:val="22"/>
          <w:szCs w:val="22"/>
          <w:lang w:val="en-GB"/>
        </w:rPr>
      </w:pPr>
    </w:p>
    <w:p w14:paraId="2A12A79E" w14:textId="791CC50F" w:rsidR="007A65EB" w:rsidRDefault="007A65EB"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Liquidator can finally realise the balance value of AUD 15 </w:t>
      </w:r>
      <w:proofErr w:type="spellStart"/>
      <w:r>
        <w:rPr>
          <w:rFonts w:ascii="Arial" w:hAnsi="Arial" w:cs="Arial"/>
          <w:color w:val="7B7B7B" w:themeColor="accent3" w:themeShade="BF"/>
          <w:sz w:val="22"/>
          <w:szCs w:val="22"/>
          <w:lang w:val="en-GB"/>
        </w:rPr>
        <w:t>mio</w:t>
      </w:r>
      <w:proofErr w:type="spellEnd"/>
      <w:r>
        <w:rPr>
          <w:rFonts w:ascii="Arial" w:hAnsi="Arial" w:cs="Arial"/>
          <w:color w:val="7B7B7B" w:themeColor="accent3" w:themeShade="BF"/>
          <w:sz w:val="22"/>
          <w:szCs w:val="22"/>
          <w:lang w:val="en-GB"/>
        </w:rPr>
        <w:t xml:space="preserve"> from item at S No 2 and distribute this to shareholders of </w:t>
      </w:r>
      <w:proofErr w:type="spellStart"/>
      <w:r>
        <w:rPr>
          <w:rFonts w:ascii="Arial" w:hAnsi="Arial" w:cs="Arial"/>
          <w:color w:val="7B7B7B" w:themeColor="accent3" w:themeShade="BF"/>
          <w:sz w:val="22"/>
          <w:szCs w:val="22"/>
          <w:lang w:val="en-GB"/>
        </w:rPr>
        <w:t>Shipmax</w:t>
      </w:r>
      <w:proofErr w:type="spellEnd"/>
      <w:r>
        <w:rPr>
          <w:rFonts w:ascii="Arial" w:hAnsi="Arial" w:cs="Arial"/>
          <w:color w:val="7B7B7B" w:themeColor="accent3" w:themeShade="BF"/>
          <w:sz w:val="22"/>
          <w:szCs w:val="22"/>
          <w:lang w:val="en-GB"/>
        </w:rPr>
        <w:t xml:space="preserve"> after deducting liquidation costs.</w:t>
      </w:r>
    </w:p>
    <w:p w14:paraId="6C44F024" w14:textId="77777777" w:rsidR="00E32181" w:rsidRDefault="00E32181" w:rsidP="00692909">
      <w:pPr>
        <w:autoSpaceDE w:val="0"/>
        <w:autoSpaceDN w:val="0"/>
        <w:adjustRightInd w:val="0"/>
        <w:jc w:val="both"/>
        <w:rPr>
          <w:rFonts w:ascii="Arial" w:hAnsi="Arial" w:cs="Arial"/>
          <w:color w:val="7B7B7B" w:themeColor="accent3" w:themeShade="BF"/>
          <w:sz w:val="22"/>
          <w:szCs w:val="22"/>
          <w:lang w:val="en-GB"/>
        </w:rPr>
      </w:pPr>
    </w:p>
    <w:p w14:paraId="68CCCFE5" w14:textId="7C4C93D3" w:rsidR="00B77F46" w:rsidRPr="00692909" w:rsidRDefault="004003CF" w:rsidP="00692909">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p>
    <w:sectPr w:rsidR="00B77F46" w:rsidRPr="0069290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A0BD" w14:textId="77777777" w:rsidR="00D32677" w:rsidRDefault="00D32677" w:rsidP="00241B44">
      <w:r>
        <w:separator/>
      </w:r>
    </w:p>
  </w:endnote>
  <w:endnote w:type="continuationSeparator" w:id="0">
    <w:p w14:paraId="2BA2FB78" w14:textId="77777777" w:rsidR="00D32677" w:rsidRDefault="00D3267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0F1274" w:rsidRPr="00FC7B47" w:rsidRDefault="000F127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0F1274" w:rsidRPr="00FC7B47" w:rsidRDefault="000F1274"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0F1274" w:rsidRPr="009B4976" w:rsidRDefault="000F1274"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03CAD">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4652DD67" w14:textId="652EB860" w:rsidR="000F1274" w:rsidRDefault="00C03CAD" w:rsidP="009B4976">
    <w:pPr>
      <w:pStyle w:val="Footer"/>
      <w:ind w:right="360"/>
      <w:rPr>
        <w:rFonts w:ascii="Arial" w:hAnsi="Arial" w:cs="Arial"/>
        <w:sz w:val="18"/>
        <w:szCs w:val="18"/>
        <w:lang w:val="en-GB"/>
      </w:rPr>
    </w:pPr>
    <w:r>
      <w:rPr>
        <w:rFonts w:ascii="Arial" w:hAnsi="Arial" w:cs="Arial"/>
        <w:sz w:val="18"/>
        <w:szCs w:val="18"/>
        <w:lang w:val="en-GB"/>
      </w:rPr>
      <w:t>202021IFU</w:t>
    </w:r>
    <w:r w:rsidR="00EF0ECA">
      <w:rPr>
        <w:rFonts w:ascii="Arial" w:hAnsi="Arial" w:cs="Arial"/>
        <w:sz w:val="18"/>
        <w:szCs w:val="18"/>
        <w:lang w:val="en-GB"/>
      </w:rPr>
      <w:t>-301</w:t>
    </w:r>
    <w:r>
      <w:rPr>
        <w:rFonts w:ascii="Arial" w:hAnsi="Arial" w:cs="Arial"/>
        <w:sz w:val="18"/>
        <w:szCs w:val="18"/>
        <w:lang w:val="en-GB"/>
      </w:rPr>
      <w:t>-assessment8A</w:t>
    </w:r>
  </w:p>
  <w:p w14:paraId="0783E80D" w14:textId="77777777" w:rsidR="00C03CAD" w:rsidRPr="009B4976" w:rsidRDefault="00C03CAD" w:rsidP="009B4976">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7DB7" w14:textId="77777777" w:rsidR="00D32677" w:rsidRDefault="00D32677" w:rsidP="00241B44">
      <w:r>
        <w:separator/>
      </w:r>
    </w:p>
  </w:footnote>
  <w:footnote w:type="continuationSeparator" w:id="0">
    <w:p w14:paraId="467E7ED0" w14:textId="77777777" w:rsidR="00D32677" w:rsidRDefault="00D3267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10AE"/>
    <w:multiLevelType w:val="hybridMultilevel"/>
    <w:tmpl w:val="D37E3BB4"/>
    <w:lvl w:ilvl="0" w:tplc="347AB5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8B00AB"/>
    <w:multiLevelType w:val="hybridMultilevel"/>
    <w:tmpl w:val="82927F6E"/>
    <w:lvl w:ilvl="0" w:tplc="E8AA459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31E97641"/>
    <w:multiLevelType w:val="hybridMultilevel"/>
    <w:tmpl w:val="E85A6CB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51225"/>
    <w:multiLevelType w:val="hybridMultilevel"/>
    <w:tmpl w:val="81AE701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409D073C"/>
    <w:multiLevelType w:val="hybridMultilevel"/>
    <w:tmpl w:val="90FEFFB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4EF54680"/>
    <w:multiLevelType w:val="hybridMultilevel"/>
    <w:tmpl w:val="A43868C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F0D7144"/>
    <w:multiLevelType w:val="hybridMultilevel"/>
    <w:tmpl w:val="14102D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1457C81"/>
    <w:multiLevelType w:val="hybridMultilevel"/>
    <w:tmpl w:val="64D0E57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BF64936"/>
    <w:multiLevelType w:val="hybridMultilevel"/>
    <w:tmpl w:val="4C2227D4"/>
    <w:lvl w:ilvl="0" w:tplc="FD6E1A18">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D496183"/>
    <w:multiLevelType w:val="hybridMultilevel"/>
    <w:tmpl w:val="441C75D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D5A6F2B"/>
    <w:multiLevelType w:val="hybridMultilevel"/>
    <w:tmpl w:val="4288E84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7152D98"/>
    <w:multiLevelType w:val="hybridMultilevel"/>
    <w:tmpl w:val="D4A2EFA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EAE3267"/>
    <w:multiLevelType w:val="hybridMultilevel"/>
    <w:tmpl w:val="B80889E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8"/>
  </w:num>
  <w:num w:numId="2">
    <w:abstractNumId w:val="6"/>
  </w:num>
  <w:num w:numId="3">
    <w:abstractNumId w:val="4"/>
  </w:num>
  <w:num w:numId="4">
    <w:abstractNumId w:val="16"/>
  </w:num>
  <w:num w:numId="5">
    <w:abstractNumId w:val="5"/>
  </w:num>
  <w:num w:numId="6">
    <w:abstractNumId w:val="13"/>
  </w:num>
  <w:num w:numId="7">
    <w:abstractNumId w:val="17"/>
  </w:num>
  <w:num w:numId="8">
    <w:abstractNumId w:val="15"/>
  </w:num>
  <w:num w:numId="9">
    <w:abstractNumId w:val="3"/>
  </w:num>
  <w:num w:numId="10">
    <w:abstractNumId w:val="2"/>
  </w:num>
  <w:num w:numId="11">
    <w:abstractNumId w:val="19"/>
  </w:num>
  <w:num w:numId="12">
    <w:abstractNumId w:val="8"/>
  </w:num>
  <w:num w:numId="13">
    <w:abstractNumId w:val="20"/>
  </w:num>
  <w:num w:numId="14">
    <w:abstractNumId w:val="21"/>
  </w:num>
  <w:num w:numId="15">
    <w:abstractNumId w:val="12"/>
  </w:num>
  <w:num w:numId="16">
    <w:abstractNumId w:val="22"/>
  </w:num>
  <w:num w:numId="17">
    <w:abstractNumId w:val="11"/>
  </w:num>
  <w:num w:numId="18">
    <w:abstractNumId w:val="7"/>
  </w:num>
  <w:num w:numId="19">
    <w:abstractNumId w:val="9"/>
  </w:num>
  <w:num w:numId="20">
    <w:abstractNumId w:val="10"/>
  </w:num>
  <w:num w:numId="21">
    <w:abstractNumId w:val="1"/>
  </w:num>
  <w:num w:numId="22">
    <w:abstractNumId w:val="0"/>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20557"/>
    <w:rsid w:val="00021FC2"/>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0066"/>
    <w:rsid w:val="000A407B"/>
    <w:rsid w:val="000A68ED"/>
    <w:rsid w:val="000B5FF1"/>
    <w:rsid w:val="000B609F"/>
    <w:rsid w:val="000C648D"/>
    <w:rsid w:val="000D2487"/>
    <w:rsid w:val="000D55A8"/>
    <w:rsid w:val="000E4841"/>
    <w:rsid w:val="000F1274"/>
    <w:rsid w:val="000F1677"/>
    <w:rsid w:val="000F3D6C"/>
    <w:rsid w:val="0010005B"/>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62DB1"/>
    <w:rsid w:val="00165EC7"/>
    <w:rsid w:val="00180548"/>
    <w:rsid w:val="00180AC4"/>
    <w:rsid w:val="00180CCE"/>
    <w:rsid w:val="0018267A"/>
    <w:rsid w:val="00182779"/>
    <w:rsid w:val="001830DF"/>
    <w:rsid w:val="001966D9"/>
    <w:rsid w:val="001A007A"/>
    <w:rsid w:val="001A2660"/>
    <w:rsid w:val="001A7E9A"/>
    <w:rsid w:val="001B0F70"/>
    <w:rsid w:val="001B5016"/>
    <w:rsid w:val="001C45FC"/>
    <w:rsid w:val="001D0469"/>
    <w:rsid w:val="001D29C0"/>
    <w:rsid w:val="001D4862"/>
    <w:rsid w:val="001D5785"/>
    <w:rsid w:val="001E25B9"/>
    <w:rsid w:val="001E49E0"/>
    <w:rsid w:val="001E7B5A"/>
    <w:rsid w:val="001F2BA2"/>
    <w:rsid w:val="001F7412"/>
    <w:rsid w:val="0020090A"/>
    <w:rsid w:val="00202DFE"/>
    <w:rsid w:val="00205866"/>
    <w:rsid w:val="0020725B"/>
    <w:rsid w:val="002110F1"/>
    <w:rsid w:val="00216FA9"/>
    <w:rsid w:val="002172B8"/>
    <w:rsid w:val="002356EA"/>
    <w:rsid w:val="0024116D"/>
    <w:rsid w:val="00241B44"/>
    <w:rsid w:val="00241FA3"/>
    <w:rsid w:val="00245EFB"/>
    <w:rsid w:val="002476AF"/>
    <w:rsid w:val="0025386E"/>
    <w:rsid w:val="0026004E"/>
    <w:rsid w:val="002638B0"/>
    <w:rsid w:val="0026647A"/>
    <w:rsid w:val="002668D3"/>
    <w:rsid w:val="0027299F"/>
    <w:rsid w:val="00272D60"/>
    <w:rsid w:val="00284EBE"/>
    <w:rsid w:val="002903A7"/>
    <w:rsid w:val="0029433F"/>
    <w:rsid w:val="00294829"/>
    <w:rsid w:val="002956E6"/>
    <w:rsid w:val="0029690F"/>
    <w:rsid w:val="00297C8A"/>
    <w:rsid w:val="002A2A60"/>
    <w:rsid w:val="002A37BB"/>
    <w:rsid w:val="002A4B95"/>
    <w:rsid w:val="002B1C45"/>
    <w:rsid w:val="002B4D8C"/>
    <w:rsid w:val="002C13C8"/>
    <w:rsid w:val="002C3547"/>
    <w:rsid w:val="002D0021"/>
    <w:rsid w:val="002D299D"/>
    <w:rsid w:val="002D3473"/>
    <w:rsid w:val="002F1956"/>
    <w:rsid w:val="002F3440"/>
    <w:rsid w:val="002F75A3"/>
    <w:rsid w:val="00303C2F"/>
    <w:rsid w:val="003042CB"/>
    <w:rsid w:val="003144EF"/>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D0C3B"/>
    <w:rsid w:val="003E0B16"/>
    <w:rsid w:val="003E67D1"/>
    <w:rsid w:val="004003CF"/>
    <w:rsid w:val="00404329"/>
    <w:rsid w:val="00405DC1"/>
    <w:rsid w:val="00415F1F"/>
    <w:rsid w:val="00416D2B"/>
    <w:rsid w:val="0042108F"/>
    <w:rsid w:val="00430FED"/>
    <w:rsid w:val="00434A8C"/>
    <w:rsid w:val="00437297"/>
    <w:rsid w:val="00444284"/>
    <w:rsid w:val="00445CE6"/>
    <w:rsid w:val="004534C2"/>
    <w:rsid w:val="0045446F"/>
    <w:rsid w:val="00456562"/>
    <w:rsid w:val="0045683E"/>
    <w:rsid w:val="00477C72"/>
    <w:rsid w:val="00484753"/>
    <w:rsid w:val="00491675"/>
    <w:rsid w:val="00493528"/>
    <w:rsid w:val="00493855"/>
    <w:rsid w:val="00495E79"/>
    <w:rsid w:val="004A2D83"/>
    <w:rsid w:val="004A57DD"/>
    <w:rsid w:val="004A7B51"/>
    <w:rsid w:val="004A7D71"/>
    <w:rsid w:val="004A7EF3"/>
    <w:rsid w:val="004B11FD"/>
    <w:rsid w:val="004B23A2"/>
    <w:rsid w:val="004C15FB"/>
    <w:rsid w:val="004D05ED"/>
    <w:rsid w:val="004D1A5A"/>
    <w:rsid w:val="004D2FFF"/>
    <w:rsid w:val="004D3721"/>
    <w:rsid w:val="004D64F9"/>
    <w:rsid w:val="004E3A6B"/>
    <w:rsid w:val="004E622C"/>
    <w:rsid w:val="004F5FDF"/>
    <w:rsid w:val="00514B9C"/>
    <w:rsid w:val="005177FE"/>
    <w:rsid w:val="0052263B"/>
    <w:rsid w:val="00524728"/>
    <w:rsid w:val="00532230"/>
    <w:rsid w:val="005331CA"/>
    <w:rsid w:val="005376CE"/>
    <w:rsid w:val="00537970"/>
    <w:rsid w:val="00540E3A"/>
    <w:rsid w:val="00542A3A"/>
    <w:rsid w:val="00544127"/>
    <w:rsid w:val="00544FF6"/>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3572"/>
    <w:rsid w:val="005B67AC"/>
    <w:rsid w:val="005B79F4"/>
    <w:rsid w:val="005C5A6D"/>
    <w:rsid w:val="005D16DD"/>
    <w:rsid w:val="005D43E0"/>
    <w:rsid w:val="005D58A3"/>
    <w:rsid w:val="005E1B79"/>
    <w:rsid w:val="005E6076"/>
    <w:rsid w:val="005E7008"/>
    <w:rsid w:val="005F026D"/>
    <w:rsid w:val="005F2AEA"/>
    <w:rsid w:val="005F2D0B"/>
    <w:rsid w:val="005F4B31"/>
    <w:rsid w:val="00600B67"/>
    <w:rsid w:val="00610388"/>
    <w:rsid w:val="00610AC7"/>
    <w:rsid w:val="00612A99"/>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2909"/>
    <w:rsid w:val="00697EA1"/>
    <w:rsid w:val="006A2646"/>
    <w:rsid w:val="006A5375"/>
    <w:rsid w:val="006A56DF"/>
    <w:rsid w:val="006A6530"/>
    <w:rsid w:val="006B435A"/>
    <w:rsid w:val="006B4C64"/>
    <w:rsid w:val="006B7879"/>
    <w:rsid w:val="006C2CF1"/>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4DB0"/>
    <w:rsid w:val="0076764D"/>
    <w:rsid w:val="0077498C"/>
    <w:rsid w:val="007809BC"/>
    <w:rsid w:val="00784128"/>
    <w:rsid w:val="00787BCC"/>
    <w:rsid w:val="00793173"/>
    <w:rsid w:val="007A2A33"/>
    <w:rsid w:val="007A65EB"/>
    <w:rsid w:val="007B22CF"/>
    <w:rsid w:val="007B3A5E"/>
    <w:rsid w:val="007B5C89"/>
    <w:rsid w:val="007C1FCC"/>
    <w:rsid w:val="007C6201"/>
    <w:rsid w:val="007D7C92"/>
    <w:rsid w:val="007E1154"/>
    <w:rsid w:val="007E2C5D"/>
    <w:rsid w:val="007E6BA4"/>
    <w:rsid w:val="007F41F8"/>
    <w:rsid w:val="007F659B"/>
    <w:rsid w:val="0080454E"/>
    <w:rsid w:val="00804C32"/>
    <w:rsid w:val="00806302"/>
    <w:rsid w:val="00807119"/>
    <w:rsid w:val="008235B7"/>
    <w:rsid w:val="00823B29"/>
    <w:rsid w:val="008245BB"/>
    <w:rsid w:val="0082483F"/>
    <w:rsid w:val="008279C0"/>
    <w:rsid w:val="00834706"/>
    <w:rsid w:val="00867701"/>
    <w:rsid w:val="008723F3"/>
    <w:rsid w:val="00876F56"/>
    <w:rsid w:val="00881DE6"/>
    <w:rsid w:val="008837A6"/>
    <w:rsid w:val="0089145D"/>
    <w:rsid w:val="008A4DF2"/>
    <w:rsid w:val="008A6CFE"/>
    <w:rsid w:val="008B5333"/>
    <w:rsid w:val="008B6223"/>
    <w:rsid w:val="008C3FB9"/>
    <w:rsid w:val="008C66E0"/>
    <w:rsid w:val="008D4D4A"/>
    <w:rsid w:val="008E3339"/>
    <w:rsid w:val="008E52BC"/>
    <w:rsid w:val="008F20FC"/>
    <w:rsid w:val="008F2C4E"/>
    <w:rsid w:val="008F490A"/>
    <w:rsid w:val="008F5FFE"/>
    <w:rsid w:val="00905A43"/>
    <w:rsid w:val="00912C79"/>
    <w:rsid w:val="00921B8C"/>
    <w:rsid w:val="00941900"/>
    <w:rsid w:val="00942123"/>
    <w:rsid w:val="00943A02"/>
    <w:rsid w:val="00944D3D"/>
    <w:rsid w:val="0095207B"/>
    <w:rsid w:val="00962045"/>
    <w:rsid w:val="0097581F"/>
    <w:rsid w:val="00980E61"/>
    <w:rsid w:val="00991428"/>
    <w:rsid w:val="0099169D"/>
    <w:rsid w:val="00992676"/>
    <w:rsid w:val="009954B2"/>
    <w:rsid w:val="00996691"/>
    <w:rsid w:val="009A3AB7"/>
    <w:rsid w:val="009B0723"/>
    <w:rsid w:val="009B07AD"/>
    <w:rsid w:val="009B0883"/>
    <w:rsid w:val="009B15E2"/>
    <w:rsid w:val="009B1757"/>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5679"/>
    <w:rsid w:val="00A2274A"/>
    <w:rsid w:val="00A235B7"/>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C750A"/>
    <w:rsid w:val="00AD12C7"/>
    <w:rsid w:val="00AD4BE8"/>
    <w:rsid w:val="00AF228E"/>
    <w:rsid w:val="00AF6C81"/>
    <w:rsid w:val="00B016A8"/>
    <w:rsid w:val="00B14819"/>
    <w:rsid w:val="00B15E2F"/>
    <w:rsid w:val="00B17AA9"/>
    <w:rsid w:val="00B37C3C"/>
    <w:rsid w:val="00B44713"/>
    <w:rsid w:val="00B51B95"/>
    <w:rsid w:val="00B53FBE"/>
    <w:rsid w:val="00B55DD2"/>
    <w:rsid w:val="00B56103"/>
    <w:rsid w:val="00B64929"/>
    <w:rsid w:val="00B736DF"/>
    <w:rsid w:val="00B743D6"/>
    <w:rsid w:val="00B74FBD"/>
    <w:rsid w:val="00B77F46"/>
    <w:rsid w:val="00B811C1"/>
    <w:rsid w:val="00B82586"/>
    <w:rsid w:val="00B829A3"/>
    <w:rsid w:val="00B8406D"/>
    <w:rsid w:val="00B86DB1"/>
    <w:rsid w:val="00B87869"/>
    <w:rsid w:val="00B91EA1"/>
    <w:rsid w:val="00B953FA"/>
    <w:rsid w:val="00B9639B"/>
    <w:rsid w:val="00BA3AE6"/>
    <w:rsid w:val="00BA4008"/>
    <w:rsid w:val="00BB0F2B"/>
    <w:rsid w:val="00BE4FF3"/>
    <w:rsid w:val="00BF2117"/>
    <w:rsid w:val="00BF50F7"/>
    <w:rsid w:val="00C02F29"/>
    <w:rsid w:val="00C03CAD"/>
    <w:rsid w:val="00C06B6D"/>
    <w:rsid w:val="00C17718"/>
    <w:rsid w:val="00C20AFE"/>
    <w:rsid w:val="00C22A25"/>
    <w:rsid w:val="00C26E97"/>
    <w:rsid w:val="00C35671"/>
    <w:rsid w:val="00C35B77"/>
    <w:rsid w:val="00C376EB"/>
    <w:rsid w:val="00C46A92"/>
    <w:rsid w:val="00C46EC1"/>
    <w:rsid w:val="00C52796"/>
    <w:rsid w:val="00C53E2C"/>
    <w:rsid w:val="00C550C8"/>
    <w:rsid w:val="00C55824"/>
    <w:rsid w:val="00C56B61"/>
    <w:rsid w:val="00C60379"/>
    <w:rsid w:val="00C606C3"/>
    <w:rsid w:val="00C620F4"/>
    <w:rsid w:val="00C72848"/>
    <w:rsid w:val="00C7736C"/>
    <w:rsid w:val="00C82D87"/>
    <w:rsid w:val="00C8712A"/>
    <w:rsid w:val="00C902C8"/>
    <w:rsid w:val="00C919D1"/>
    <w:rsid w:val="00C963D3"/>
    <w:rsid w:val="00CB1983"/>
    <w:rsid w:val="00CB2CBB"/>
    <w:rsid w:val="00CB7CAC"/>
    <w:rsid w:val="00CC144C"/>
    <w:rsid w:val="00CC5335"/>
    <w:rsid w:val="00CC5BA4"/>
    <w:rsid w:val="00CC6748"/>
    <w:rsid w:val="00CD4998"/>
    <w:rsid w:val="00CE1035"/>
    <w:rsid w:val="00CE6E50"/>
    <w:rsid w:val="00CF2819"/>
    <w:rsid w:val="00CF4F9D"/>
    <w:rsid w:val="00CF70DC"/>
    <w:rsid w:val="00CF7B4B"/>
    <w:rsid w:val="00D0796B"/>
    <w:rsid w:val="00D14424"/>
    <w:rsid w:val="00D148DC"/>
    <w:rsid w:val="00D17FDC"/>
    <w:rsid w:val="00D21D8C"/>
    <w:rsid w:val="00D32677"/>
    <w:rsid w:val="00D45B4F"/>
    <w:rsid w:val="00D53719"/>
    <w:rsid w:val="00D6188D"/>
    <w:rsid w:val="00D63EFD"/>
    <w:rsid w:val="00D74D32"/>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4FED"/>
    <w:rsid w:val="00E15BA9"/>
    <w:rsid w:val="00E26E19"/>
    <w:rsid w:val="00E31DF3"/>
    <w:rsid w:val="00E32181"/>
    <w:rsid w:val="00E450A4"/>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146B"/>
    <w:rsid w:val="00EB45AC"/>
    <w:rsid w:val="00EC441F"/>
    <w:rsid w:val="00EC4755"/>
    <w:rsid w:val="00ED0BC4"/>
    <w:rsid w:val="00ED447D"/>
    <w:rsid w:val="00ED5BDC"/>
    <w:rsid w:val="00EE4971"/>
    <w:rsid w:val="00EE6CB0"/>
    <w:rsid w:val="00EE7AA6"/>
    <w:rsid w:val="00EF090E"/>
    <w:rsid w:val="00EF0ECA"/>
    <w:rsid w:val="00EF5572"/>
    <w:rsid w:val="00F033DA"/>
    <w:rsid w:val="00F134FE"/>
    <w:rsid w:val="00F13691"/>
    <w:rsid w:val="00F13FB1"/>
    <w:rsid w:val="00F219B4"/>
    <w:rsid w:val="00F27CD8"/>
    <w:rsid w:val="00F30351"/>
    <w:rsid w:val="00F30E74"/>
    <w:rsid w:val="00F32C2B"/>
    <w:rsid w:val="00F3323E"/>
    <w:rsid w:val="00F341F4"/>
    <w:rsid w:val="00F34F9D"/>
    <w:rsid w:val="00F35CCE"/>
    <w:rsid w:val="00F5165C"/>
    <w:rsid w:val="00F5524B"/>
    <w:rsid w:val="00F60531"/>
    <w:rsid w:val="00F60538"/>
    <w:rsid w:val="00F61DD2"/>
    <w:rsid w:val="00F66AFF"/>
    <w:rsid w:val="00F71433"/>
    <w:rsid w:val="00F97C5B"/>
    <w:rsid w:val="00FA18CF"/>
    <w:rsid w:val="00FA3D50"/>
    <w:rsid w:val="00FB20D9"/>
    <w:rsid w:val="00FB4C6B"/>
    <w:rsid w:val="00FB7FBD"/>
    <w:rsid w:val="00FC374A"/>
    <w:rsid w:val="00FC490B"/>
    <w:rsid w:val="00FC74C8"/>
    <w:rsid w:val="00FC7B47"/>
    <w:rsid w:val="00FD035C"/>
    <w:rsid w:val="00FD1A35"/>
    <w:rsid w:val="00FD2EA4"/>
    <w:rsid w:val="00FD36C5"/>
    <w:rsid w:val="00FD43F9"/>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10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A0A5-8BC5-4B1D-BF09-861FDEF5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3933</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2021-07-26T13:09:00Z</dcterms:created>
  <dcterms:modified xsi:type="dcterms:W3CDTF">2021-07-26T13:09:00Z</dcterms:modified>
</cp:coreProperties>
</file>