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3824A2" w:rsidRDefault="00E443D7" w:rsidP="00B04033">
      <w:pPr>
        <w:pStyle w:val="ListParagraph"/>
        <w:numPr>
          <w:ilvl w:val="0"/>
          <w:numId w:val="1"/>
        </w:numPr>
        <w:ind w:left="426"/>
        <w:jc w:val="both"/>
        <w:rPr>
          <w:rFonts w:ascii="Arial" w:hAnsi="Arial" w:cs="Arial"/>
          <w:sz w:val="22"/>
          <w:szCs w:val="22"/>
          <w:highlight w:val="yellow"/>
          <w:lang w:val="en-GB"/>
        </w:rPr>
      </w:pPr>
      <w:r w:rsidRPr="003824A2">
        <w:rPr>
          <w:rFonts w:ascii="Arial" w:hAnsi="Arial" w:cs="Arial"/>
          <w:sz w:val="22"/>
          <w:szCs w:val="22"/>
          <w:highlight w:val="yellow"/>
          <w:lang w:val="en-GB"/>
        </w:rPr>
        <w:t>20 business days</w:t>
      </w:r>
      <w:r w:rsidR="00763348" w:rsidRPr="003824A2">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3824A2" w:rsidRDefault="00E443D7" w:rsidP="00B04033">
      <w:pPr>
        <w:pStyle w:val="ListParagraph"/>
        <w:numPr>
          <w:ilvl w:val="0"/>
          <w:numId w:val="2"/>
        </w:numPr>
        <w:ind w:left="426"/>
        <w:jc w:val="both"/>
        <w:rPr>
          <w:rFonts w:ascii="Arial" w:hAnsi="Arial" w:cs="Arial"/>
          <w:sz w:val="22"/>
          <w:szCs w:val="22"/>
          <w:highlight w:val="yellow"/>
          <w:lang w:val="en-GB"/>
        </w:rPr>
      </w:pPr>
      <w:r w:rsidRPr="003824A2">
        <w:rPr>
          <w:rFonts w:ascii="Arial" w:hAnsi="Arial" w:cs="Arial"/>
          <w:sz w:val="22"/>
          <w:szCs w:val="22"/>
          <w:highlight w:val="yellow"/>
          <w:lang w:val="en-GB"/>
        </w:rPr>
        <w:t>One year</w:t>
      </w:r>
      <w:r w:rsidR="00763348" w:rsidRPr="003824A2">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3824A2" w:rsidRDefault="008D1616" w:rsidP="00B04033">
      <w:pPr>
        <w:pStyle w:val="ListParagraph"/>
        <w:numPr>
          <w:ilvl w:val="0"/>
          <w:numId w:val="3"/>
        </w:numPr>
        <w:ind w:left="426"/>
        <w:jc w:val="both"/>
        <w:rPr>
          <w:rFonts w:ascii="Arial" w:hAnsi="Arial" w:cs="Arial"/>
          <w:sz w:val="22"/>
          <w:szCs w:val="22"/>
          <w:highlight w:val="yellow"/>
          <w:lang w:val="en-GB"/>
        </w:rPr>
      </w:pPr>
      <w:r w:rsidRPr="003824A2">
        <w:rPr>
          <w:rFonts w:ascii="Arial" w:hAnsi="Arial" w:cs="Arial"/>
          <w:sz w:val="22"/>
          <w:szCs w:val="22"/>
          <w:highlight w:val="yellow"/>
          <w:lang w:val="en-GB"/>
        </w:rPr>
        <w:t>the company is, or is likely to become, unable to pay their debts, as defined under s</w:t>
      </w:r>
      <w:r w:rsidR="00E833F4" w:rsidRPr="003824A2">
        <w:rPr>
          <w:rFonts w:ascii="Arial" w:hAnsi="Arial" w:cs="Arial"/>
          <w:sz w:val="22"/>
          <w:szCs w:val="22"/>
          <w:highlight w:val="yellow"/>
          <w:lang w:val="en-GB"/>
        </w:rPr>
        <w:t>ection</w:t>
      </w:r>
      <w:r w:rsidRPr="003824A2">
        <w:rPr>
          <w:rFonts w:ascii="Arial" w:hAnsi="Arial" w:cs="Arial"/>
          <w:sz w:val="22"/>
          <w:szCs w:val="22"/>
          <w:highlight w:val="yellow"/>
          <w:lang w:val="en-GB"/>
        </w:rPr>
        <w:t xml:space="preserve"> 123 of the Insolvency Act 1986</w:t>
      </w:r>
      <w:r w:rsidR="00763348" w:rsidRPr="003824A2">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3824A2" w:rsidRDefault="008D1616" w:rsidP="00B04033">
      <w:pPr>
        <w:pStyle w:val="ListParagraph"/>
        <w:numPr>
          <w:ilvl w:val="0"/>
          <w:numId w:val="4"/>
        </w:numPr>
        <w:ind w:left="426"/>
        <w:jc w:val="both"/>
        <w:rPr>
          <w:rFonts w:ascii="Arial" w:hAnsi="Arial" w:cs="Arial"/>
          <w:sz w:val="22"/>
          <w:szCs w:val="22"/>
          <w:highlight w:val="yellow"/>
          <w:lang w:val="en-GB"/>
        </w:rPr>
      </w:pPr>
      <w:r w:rsidRPr="003824A2">
        <w:rPr>
          <w:rFonts w:ascii="Arial" w:hAnsi="Arial" w:cs="Arial"/>
          <w:sz w:val="22"/>
          <w:szCs w:val="22"/>
          <w:highlight w:val="yellow"/>
          <w:lang w:val="en-GB"/>
        </w:rPr>
        <w:t xml:space="preserve">A majority in number and </w:t>
      </w:r>
      <w:r w:rsidR="00867701" w:rsidRPr="003824A2">
        <w:rPr>
          <w:rFonts w:ascii="Arial" w:hAnsi="Arial" w:cs="Arial"/>
          <w:sz w:val="22"/>
          <w:szCs w:val="22"/>
          <w:highlight w:val="yellow"/>
          <w:lang w:val="en-GB"/>
        </w:rPr>
        <w:t xml:space="preserve">75% </w:t>
      </w:r>
      <w:r w:rsidRPr="003824A2">
        <w:rPr>
          <w:rFonts w:ascii="Arial" w:hAnsi="Arial" w:cs="Arial"/>
          <w:sz w:val="22"/>
          <w:szCs w:val="22"/>
          <w:highlight w:val="yellow"/>
          <w:lang w:val="en-GB"/>
        </w:rPr>
        <w:t xml:space="preserve">or more </w:t>
      </w:r>
      <w:r w:rsidR="00867701" w:rsidRPr="003824A2">
        <w:rPr>
          <w:rFonts w:ascii="Arial" w:hAnsi="Arial" w:cs="Arial"/>
          <w:sz w:val="22"/>
          <w:szCs w:val="22"/>
          <w:highlight w:val="yellow"/>
          <w:lang w:val="en-GB"/>
        </w:rPr>
        <w:t>in value</w:t>
      </w:r>
      <w:r w:rsidR="00763348" w:rsidRPr="003824A2">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3824A2" w:rsidRDefault="00867701" w:rsidP="00B04033">
      <w:pPr>
        <w:pStyle w:val="ListParagraph"/>
        <w:numPr>
          <w:ilvl w:val="0"/>
          <w:numId w:val="4"/>
        </w:numPr>
        <w:ind w:left="426"/>
        <w:jc w:val="both"/>
        <w:rPr>
          <w:rFonts w:ascii="Arial" w:hAnsi="Arial" w:cs="Arial"/>
          <w:sz w:val="22"/>
          <w:szCs w:val="22"/>
          <w:lang w:val="en-GB"/>
        </w:rPr>
      </w:pPr>
      <w:r w:rsidRPr="003824A2">
        <w:rPr>
          <w:rFonts w:ascii="Arial" w:hAnsi="Arial" w:cs="Arial"/>
          <w:sz w:val="22"/>
          <w:szCs w:val="22"/>
          <w:lang w:val="en-GB"/>
        </w:rPr>
        <w:t>75% or more in value</w:t>
      </w:r>
      <w:r w:rsidR="00763348" w:rsidRPr="003824A2">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3824A2" w:rsidRDefault="00BA1CFD" w:rsidP="00B04033">
      <w:pPr>
        <w:pStyle w:val="ListParagraph"/>
        <w:numPr>
          <w:ilvl w:val="0"/>
          <w:numId w:val="5"/>
        </w:numPr>
        <w:ind w:left="426"/>
        <w:jc w:val="both"/>
        <w:rPr>
          <w:rFonts w:ascii="Arial" w:hAnsi="Arial" w:cs="Arial"/>
          <w:sz w:val="22"/>
          <w:szCs w:val="22"/>
          <w:highlight w:val="yellow"/>
          <w:lang w:val="en-GB"/>
        </w:rPr>
      </w:pPr>
      <w:r w:rsidRPr="003824A2">
        <w:rPr>
          <w:rFonts w:ascii="Arial" w:hAnsi="Arial" w:cs="Arial"/>
          <w:sz w:val="22"/>
          <w:szCs w:val="22"/>
          <w:highlight w:val="yellow"/>
          <w:lang w:val="en-GB"/>
        </w:rPr>
        <w:t>Administration</w:t>
      </w:r>
      <w:r w:rsidR="00763348" w:rsidRPr="003824A2">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4B2064E7"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r w:rsidR="003824A2">
        <w:rPr>
          <w:rFonts w:ascii="Arial" w:hAnsi="Arial" w:cs="Arial"/>
          <w:sz w:val="22"/>
          <w:szCs w:val="22"/>
          <w:lang w:val="en-GB"/>
        </w:rPr>
        <w:t xml:space="preserve"> </w:t>
      </w:r>
    </w:p>
    <w:p w14:paraId="0704E555" w14:textId="77777777" w:rsidR="00763348" w:rsidRPr="00763348" w:rsidRDefault="00763348" w:rsidP="00763348">
      <w:pPr>
        <w:ind w:left="66"/>
        <w:jc w:val="both"/>
        <w:rPr>
          <w:rFonts w:ascii="Arial" w:hAnsi="Arial" w:cs="Arial"/>
          <w:sz w:val="22"/>
          <w:szCs w:val="22"/>
          <w:lang w:val="en-GB"/>
        </w:rPr>
      </w:pPr>
    </w:p>
    <w:p w14:paraId="391E5FA8" w14:textId="2D94C07E" w:rsidR="00867701" w:rsidRPr="003824A2" w:rsidRDefault="00BA1CFD" w:rsidP="00B04033">
      <w:pPr>
        <w:pStyle w:val="ListParagraph"/>
        <w:numPr>
          <w:ilvl w:val="0"/>
          <w:numId w:val="5"/>
        </w:numPr>
        <w:ind w:left="426"/>
        <w:jc w:val="both"/>
        <w:rPr>
          <w:rFonts w:ascii="Arial" w:hAnsi="Arial" w:cs="Arial"/>
          <w:b/>
          <w:bCs/>
          <w:color w:val="FF0000"/>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r w:rsidR="003824A2">
        <w:rPr>
          <w:rFonts w:ascii="Arial" w:hAnsi="Arial" w:cs="Arial"/>
          <w:sz w:val="22"/>
          <w:szCs w:val="22"/>
          <w:lang w:val="en-GB"/>
        </w:rPr>
        <w:t xml:space="preserve"> </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Pr="005918DB" w:rsidRDefault="00BA1CFD" w:rsidP="00B04033">
      <w:pPr>
        <w:pStyle w:val="ListParagraph"/>
        <w:numPr>
          <w:ilvl w:val="0"/>
          <w:numId w:val="6"/>
        </w:numPr>
        <w:ind w:left="426"/>
        <w:jc w:val="both"/>
        <w:rPr>
          <w:rFonts w:ascii="Arial" w:hAnsi="Arial" w:cs="Arial"/>
          <w:sz w:val="22"/>
          <w:szCs w:val="22"/>
          <w:highlight w:val="yellow"/>
          <w:lang w:val="en-GB"/>
        </w:rPr>
      </w:pPr>
      <w:r w:rsidRPr="005918DB">
        <w:rPr>
          <w:rFonts w:ascii="Arial" w:hAnsi="Arial" w:cs="Arial"/>
          <w:sz w:val="22"/>
          <w:szCs w:val="22"/>
          <w:highlight w:val="yellow"/>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Default="00BA1CFD" w:rsidP="00B04033">
      <w:pPr>
        <w:pStyle w:val="ListParagraph"/>
        <w:numPr>
          <w:ilvl w:val="0"/>
          <w:numId w:val="6"/>
        </w:numPr>
        <w:ind w:left="426"/>
        <w:jc w:val="both"/>
        <w:rPr>
          <w:rFonts w:ascii="Arial" w:hAnsi="Arial" w:cs="Arial"/>
          <w:sz w:val="22"/>
          <w:szCs w:val="22"/>
          <w:lang w:val="en-GB"/>
        </w:rPr>
      </w:pPr>
      <w:r w:rsidRPr="00F01D7D">
        <w:rPr>
          <w:rFonts w:ascii="Arial" w:hAnsi="Arial" w:cs="Arial"/>
          <w:sz w:val="22"/>
          <w:szCs w:val="22"/>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5918DB" w:rsidRDefault="00BA1CFD" w:rsidP="00B04033">
      <w:pPr>
        <w:pStyle w:val="ListParagraph"/>
        <w:numPr>
          <w:ilvl w:val="0"/>
          <w:numId w:val="7"/>
        </w:numPr>
        <w:ind w:left="426"/>
        <w:jc w:val="both"/>
        <w:rPr>
          <w:rFonts w:ascii="Arial" w:hAnsi="Arial" w:cs="Arial"/>
          <w:sz w:val="22"/>
          <w:szCs w:val="22"/>
          <w:highlight w:val="yellow"/>
          <w:lang w:val="en-GB"/>
        </w:rPr>
      </w:pPr>
      <w:r w:rsidRPr="005918DB">
        <w:rPr>
          <w:rFonts w:ascii="Arial" w:hAnsi="Arial" w:cs="Arial"/>
          <w:sz w:val="22"/>
          <w:szCs w:val="22"/>
          <w:highlight w:val="yellow"/>
          <w:lang w:val="en-GB"/>
        </w:rPr>
        <w:t>Wrongful trading</w:t>
      </w:r>
      <w:r w:rsidR="00763348" w:rsidRPr="005918DB">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66F5AE47" w:rsidR="00876F56" w:rsidRDefault="00BA1CFD" w:rsidP="00B04033">
      <w:pPr>
        <w:pStyle w:val="ListParagraph"/>
        <w:numPr>
          <w:ilvl w:val="0"/>
          <w:numId w:val="7"/>
        </w:numPr>
        <w:ind w:left="426"/>
        <w:jc w:val="both"/>
        <w:rPr>
          <w:rFonts w:ascii="Arial" w:hAnsi="Arial" w:cs="Arial"/>
          <w:sz w:val="22"/>
          <w:szCs w:val="22"/>
          <w:lang w:val="en-GB"/>
        </w:rPr>
      </w:pPr>
      <w:r w:rsidRPr="00F01D7D">
        <w:rPr>
          <w:rFonts w:ascii="Arial" w:hAnsi="Arial" w:cs="Arial"/>
          <w:sz w:val="22"/>
          <w:szCs w:val="22"/>
          <w:lang w:val="en-GB"/>
        </w:rPr>
        <w:t>Breach of fiduciary duty</w:t>
      </w:r>
      <w:r w:rsidR="00763348">
        <w:rPr>
          <w:rFonts w:ascii="Arial" w:hAnsi="Arial" w:cs="Arial"/>
          <w:sz w:val="22"/>
          <w:szCs w:val="22"/>
          <w:lang w:val="en-GB"/>
        </w:rPr>
        <w:t>.</w:t>
      </w:r>
      <w:r w:rsidR="005918DB">
        <w:rPr>
          <w:rFonts w:ascii="Arial" w:hAnsi="Arial" w:cs="Arial"/>
          <w:sz w:val="22"/>
          <w:szCs w:val="22"/>
          <w:lang w:val="en-GB"/>
        </w:rPr>
        <w:t xml:space="preserve"> </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5918DB" w:rsidRDefault="00876F56" w:rsidP="00B04033">
      <w:pPr>
        <w:pStyle w:val="ListParagraph"/>
        <w:numPr>
          <w:ilvl w:val="0"/>
          <w:numId w:val="8"/>
        </w:numPr>
        <w:ind w:left="426"/>
        <w:jc w:val="both"/>
        <w:rPr>
          <w:rFonts w:ascii="Arial" w:hAnsi="Arial" w:cs="Arial"/>
          <w:sz w:val="22"/>
          <w:szCs w:val="22"/>
          <w:highlight w:val="yellow"/>
          <w:lang w:val="en-GB"/>
        </w:rPr>
      </w:pPr>
      <w:r w:rsidRPr="005918DB">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Default="00E833F4" w:rsidP="00B04033">
      <w:pPr>
        <w:pStyle w:val="ListParagraph"/>
        <w:numPr>
          <w:ilvl w:val="0"/>
          <w:numId w:val="9"/>
        </w:numPr>
        <w:ind w:left="426"/>
        <w:jc w:val="both"/>
        <w:rPr>
          <w:rFonts w:ascii="Arial" w:hAnsi="Arial" w:cs="Arial"/>
          <w:sz w:val="22"/>
          <w:szCs w:val="22"/>
          <w:lang w:val="en-GB"/>
        </w:rPr>
      </w:pPr>
      <w:r w:rsidRPr="001675F9">
        <w:rPr>
          <w:rFonts w:ascii="Arial" w:hAnsi="Arial" w:cs="Arial"/>
          <w:sz w:val="22"/>
          <w:szCs w:val="22"/>
          <w:highlight w:val="yellow"/>
          <w:lang w:val="en-GB"/>
        </w:rPr>
        <w:t>An administrator</w:t>
      </w:r>
      <w:r w:rsidR="00763348" w:rsidRPr="001675F9">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1675F9" w:rsidRDefault="00BA1CFD" w:rsidP="00B04033">
      <w:pPr>
        <w:pStyle w:val="ListParagraph"/>
        <w:numPr>
          <w:ilvl w:val="0"/>
          <w:numId w:val="10"/>
        </w:numPr>
        <w:ind w:left="426"/>
        <w:jc w:val="both"/>
        <w:rPr>
          <w:rFonts w:ascii="Arial" w:hAnsi="Arial" w:cs="Arial"/>
          <w:sz w:val="22"/>
          <w:szCs w:val="22"/>
          <w:highlight w:val="yellow"/>
          <w:lang w:val="en-GB"/>
        </w:rPr>
      </w:pPr>
      <w:r w:rsidRPr="001675F9">
        <w:rPr>
          <w:rFonts w:ascii="Arial" w:hAnsi="Arial" w:cs="Arial"/>
          <w:sz w:val="22"/>
          <w:szCs w:val="22"/>
          <w:highlight w:val="yellow"/>
          <w:lang w:val="en-GB"/>
        </w:rPr>
        <w:t>5</w:t>
      </w:r>
      <w:r w:rsidR="00876F56" w:rsidRPr="001675F9">
        <w:rPr>
          <w:rFonts w:ascii="Arial" w:hAnsi="Arial" w:cs="Arial"/>
          <w:sz w:val="22"/>
          <w:szCs w:val="22"/>
          <w:highlight w:val="yellow"/>
          <w:lang w:val="en-GB"/>
        </w:rPr>
        <w:t>0% of the first £</w:t>
      </w:r>
      <w:r w:rsidRPr="001675F9">
        <w:rPr>
          <w:rFonts w:ascii="Arial" w:hAnsi="Arial" w:cs="Arial"/>
          <w:sz w:val="22"/>
          <w:szCs w:val="22"/>
          <w:highlight w:val="yellow"/>
          <w:lang w:val="en-GB"/>
        </w:rPr>
        <w:t>1</w:t>
      </w:r>
      <w:r w:rsidR="00876F56" w:rsidRPr="001675F9">
        <w:rPr>
          <w:rFonts w:ascii="Arial" w:hAnsi="Arial" w:cs="Arial"/>
          <w:sz w:val="22"/>
          <w:szCs w:val="22"/>
          <w:highlight w:val="yellow"/>
          <w:lang w:val="en-GB"/>
        </w:rPr>
        <w:t xml:space="preserve">0,000 in value plus </w:t>
      </w:r>
      <w:r w:rsidRPr="001675F9">
        <w:rPr>
          <w:rFonts w:ascii="Arial" w:hAnsi="Arial" w:cs="Arial"/>
          <w:sz w:val="22"/>
          <w:szCs w:val="22"/>
          <w:highlight w:val="yellow"/>
          <w:lang w:val="en-GB"/>
        </w:rPr>
        <w:t>2</w:t>
      </w:r>
      <w:r w:rsidR="00876F56" w:rsidRPr="001675F9">
        <w:rPr>
          <w:rFonts w:ascii="Arial" w:hAnsi="Arial" w:cs="Arial"/>
          <w:sz w:val="22"/>
          <w:szCs w:val="22"/>
          <w:highlight w:val="yellow"/>
          <w:lang w:val="en-GB"/>
        </w:rPr>
        <w:t xml:space="preserve">0% of </w:t>
      </w:r>
      <w:r w:rsidRPr="001675F9">
        <w:rPr>
          <w:rFonts w:ascii="Arial" w:hAnsi="Arial" w:cs="Arial"/>
          <w:sz w:val="22"/>
          <w:szCs w:val="22"/>
          <w:highlight w:val="yellow"/>
          <w:lang w:val="en-GB"/>
        </w:rPr>
        <w:t>the excess in value above the £1</w:t>
      </w:r>
      <w:r w:rsidR="00876F56" w:rsidRPr="001675F9">
        <w:rPr>
          <w:rFonts w:ascii="Arial" w:hAnsi="Arial" w:cs="Arial"/>
          <w:sz w:val="22"/>
          <w:szCs w:val="22"/>
          <w:highlight w:val="yellow"/>
          <w:lang w:val="en-GB"/>
        </w:rPr>
        <w:t>0,000 subject to a maximum amount of prescribed part of £800,000</w:t>
      </w:r>
      <w:r w:rsidR="00763348" w:rsidRPr="001675F9">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163E9366" w14:textId="77777777" w:rsidR="004A2C0A" w:rsidRDefault="004A2C0A" w:rsidP="004A2C0A">
      <w:pPr>
        <w:ind w:left="720" w:hanging="720"/>
        <w:jc w:val="both"/>
        <w:rPr>
          <w:rFonts w:ascii="Arial" w:hAnsi="Arial" w:cs="Arial"/>
          <w:sz w:val="22"/>
          <w:szCs w:val="22"/>
          <w:lang w:val="en-GB"/>
        </w:rPr>
      </w:pPr>
      <w:r w:rsidRPr="004A2C0A">
        <w:rPr>
          <w:rFonts w:ascii="Arial" w:hAnsi="Arial" w:cs="Arial"/>
          <w:sz w:val="22"/>
          <w:szCs w:val="22"/>
          <w:lang w:val="en-GB"/>
        </w:rPr>
        <w:t>As it has been explained in the Guidance Text, a debtor company will be said to be insolvent</w:t>
      </w:r>
    </w:p>
    <w:p w14:paraId="287F7B79" w14:textId="77777777" w:rsidR="004A2C0A" w:rsidRDefault="004A2C0A" w:rsidP="004A2C0A">
      <w:pPr>
        <w:ind w:left="720" w:hanging="720"/>
        <w:jc w:val="both"/>
        <w:rPr>
          <w:rFonts w:ascii="Arial" w:hAnsi="Arial" w:cs="Arial"/>
          <w:sz w:val="22"/>
          <w:szCs w:val="22"/>
          <w:lang w:val="en-GB"/>
        </w:rPr>
      </w:pPr>
      <w:r w:rsidRPr="004A2C0A">
        <w:rPr>
          <w:rFonts w:ascii="Arial" w:hAnsi="Arial" w:cs="Arial"/>
          <w:sz w:val="22"/>
          <w:szCs w:val="22"/>
          <w:lang w:val="en-GB"/>
        </w:rPr>
        <w:t>if it is either Balance Sheet</w:t>
      </w:r>
      <w:r>
        <w:rPr>
          <w:rFonts w:ascii="Arial" w:hAnsi="Arial" w:cs="Arial"/>
          <w:sz w:val="22"/>
          <w:szCs w:val="22"/>
          <w:lang w:val="en-GB"/>
        </w:rPr>
        <w:t xml:space="preserve"> </w:t>
      </w:r>
      <w:r w:rsidRPr="004A2C0A">
        <w:rPr>
          <w:rFonts w:ascii="Arial" w:hAnsi="Arial" w:cs="Arial"/>
          <w:sz w:val="22"/>
          <w:szCs w:val="22"/>
          <w:lang w:val="en-GB"/>
        </w:rPr>
        <w:t>insolvent or Cash Flow insolvent.</w:t>
      </w:r>
      <w:r>
        <w:rPr>
          <w:rFonts w:ascii="Arial" w:hAnsi="Arial" w:cs="Arial"/>
          <w:sz w:val="22"/>
          <w:szCs w:val="22"/>
          <w:lang w:val="en-GB"/>
        </w:rPr>
        <w:t xml:space="preserve"> </w:t>
      </w:r>
    </w:p>
    <w:p w14:paraId="3AEEC44E" w14:textId="77777777" w:rsidR="004A2C0A" w:rsidRDefault="004A2C0A" w:rsidP="004A2C0A">
      <w:pPr>
        <w:ind w:left="720" w:hanging="720"/>
        <w:jc w:val="both"/>
        <w:rPr>
          <w:rFonts w:ascii="Arial" w:hAnsi="Arial" w:cs="Arial"/>
          <w:sz w:val="22"/>
          <w:szCs w:val="22"/>
          <w:lang w:val="en-GB"/>
        </w:rPr>
      </w:pPr>
    </w:p>
    <w:p w14:paraId="24471773" w14:textId="15106758" w:rsidR="000A1133" w:rsidRDefault="004A2C0A" w:rsidP="004A2C0A">
      <w:pPr>
        <w:ind w:left="720" w:hanging="720"/>
        <w:jc w:val="both"/>
        <w:rPr>
          <w:rFonts w:ascii="Arial" w:hAnsi="Arial" w:cs="Arial"/>
          <w:sz w:val="22"/>
          <w:szCs w:val="22"/>
          <w:lang w:val="en-GB"/>
        </w:rPr>
      </w:pPr>
      <w:r>
        <w:rPr>
          <w:rFonts w:ascii="Arial" w:hAnsi="Arial" w:cs="Arial"/>
          <w:sz w:val="22"/>
          <w:szCs w:val="22"/>
          <w:lang w:val="en-GB"/>
        </w:rPr>
        <w:t>To these purposes, a</w:t>
      </w:r>
      <w:r w:rsidRPr="004A2C0A">
        <w:rPr>
          <w:rFonts w:ascii="Arial" w:hAnsi="Arial" w:cs="Arial"/>
          <w:sz w:val="22"/>
          <w:szCs w:val="22"/>
          <w:lang w:val="en-GB"/>
        </w:rPr>
        <w:t xml:space="preserve"> company </w:t>
      </w:r>
      <w:r w:rsidR="000A1133">
        <w:rPr>
          <w:rFonts w:ascii="Arial" w:hAnsi="Arial" w:cs="Arial"/>
          <w:sz w:val="22"/>
          <w:szCs w:val="22"/>
          <w:lang w:val="en-GB"/>
        </w:rPr>
        <w:t>will be deemed to be</w:t>
      </w:r>
      <w:r w:rsidRPr="004A2C0A">
        <w:rPr>
          <w:rFonts w:ascii="Arial" w:hAnsi="Arial" w:cs="Arial"/>
          <w:sz w:val="22"/>
          <w:szCs w:val="22"/>
          <w:lang w:val="en-GB"/>
        </w:rPr>
        <w:t xml:space="preserve"> </w:t>
      </w:r>
      <w:r w:rsidR="000A1133">
        <w:rPr>
          <w:rFonts w:ascii="Arial" w:hAnsi="Arial" w:cs="Arial"/>
          <w:b/>
          <w:bCs/>
          <w:sz w:val="22"/>
          <w:szCs w:val="22"/>
          <w:lang w:val="en-GB"/>
        </w:rPr>
        <w:t>B</w:t>
      </w:r>
      <w:r w:rsidRPr="000A1133">
        <w:rPr>
          <w:rFonts w:ascii="Arial" w:hAnsi="Arial" w:cs="Arial"/>
          <w:b/>
          <w:bCs/>
          <w:sz w:val="22"/>
          <w:szCs w:val="22"/>
          <w:lang w:val="en-GB"/>
        </w:rPr>
        <w:t xml:space="preserve">alance </w:t>
      </w:r>
      <w:r w:rsidR="000A1133">
        <w:rPr>
          <w:rFonts w:ascii="Arial" w:hAnsi="Arial" w:cs="Arial"/>
          <w:b/>
          <w:bCs/>
          <w:sz w:val="22"/>
          <w:szCs w:val="22"/>
          <w:lang w:val="en-GB"/>
        </w:rPr>
        <w:t>S</w:t>
      </w:r>
      <w:r w:rsidRPr="000A1133">
        <w:rPr>
          <w:rFonts w:ascii="Arial" w:hAnsi="Arial" w:cs="Arial"/>
          <w:b/>
          <w:bCs/>
          <w:sz w:val="22"/>
          <w:szCs w:val="22"/>
          <w:lang w:val="en-GB"/>
        </w:rPr>
        <w:t>heet insolvent</w:t>
      </w:r>
      <w:r w:rsidRPr="004A2C0A">
        <w:rPr>
          <w:rFonts w:ascii="Arial" w:hAnsi="Arial" w:cs="Arial"/>
          <w:sz w:val="22"/>
          <w:szCs w:val="22"/>
          <w:lang w:val="en-GB"/>
        </w:rPr>
        <w:t xml:space="preserve"> if the value</w:t>
      </w:r>
      <w:r>
        <w:rPr>
          <w:rFonts w:ascii="Arial" w:hAnsi="Arial" w:cs="Arial"/>
          <w:sz w:val="22"/>
          <w:szCs w:val="22"/>
          <w:lang w:val="en-GB"/>
        </w:rPr>
        <w:t xml:space="preserve"> </w:t>
      </w:r>
      <w:r w:rsidRPr="004A2C0A">
        <w:rPr>
          <w:rFonts w:ascii="Arial" w:hAnsi="Arial" w:cs="Arial"/>
          <w:sz w:val="22"/>
          <w:szCs w:val="22"/>
          <w:lang w:val="en-GB"/>
        </w:rPr>
        <w:t>of</w:t>
      </w:r>
    </w:p>
    <w:p w14:paraId="5294A184" w14:textId="77777777" w:rsidR="000A1133" w:rsidRDefault="000A1133" w:rsidP="000A1133">
      <w:pPr>
        <w:ind w:left="720" w:hanging="720"/>
        <w:jc w:val="both"/>
        <w:rPr>
          <w:rFonts w:ascii="Arial" w:hAnsi="Arial" w:cs="Arial"/>
          <w:sz w:val="22"/>
          <w:szCs w:val="22"/>
          <w:lang w:val="en-GB"/>
        </w:rPr>
      </w:pPr>
      <w:r w:rsidRPr="004A2C0A">
        <w:rPr>
          <w:rFonts w:ascii="Arial" w:hAnsi="Arial" w:cs="Arial"/>
          <w:sz w:val="22"/>
          <w:szCs w:val="22"/>
          <w:lang w:val="en-GB"/>
        </w:rPr>
        <w:lastRenderedPageBreak/>
        <w:t>I</w:t>
      </w:r>
      <w:r w:rsidR="004A2C0A" w:rsidRPr="004A2C0A">
        <w:rPr>
          <w:rFonts w:ascii="Arial" w:hAnsi="Arial" w:cs="Arial"/>
          <w:sz w:val="22"/>
          <w:szCs w:val="22"/>
          <w:lang w:val="en-GB"/>
        </w:rPr>
        <w:t>ts</w:t>
      </w:r>
      <w:r>
        <w:rPr>
          <w:rFonts w:ascii="Arial" w:hAnsi="Arial" w:cs="Arial"/>
          <w:sz w:val="22"/>
          <w:szCs w:val="22"/>
          <w:lang w:val="en-GB"/>
        </w:rPr>
        <w:t xml:space="preserve"> </w:t>
      </w:r>
      <w:r w:rsidR="004A2C0A" w:rsidRPr="004A2C0A">
        <w:rPr>
          <w:rFonts w:ascii="Arial" w:hAnsi="Arial" w:cs="Arial"/>
          <w:sz w:val="22"/>
          <w:szCs w:val="22"/>
          <w:lang w:val="en-GB"/>
        </w:rPr>
        <w:t>assets is less than</w:t>
      </w:r>
      <w:r>
        <w:rPr>
          <w:rFonts w:ascii="Arial" w:hAnsi="Arial" w:cs="Arial"/>
          <w:sz w:val="22"/>
          <w:szCs w:val="22"/>
          <w:lang w:val="en-GB"/>
        </w:rPr>
        <w:t xml:space="preserve"> </w:t>
      </w:r>
      <w:r w:rsidR="004A2C0A" w:rsidRPr="004A2C0A">
        <w:rPr>
          <w:rFonts w:ascii="Arial" w:hAnsi="Arial" w:cs="Arial"/>
          <w:sz w:val="22"/>
          <w:szCs w:val="22"/>
          <w:lang w:val="en-GB"/>
        </w:rPr>
        <w:t>its liabilities (taking into account any future or contingent</w:t>
      </w:r>
      <w:r w:rsidR="004A2C0A">
        <w:rPr>
          <w:rFonts w:ascii="Arial" w:hAnsi="Arial" w:cs="Arial"/>
          <w:sz w:val="22"/>
          <w:szCs w:val="22"/>
          <w:lang w:val="en-GB"/>
        </w:rPr>
        <w:t xml:space="preserve"> </w:t>
      </w:r>
      <w:r w:rsidR="004A2C0A" w:rsidRPr="004A2C0A">
        <w:rPr>
          <w:rFonts w:ascii="Arial" w:hAnsi="Arial" w:cs="Arial"/>
          <w:sz w:val="22"/>
          <w:szCs w:val="22"/>
          <w:lang w:val="en-GB"/>
        </w:rPr>
        <w:t>liabilities as</w:t>
      </w:r>
    </w:p>
    <w:p w14:paraId="57BCFC30" w14:textId="34F76B80" w:rsidR="009B07AD" w:rsidRDefault="000A1133" w:rsidP="000A1133">
      <w:pPr>
        <w:ind w:left="720" w:hanging="720"/>
        <w:jc w:val="both"/>
        <w:rPr>
          <w:rFonts w:ascii="Arial" w:hAnsi="Arial" w:cs="Arial"/>
          <w:sz w:val="22"/>
          <w:szCs w:val="22"/>
          <w:lang w:val="en-GB"/>
        </w:rPr>
      </w:pPr>
      <w:r>
        <w:rPr>
          <w:rFonts w:ascii="Arial" w:hAnsi="Arial" w:cs="Arial"/>
          <w:sz w:val="22"/>
          <w:szCs w:val="22"/>
          <w:lang w:val="en-GB"/>
        </w:rPr>
        <w:t>w</w:t>
      </w:r>
      <w:r w:rsidR="004A2C0A" w:rsidRPr="004A2C0A">
        <w:rPr>
          <w:rFonts w:ascii="Arial" w:hAnsi="Arial" w:cs="Arial"/>
          <w:sz w:val="22"/>
          <w:szCs w:val="22"/>
          <w:lang w:val="en-GB"/>
        </w:rPr>
        <w:t>ell</w:t>
      </w:r>
      <w:r>
        <w:rPr>
          <w:rFonts w:ascii="Arial" w:hAnsi="Arial" w:cs="Arial"/>
          <w:sz w:val="22"/>
          <w:szCs w:val="22"/>
          <w:lang w:val="en-GB"/>
        </w:rPr>
        <w:t xml:space="preserve"> </w:t>
      </w:r>
      <w:r w:rsidR="004A2C0A" w:rsidRPr="004A2C0A">
        <w:rPr>
          <w:rFonts w:ascii="Arial" w:hAnsi="Arial" w:cs="Arial"/>
          <w:sz w:val="22"/>
          <w:szCs w:val="22"/>
          <w:lang w:val="en-GB"/>
        </w:rPr>
        <w:t>as its current</w:t>
      </w:r>
      <w:r>
        <w:rPr>
          <w:rFonts w:ascii="Arial" w:hAnsi="Arial" w:cs="Arial"/>
          <w:sz w:val="22"/>
          <w:szCs w:val="22"/>
          <w:lang w:val="en-GB"/>
        </w:rPr>
        <w:t xml:space="preserve"> </w:t>
      </w:r>
      <w:r w:rsidR="004A2C0A" w:rsidRPr="004A2C0A">
        <w:rPr>
          <w:rFonts w:ascii="Arial" w:hAnsi="Arial" w:cs="Arial"/>
          <w:sz w:val="22"/>
          <w:szCs w:val="22"/>
          <w:lang w:val="en-GB"/>
        </w:rPr>
        <w:t>liabilities).</w:t>
      </w:r>
    </w:p>
    <w:p w14:paraId="12E3E83E" w14:textId="4C5144BA" w:rsidR="000A1133" w:rsidRDefault="000A1133" w:rsidP="000A1133">
      <w:pPr>
        <w:ind w:left="720" w:hanging="720"/>
        <w:jc w:val="both"/>
        <w:rPr>
          <w:rFonts w:ascii="Arial" w:hAnsi="Arial" w:cs="Arial"/>
          <w:sz w:val="22"/>
          <w:szCs w:val="22"/>
          <w:lang w:val="en-GB"/>
        </w:rPr>
      </w:pPr>
    </w:p>
    <w:p w14:paraId="30E7FFCD" w14:textId="77777777" w:rsidR="000A1133" w:rsidRDefault="000A1133" w:rsidP="000A1133">
      <w:pPr>
        <w:ind w:left="720" w:hanging="720"/>
        <w:jc w:val="both"/>
        <w:rPr>
          <w:rFonts w:ascii="Arial" w:hAnsi="Arial" w:cs="Arial"/>
          <w:sz w:val="22"/>
          <w:szCs w:val="22"/>
          <w:lang w:val="en-GB"/>
        </w:rPr>
      </w:pPr>
      <w:r>
        <w:rPr>
          <w:rFonts w:ascii="Arial" w:hAnsi="Arial" w:cs="Arial"/>
          <w:sz w:val="22"/>
          <w:szCs w:val="22"/>
          <w:lang w:val="en-GB"/>
        </w:rPr>
        <w:t xml:space="preserve">However, a company will be Cash Flow insolvent </w:t>
      </w:r>
      <w:r w:rsidRPr="000A1133">
        <w:rPr>
          <w:rFonts w:ascii="Arial" w:hAnsi="Arial" w:cs="Arial"/>
          <w:sz w:val="22"/>
          <w:szCs w:val="22"/>
          <w:lang w:val="en-GB"/>
        </w:rPr>
        <w:t>where it is</w:t>
      </w:r>
      <w:r>
        <w:rPr>
          <w:rFonts w:ascii="Arial" w:hAnsi="Arial" w:cs="Arial"/>
          <w:sz w:val="22"/>
          <w:szCs w:val="22"/>
          <w:lang w:val="en-GB"/>
        </w:rPr>
        <w:t xml:space="preserve"> </w:t>
      </w:r>
      <w:r w:rsidRPr="000A1133">
        <w:rPr>
          <w:rFonts w:ascii="Arial" w:hAnsi="Arial" w:cs="Arial"/>
          <w:sz w:val="22"/>
          <w:szCs w:val="22"/>
          <w:lang w:val="en-GB"/>
        </w:rPr>
        <w:t>unable to pay its debts as they</w:t>
      </w:r>
    </w:p>
    <w:p w14:paraId="64C661DE" w14:textId="27A2F043" w:rsidR="000A1133" w:rsidRPr="004A2C0A" w:rsidRDefault="000A1133" w:rsidP="000A1133">
      <w:pPr>
        <w:ind w:left="720" w:hanging="720"/>
        <w:jc w:val="both"/>
        <w:rPr>
          <w:rFonts w:ascii="Arial" w:hAnsi="Arial" w:cs="Arial"/>
          <w:sz w:val="22"/>
          <w:szCs w:val="22"/>
          <w:lang w:val="en-GB"/>
        </w:rPr>
      </w:pPr>
      <w:r w:rsidRPr="000A1133">
        <w:rPr>
          <w:rFonts w:ascii="Arial" w:hAnsi="Arial" w:cs="Arial"/>
          <w:sz w:val="22"/>
          <w:szCs w:val="22"/>
          <w:lang w:val="en-GB"/>
        </w:rPr>
        <w:t>fall due.</w:t>
      </w:r>
    </w:p>
    <w:p w14:paraId="22C610C9" w14:textId="16EF6256" w:rsidR="00DE03AF" w:rsidRPr="002A37BB" w:rsidRDefault="00DE03AF" w:rsidP="002A37BB">
      <w:pPr>
        <w:jc w:val="both"/>
        <w:rPr>
          <w:rFonts w:ascii="Arial" w:hAnsi="Arial" w:cs="Arial"/>
          <w:sz w:val="22"/>
          <w:szCs w:val="22"/>
        </w:rPr>
      </w:pP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1AEB24E7" w14:textId="77777777" w:rsidR="00806245" w:rsidRPr="00806245" w:rsidRDefault="00806245" w:rsidP="002A37BB">
      <w:pPr>
        <w:ind w:left="720" w:hanging="720"/>
        <w:jc w:val="both"/>
        <w:rPr>
          <w:rFonts w:ascii="Arial" w:hAnsi="Arial" w:cs="Arial"/>
          <w:sz w:val="22"/>
          <w:szCs w:val="22"/>
          <w:lang w:val="en-GB"/>
        </w:rPr>
      </w:pPr>
      <w:r w:rsidRPr="00806245">
        <w:rPr>
          <w:rFonts w:ascii="Arial" w:hAnsi="Arial" w:cs="Arial"/>
          <w:sz w:val="22"/>
          <w:szCs w:val="22"/>
          <w:lang w:val="en-GB"/>
        </w:rPr>
        <w:t>In this case, the moratorium prevents certain actions against the company. These are some</w:t>
      </w:r>
    </w:p>
    <w:p w14:paraId="78DB9FD8" w14:textId="49F37D72" w:rsidR="00C72848" w:rsidRDefault="00806245" w:rsidP="002A37BB">
      <w:pPr>
        <w:ind w:left="720" w:hanging="720"/>
        <w:jc w:val="both"/>
        <w:rPr>
          <w:rFonts w:ascii="Arial" w:hAnsi="Arial" w:cs="Arial"/>
          <w:color w:val="7B7B7B" w:themeColor="accent3" w:themeShade="BF"/>
          <w:sz w:val="22"/>
          <w:szCs w:val="22"/>
          <w:lang w:val="en-GB"/>
        </w:rPr>
      </w:pPr>
      <w:r w:rsidRPr="00806245">
        <w:rPr>
          <w:rFonts w:ascii="Arial" w:hAnsi="Arial" w:cs="Arial"/>
          <w:sz w:val="22"/>
          <w:szCs w:val="22"/>
          <w:lang w:val="en-GB"/>
        </w:rPr>
        <w:t>of them</w:t>
      </w:r>
      <w:r>
        <w:rPr>
          <w:rFonts w:ascii="Arial" w:hAnsi="Arial" w:cs="Arial"/>
          <w:color w:val="7B7B7B" w:themeColor="accent3" w:themeShade="BF"/>
          <w:sz w:val="22"/>
          <w:szCs w:val="22"/>
          <w:lang w:val="en-GB"/>
        </w:rPr>
        <w:t xml:space="preserve">: </w:t>
      </w:r>
    </w:p>
    <w:p w14:paraId="1D205BDA" w14:textId="7D708113" w:rsidR="00806245" w:rsidRDefault="00806245" w:rsidP="002A37BB">
      <w:pPr>
        <w:ind w:left="720" w:hanging="720"/>
        <w:jc w:val="both"/>
        <w:rPr>
          <w:rFonts w:ascii="Arial" w:hAnsi="Arial" w:cs="Arial"/>
          <w:color w:val="7B7B7B" w:themeColor="accent3" w:themeShade="BF"/>
          <w:sz w:val="22"/>
          <w:szCs w:val="22"/>
          <w:lang w:val="en-GB"/>
        </w:rPr>
      </w:pPr>
    </w:p>
    <w:p w14:paraId="6014AFA9" w14:textId="21B88161" w:rsidR="00806245" w:rsidRDefault="00806245" w:rsidP="00806245">
      <w:pPr>
        <w:pStyle w:val="ListParagraph"/>
        <w:numPr>
          <w:ilvl w:val="0"/>
          <w:numId w:val="11"/>
        </w:numPr>
        <w:jc w:val="both"/>
        <w:rPr>
          <w:rFonts w:ascii="Arial" w:hAnsi="Arial" w:cs="Arial"/>
          <w:sz w:val="22"/>
          <w:szCs w:val="22"/>
          <w:lang w:val="en-GB"/>
        </w:rPr>
      </w:pPr>
      <w:r>
        <w:rPr>
          <w:rFonts w:ascii="Arial" w:hAnsi="Arial" w:cs="Arial"/>
          <w:sz w:val="22"/>
          <w:szCs w:val="22"/>
          <w:lang w:val="en-GB"/>
        </w:rPr>
        <w:t>N</w:t>
      </w:r>
      <w:r w:rsidRPr="00806245">
        <w:rPr>
          <w:rFonts w:ascii="Arial" w:hAnsi="Arial" w:cs="Arial"/>
          <w:sz w:val="22"/>
          <w:szCs w:val="22"/>
          <w:lang w:val="en-GB"/>
        </w:rPr>
        <w:t>o resolution may be passed for the winding up of the company;</w:t>
      </w:r>
    </w:p>
    <w:p w14:paraId="0EF4D5DD" w14:textId="02502F4E" w:rsidR="00806245" w:rsidRPr="00806245" w:rsidRDefault="00806245" w:rsidP="00806245">
      <w:pPr>
        <w:pStyle w:val="ListParagraph"/>
        <w:numPr>
          <w:ilvl w:val="0"/>
          <w:numId w:val="11"/>
        </w:numPr>
        <w:jc w:val="both"/>
        <w:rPr>
          <w:rFonts w:ascii="Arial" w:hAnsi="Arial" w:cs="Arial"/>
          <w:sz w:val="22"/>
          <w:szCs w:val="22"/>
          <w:lang w:val="en-GB"/>
        </w:rPr>
      </w:pPr>
      <w:r>
        <w:rPr>
          <w:rFonts w:ascii="Arial" w:hAnsi="Arial" w:cs="Arial"/>
          <w:sz w:val="22"/>
          <w:szCs w:val="22"/>
          <w:lang w:val="en-GB"/>
        </w:rPr>
        <w:t>N</w:t>
      </w:r>
      <w:r w:rsidRPr="00806245">
        <w:rPr>
          <w:rFonts w:ascii="Arial" w:hAnsi="Arial" w:cs="Arial"/>
          <w:sz w:val="22"/>
          <w:szCs w:val="22"/>
          <w:lang w:val="en-GB"/>
        </w:rPr>
        <w:t>o winding-up order may be made against the company (other than on public</w:t>
      </w:r>
    </w:p>
    <w:p w14:paraId="3E48349D" w14:textId="420101CB" w:rsidR="00806245" w:rsidRDefault="00806245" w:rsidP="00806245">
      <w:pPr>
        <w:pStyle w:val="ListParagraph"/>
        <w:jc w:val="both"/>
        <w:rPr>
          <w:rFonts w:ascii="Arial" w:hAnsi="Arial" w:cs="Arial"/>
          <w:sz w:val="22"/>
          <w:szCs w:val="22"/>
          <w:lang w:val="en-GB"/>
        </w:rPr>
      </w:pPr>
      <w:r w:rsidRPr="00806245">
        <w:rPr>
          <w:rFonts w:ascii="Arial" w:hAnsi="Arial" w:cs="Arial"/>
          <w:sz w:val="22"/>
          <w:szCs w:val="22"/>
          <w:lang w:val="en-GB"/>
        </w:rPr>
        <w:t>interest grounds);</w:t>
      </w:r>
    </w:p>
    <w:p w14:paraId="0C133EF2" w14:textId="77777777" w:rsidR="00806245" w:rsidRDefault="00806245" w:rsidP="00806245">
      <w:pPr>
        <w:pStyle w:val="ListParagraph"/>
        <w:numPr>
          <w:ilvl w:val="0"/>
          <w:numId w:val="12"/>
        </w:numPr>
        <w:ind w:left="709"/>
        <w:jc w:val="both"/>
        <w:rPr>
          <w:rFonts w:ascii="Arial" w:hAnsi="Arial" w:cs="Arial"/>
          <w:sz w:val="22"/>
          <w:szCs w:val="22"/>
          <w:lang w:val="en-GB"/>
        </w:rPr>
      </w:pPr>
      <w:r>
        <w:rPr>
          <w:rFonts w:ascii="Arial" w:hAnsi="Arial" w:cs="Arial"/>
          <w:sz w:val="22"/>
          <w:szCs w:val="22"/>
          <w:lang w:val="en-GB"/>
        </w:rPr>
        <w:t>N</w:t>
      </w:r>
      <w:r w:rsidRPr="00806245">
        <w:rPr>
          <w:rFonts w:ascii="Arial" w:hAnsi="Arial" w:cs="Arial"/>
          <w:sz w:val="22"/>
          <w:szCs w:val="22"/>
          <w:lang w:val="en-GB"/>
        </w:rPr>
        <w:t>o step may be taken to enforce security over the company’s property except</w:t>
      </w:r>
    </w:p>
    <w:p w14:paraId="3BAE915A" w14:textId="59627E4A" w:rsidR="00806245" w:rsidRDefault="00806245" w:rsidP="00806245">
      <w:pPr>
        <w:pStyle w:val="ListParagraph"/>
        <w:ind w:left="709"/>
        <w:jc w:val="both"/>
        <w:rPr>
          <w:rFonts w:ascii="Arial" w:hAnsi="Arial" w:cs="Arial"/>
          <w:sz w:val="22"/>
          <w:szCs w:val="22"/>
          <w:lang w:val="en-GB"/>
        </w:rPr>
      </w:pPr>
      <w:r w:rsidRPr="00806245">
        <w:rPr>
          <w:rFonts w:ascii="Arial" w:hAnsi="Arial" w:cs="Arial"/>
          <w:sz w:val="22"/>
          <w:szCs w:val="22"/>
          <w:lang w:val="en-GB"/>
        </w:rPr>
        <w:t>with the consent of the administrator or the permission of the court;</w:t>
      </w:r>
    </w:p>
    <w:p w14:paraId="3293B573" w14:textId="7B08F688" w:rsidR="00806245" w:rsidRPr="00806245" w:rsidRDefault="00806245" w:rsidP="00806245">
      <w:pPr>
        <w:pStyle w:val="ListParagraph"/>
        <w:numPr>
          <w:ilvl w:val="0"/>
          <w:numId w:val="13"/>
        </w:numPr>
        <w:ind w:left="709"/>
        <w:jc w:val="both"/>
        <w:rPr>
          <w:rFonts w:ascii="Arial" w:hAnsi="Arial" w:cs="Arial"/>
          <w:sz w:val="22"/>
          <w:szCs w:val="22"/>
          <w:lang w:val="en-GB"/>
        </w:rPr>
      </w:pPr>
      <w:r>
        <w:rPr>
          <w:rFonts w:ascii="Arial" w:hAnsi="Arial" w:cs="Arial"/>
          <w:sz w:val="22"/>
          <w:szCs w:val="22"/>
          <w:lang w:val="en-GB"/>
        </w:rPr>
        <w:t>N</w:t>
      </w:r>
      <w:r w:rsidRPr="00806245">
        <w:rPr>
          <w:rFonts w:ascii="Arial" w:hAnsi="Arial" w:cs="Arial"/>
          <w:sz w:val="22"/>
          <w:szCs w:val="22"/>
          <w:lang w:val="en-GB"/>
        </w:rPr>
        <w:t>o step may be taken to repossess goods in the company’s possession under a</w:t>
      </w:r>
      <w:r>
        <w:rPr>
          <w:rFonts w:ascii="Arial" w:hAnsi="Arial" w:cs="Arial"/>
          <w:sz w:val="22"/>
          <w:szCs w:val="22"/>
          <w:lang w:val="en-GB"/>
        </w:rPr>
        <w:t xml:space="preserve"> </w:t>
      </w:r>
      <w:r w:rsidRPr="00806245">
        <w:rPr>
          <w:rFonts w:ascii="Arial" w:hAnsi="Arial" w:cs="Arial"/>
          <w:sz w:val="22"/>
          <w:szCs w:val="22"/>
          <w:lang w:val="en-GB"/>
        </w:rPr>
        <w:t>hire-purchase agreement (which term includes retention of title contracts) except</w:t>
      </w:r>
      <w:r>
        <w:rPr>
          <w:rFonts w:ascii="Arial" w:hAnsi="Arial" w:cs="Arial"/>
          <w:sz w:val="22"/>
          <w:szCs w:val="22"/>
          <w:lang w:val="en-GB"/>
        </w:rPr>
        <w:t xml:space="preserve"> </w:t>
      </w:r>
      <w:r w:rsidRPr="00806245">
        <w:rPr>
          <w:rFonts w:ascii="Arial" w:hAnsi="Arial" w:cs="Arial"/>
          <w:sz w:val="22"/>
          <w:szCs w:val="22"/>
          <w:lang w:val="en-GB"/>
        </w:rPr>
        <w:t>with the consent of the administrator or the permission of the court;</w:t>
      </w:r>
    </w:p>
    <w:p w14:paraId="28C8FF90" w14:textId="77777777" w:rsidR="00806245" w:rsidRPr="00806245" w:rsidRDefault="00806245" w:rsidP="00806245">
      <w:pPr>
        <w:pStyle w:val="ListParagraph"/>
        <w:jc w:val="both"/>
        <w:rPr>
          <w:rFonts w:ascii="Arial" w:hAnsi="Arial" w:cs="Arial"/>
          <w:sz w:val="22"/>
          <w:szCs w:val="22"/>
          <w:lang w:val="en-GB"/>
        </w:rPr>
      </w:pP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0A5CAC20" w14:textId="32437581" w:rsidR="005F644C" w:rsidRDefault="005F644C" w:rsidP="005F644C">
      <w:pPr>
        <w:jc w:val="both"/>
        <w:rPr>
          <w:rFonts w:ascii="Arial" w:hAnsi="Arial" w:cs="Arial"/>
          <w:sz w:val="22"/>
          <w:szCs w:val="22"/>
        </w:rPr>
      </w:pPr>
      <w:r w:rsidRPr="005F644C">
        <w:rPr>
          <w:rFonts w:ascii="Arial" w:hAnsi="Arial" w:cs="Arial"/>
          <w:sz w:val="22"/>
          <w:szCs w:val="22"/>
        </w:rPr>
        <w:t>The principal differences between schemes and part 26A restructuring plans are</w:t>
      </w:r>
      <w:r>
        <w:rPr>
          <w:rFonts w:ascii="Arial" w:hAnsi="Arial" w:cs="Arial"/>
          <w:sz w:val="22"/>
          <w:szCs w:val="22"/>
        </w:rPr>
        <w:t>:</w:t>
      </w:r>
    </w:p>
    <w:p w14:paraId="60FFB552" w14:textId="77777777" w:rsidR="005F644C" w:rsidRDefault="005F644C" w:rsidP="005F644C">
      <w:pPr>
        <w:jc w:val="both"/>
        <w:rPr>
          <w:rFonts w:ascii="Arial" w:hAnsi="Arial" w:cs="Arial"/>
          <w:sz w:val="22"/>
          <w:szCs w:val="22"/>
        </w:rPr>
      </w:pPr>
    </w:p>
    <w:p w14:paraId="41F7CD08" w14:textId="1FAB7854" w:rsidR="005F644C" w:rsidRDefault="005F644C" w:rsidP="005F644C">
      <w:pPr>
        <w:pStyle w:val="ListParagraph"/>
        <w:numPr>
          <w:ilvl w:val="0"/>
          <w:numId w:val="14"/>
        </w:numPr>
        <w:jc w:val="both"/>
        <w:rPr>
          <w:rFonts w:ascii="Arial" w:hAnsi="Arial" w:cs="Arial"/>
          <w:sz w:val="22"/>
          <w:szCs w:val="22"/>
        </w:rPr>
      </w:pPr>
      <w:r w:rsidRPr="005F644C">
        <w:rPr>
          <w:rFonts w:ascii="Arial" w:hAnsi="Arial" w:cs="Arial"/>
          <w:sz w:val="22"/>
          <w:szCs w:val="22"/>
        </w:rPr>
        <w:t>Part 26A</w:t>
      </w:r>
      <w:r>
        <w:rPr>
          <w:rFonts w:ascii="Arial" w:hAnsi="Arial" w:cs="Arial"/>
          <w:sz w:val="22"/>
          <w:szCs w:val="22"/>
        </w:rPr>
        <w:t xml:space="preserve"> (restructuring plans)</w:t>
      </w:r>
      <w:r w:rsidRPr="005F644C">
        <w:rPr>
          <w:rFonts w:ascii="Arial" w:hAnsi="Arial" w:cs="Arial"/>
          <w:sz w:val="22"/>
          <w:szCs w:val="22"/>
        </w:rPr>
        <w:t xml:space="preserve"> is only available to a company which has</w:t>
      </w:r>
      <w:r>
        <w:rPr>
          <w:rFonts w:ascii="Arial" w:hAnsi="Arial" w:cs="Arial"/>
          <w:sz w:val="22"/>
          <w:szCs w:val="22"/>
        </w:rPr>
        <w:t xml:space="preserve"> </w:t>
      </w:r>
      <w:r w:rsidRPr="005F644C">
        <w:rPr>
          <w:rFonts w:ascii="Arial" w:hAnsi="Arial" w:cs="Arial"/>
          <w:sz w:val="22"/>
          <w:szCs w:val="22"/>
        </w:rPr>
        <w:t>encountered, or is likely to encounter, financial difficulties that are affecting, or will or</w:t>
      </w:r>
      <w:r>
        <w:rPr>
          <w:rFonts w:ascii="Arial" w:hAnsi="Arial" w:cs="Arial"/>
          <w:sz w:val="22"/>
          <w:szCs w:val="22"/>
        </w:rPr>
        <w:t xml:space="preserve"> </w:t>
      </w:r>
      <w:r w:rsidRPr="005F644C">
        <w:rPr>
          <w:rFonts w:ascii="Arial" w:hAnsi="Arial" w:cs="Arial"/>
          <w:sz w:val="22"/>
          <w:szCs w:val="22"/>
        </w:rPr>
        <w:t xml:space="preserve">may affect, its ability to carry on business as a going concern; </w:t>
      </w:r>
    </w:p>
    <w:p w14:paraId="1033E777" w14:textId="77777777" w:rsidR="005F644C" w:rsidRDefault="005F644C" w:rsidP="005F644C">
      <w:pPr>
        <w:pStyle w:val="ListParagraph"/>
        <w:jc w:val="both"/>
        <w:rPr>
          <w:rFonts w:ascii="Arial" w:hAnsi="Arial" w:cs="Arial"/>
          <w:sz w:val="22"/>
          <w:szCs w:val="22"/>
        </w:rPr>
      </w:pPr>
    </w:p>
    <w:p w14:paraId="71F588CD" w14:textId="4CDBF45D" w:rsidR="005F644C" w:rsidRDefault="005F644C" w:rsidP="005F644C">
      <w:pPr>
        <w:pStyle w:val="ListParagraph"/>
        <w:numPr>
          <w:ilvl w:val="0"/>
          <w:numId w:val="14"/>
        </w:numPr>
        <w:jc w:val="both"/>
        <w:rPr>
          <w:rFonts w:ascii="Arial" w:hAnsi="Arial" w:cs="Arial"/>
          <w:sz w:val="22"/>
          <w:szCs w:val="22"/>
        </w:rPr>
      </w:pPr>
      <w:r w:rsidRPr="005F644C">
        <w:rPr>
          <w:rFonts w:ascii="Arial" w:hAnsi="Arial" w:cs="Arial"/>
          <w:sz w:val="22"/>
          <w:szCs w:val="22"/>
        </w:rPr>
        <w:t>a majority in number of</w:t>
      </w:r>
      <w:r>
        <w:rPr>
          <w:rFonts w:ascii="Arial" w:hAnsi="Arial" w:cs="Arial"/>
          <w:sz w:val="22"/>
          <w:szCs w:val="22"/>
        </w:rPr>
        <w:t xml:space="preserve"> </w:t>
      </w:r>
      <w:r w:rsidRPr="005F644C">
        <w:rPr>
          <w:rFonts w:ascii="Arial" w:hAnsi="Arial" w:cs="Arial"/>
          <w:sz w:val="22"/>
          <w:szCs w:val="22"/>
        </w:rPr>
        <w:t>each class of creditors must approve a Part 26 Scheme (as well as 75% in value)</w:t>
      </w:r>
      <w:r>
        <w:rPr>
          <w:rFonts w:ascii="Arial" w:hAnsi="Arial" w:cs="Arial"/>
          <w:sz w:val="22"/>
          <w:szCs w:val="22"/>
        </w:rPr>
        <w:t xml:space="preserve"> </w:t>
      </w:r>
      <w:r w:rsidRPr="005F644C">
        <w:rPr>
          <w:rFonts w:ascii="Arial" w:hAnsi="Arial" w:cs="Arial"/>
          <w:sz w:val="22"/>
          <w:szCs w:val="22"/>
        </w:rPr>
        <w:t>whilst a Part 26A Plan only requires 75% in value</w:t>
      </w:r>
      <w:r>
        <w:rPr>
          <w:rFonts w:ascii="Arial" w:hAnsi="Arial" w:cs="Arial"/>
          <w:sz w:val="22"/>
          <w:szCs w:val="22"/>
        </w:rPr>
        <w:t>.</w:t>
      </w:r>
      <w:r w:rsidRPr="005F644C">
        <w:rPr>
          <w:rFonts w:ascii="Arial" w:hAnsi="Arial" w:cs="Arial"/>
          <w:sz w:val="22"/>
          <w:szCs w:val="22"/>
        </w:rPr>
        <w:t xml:space="preserve"> </w:t>
      </w:r>
      <w:r>
        <w:rPr>
          <w:rFonts w:ascii="Arial" w:hAnsi="Arial" w:cs="Arial"/>
          <w:sz w:val="22"/>
          <w:szCs w:val="22"/>
        </w:rPr>
        <w:t>Therefore, p</w:t>
      </w:r>
      <w:r w:rsidRPr="005F644C">
        <w:rPr>
          <w:rFonts w:ascii="Arial" w:hAnsi="Arial" w:cs="Arial"/>
          <w:sz w:val="22"/>
          <w:szCs w:val="22"/>
        </w:rPr>
        <w:t xml:space="preserve">lan votes are calculated solely by the value of the relevant creditors' debt or members' shares (75% must vote in </w:t>
      </w:r>
      <w:proofErr w:type="spellStart"/>
      <w:r w:rsidRPr="005F644C">
        <w:rPr>
          <w:rFonts w:ascii="Arial" w:hAnsi="Arial" w:cs="Arial"/>
          <w:sz w:val="22"/>
          <w:szCs w:val="22"/>
        </w:rPr>
        <w:t>favour</w:t>
      </w:r>
      <w:proofErr w:type="spellEnd"/>
      <w:r w:rsidRPr="005F644C">
        <w:rPr>
          <w:rFonts w:ascii="Arial" w:hAnsi="Arial" w:cs="Arial"/>
          <w:sz w:val="22"/>
          <w:szCs w:val="22"/>
        </w:rPr>
        <w:t>)</w:t>
      </w:r>
      <w:r>
        <w:rPr>
          <w:rFonts w:ascii="Arial" w:hAnsi="Arial" w:cs="Arial"/>
          <w:sz w:val="22"/>
          <w:szCs w:val="22"/>
        </w:rPr>
        <w:t>, so n</w:t>
      </w:r>
      <w:r w:rsidRPr="005F644C">
        <w:rPr>
          <w:rFonts w:ascii="Arial" w:hAnsi="Arial" w:cs="Arial"/>
          <w:sz w:val="22"/>
          <w:szCs w:val="22"/>
        </w:rPr>
        <w:t>o numerosity requirement applies.</w:t>
      </w:r>
    </w:p>
    <w:p w14:paraId="2D3A6B01" w14:textId="77777777" w:rsidR="005F644C" w:rsidRPr="005F644C" w:rsidRDefault="005F644C" w:rsidP="005F644C">
      <w:pPr>
        <w:jc w:val="both"/>
        <w:rPr>
          <w:rFonts w:ascii="Arial" w:hAnsi="Arial" w:cs="Arial"/>
          <w:sz w:val="22"/>
          <w:szCs w:val="22"/>
        </w:rPr>
      </w:pPr>
    </w:p>
    <w:p w14:paraId="4024A332" w14:textId="596C0292" w:rsidR="00544127" w:rsidRPr="005F644C" w:rsidRDefault="005F644C" w:rsidP="005F644C">
      <w:pPr>
        <w:pStyle w:val="ListParagraph"/>
        <w:numPr>
          <w:ilvl w:val="0"/>
          <w:numId w:val="14"/>
        </w:numPr>
        <w:jc w:val="both"/>
        <w:rPr>
          <w:rFonts w:ascii="Arial" w:hAnsi="Arial" w:cs="Arial"/>
          <w:sz w:val="22"/>
          <w:szCs w:val="22"/>
        </w:rPr>
      </w:pPr>
      <w:r w:rsidRPr="005F644C">
        <w:rPr>
          <w:rFonts w:ascii="Arial" w:hAnsi="Arial" w:cs="Arial"/>
          <w:sz w:val="22"/>
          <w:szCs w:val="22"/>
        </w:rPr>
        <w:t>Part 26A contains provision for a</w:t>
      </w:r>
      <w:r>
        <w:rPr>
          <w:rFonts w:ascii="Arial" w:hAnsi="Arial" w:cs="Arial"/>
          <w:sz w:val="22"/>
          <w:szCs w:val="22"/>
        </w:rPr>
        <w:t xml:space="preserve"> </w:t>
      </w:r>
      <w:r w:rsidRPr="005F644C">
        <w:rPr>
          <w:rFonts w:ascii="Arial" w:hAnsi="Arial" w:cs="Arial"/>
          <w:sz w:val="22"/>
          <w:szCs w:val="22"/>
        </w:rPr>
        <w:t>cross class cram down which is not available under Part 26.</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1783F5A1" w14:textId="6C01E74B" w:rsidR="00E60CD1" w:rsidRDefault="00E60CD1" w:rsidP="00E60CD1">
      <w:pPr>
        <w:jc w:val="both"/>
        <w:rPr>
          <w:rFonts w:ascii="Arial" w:hAnsi="Arial" w:cs="Arial"/>
          <w:sz w:val="22"/>
          <w:szCs w:val="22"/>
          <w:lang w:val="en-GB"/>
        </w:rPr>
      </w:pPr>
      <w:r w:rsidRPr="00E60CD1">
        <w:rPr>
          <w:rFonts w:ascii="Arial" w:hAnsi="Arial" w:cs="Arial"/>
          <w:sz w:val="22"/>
          <w:szCs w:val="22"/>
          <w:lang w:val="en-GB"/>
        </w:rPr>
        <w:lastRenderedPageBreak/>
        <w:t>There are four possibilities</w:t>
      </w:r>
      <w:r>
        <w:rPr>
          <w:rFonts w:ascii="Arial" w:hAnsi="Arial" w:cs="Arial"/>
          <w:sz w:val="22"/>
          <w:szCs w:val="22"/>
          <w:lang w:val="en-GB"/>
        </w:rPr>
        <w:t>:</w:t>
      </w:r>
      <w:r w:rsidRPr="00E60CD1">
        <w:rPr>
          <w:rFonts w:ascii="Arial" w:hAnsi="Arial" w:cs="Arial"/>
          <w:sz w:val="22"/>
          <w:szCs w:val="22"/>
          <w:lang w:val="en-GB"/>
        </w:rPr>
        <w:t xml:space="preserve"> </w:t>
      </w:r>
    </w:p>
    <w:p w14:paraId="20132873" w14:textId="77777777" w:rsidR="003355E7" w:rsidRDefault="003355E7" w:rsidP="00E60CD1">
      <w:pPr>
        <w:jc w:val="both"/>
        <w:rPr>
          <w:rFonts w:ascii="Arial" w:hAnsi="Arial" w:cs="Arial"/>
          <w:sz w:val="22"/>
          <w:szCs w:val="22"/>
          <w:lang w:val="en-GB"/>
        </w:rPr>
      </w:pPr>
    </w:p>
    <w:p w14:paraId="4CF9554E" w14:textId="33295F0B" w:rsidR="00E60CD1" w:rsidRDefault="00E60CD1" w:rsidP="00E60CD1">
      <w:pPr>
        <w:pStyle w:val="ListParagraph"/>
        <w:numPr>
          <w:ilvl w:val="0"/>
          <w:numId w:val="15"/>
        </w:numPr>
        <w:jc w:val="both"/>
        <w:rPr>
          <w:rFonts w:ascii="Arial" w:hAnsi="Arial" w:cs="Arial"/>
          <w:sz w:val="22"/>
          <w:szCs w:val="22"/>
          <w:lang w:val="en-GB"/>
        </w:rPr>
      </w:pPr>
      <w:r w:rsidRPr="003355E7">
        <w:rPr>
          <w:rFonts w:ascii="Arial" w:hAnsi="Arial" w:cs="Arial"/>
          <w:b/>
          <w:bCs/>
          <w:sz w:val="22"/>
          <w:szCs w:val="22"/>
          <w:lang w:val="en-GB"/>
        </w:rPr>
        <w:t>EU Regulation</w:t>
      </w:r>
      <w:r>
        <w:rPr>
          <w:rFonts w:ascii="Arial" w:hAnsi="Arial" w:cs="Arial"/>
          <w:sz w:val="22"/>
          <w:szCs w:val="22"/>
          <w:lang w:val="en-GB"/>
        </w:rPr>
        <w:t xml:space="preserve">: </w:t>
      </w:r>
      <w:r w:rsidRPr="00E60CD1">
        <w:rPr>
          <w:rFonts w:ascii="Arial" w:hAnsi="Arial" w:cs="Arial"/>
          <w:sz w:val="22"/>
          <w:szCs w:val="22"/>
          <w:lang w:val="en-GB"/>
        </w:rPr>
        <w:t>Cross-border insolvency proceedings which involve companies with their COMI within any EU Member State (apart from Denmark) are</w:t>
      </w:r>
      <w:r>
        <w:rPr>
          <w:rFonts w:ascii="Arial" w:hAnsi="Arial" w:cs="Arial"/>
          <w:sz w:val="22"/>
          <w:szCs w:val="22"/>
          <w:lang w:val="en-GB"/>
        </w:rPr>
        <w:t xml:space="preserve"> </w:t>
      </w:r>
      <w:r w:rsidRPr="00E60CD1">
        <w:rPr>
          <w:rFonts w:ascii="Arial" w:hAnsi="Arial" w:cs="Arial"/>
          <w:sz w:val="22"/>
          <w:szCs w:val="22"/>
          <w:lang w:val="en-GB"/>
        </w:rPr>
        <w:t>governed by the EU Regulation on Insolvency Proceedings</w:t>
      </w:r>
      <w:r>
        <w:rPr>
          <w:rFonts w:ascii="Arial" w:hAnsi="Arial" w:cs="Arial"/>
          <w:sz w:val="22"/>
          <w:szCs w:val="22"/>
          <w:lang w:val="en-GB"/>
        </w:rPr>
        <w:t>. The main goal of the EU regulation is not to harmonize insolvency law within the EU, but to p</w:t>
      </w:r>
      <w:r w:rsidRPr="00E60CD1">
        <w:rPr>
          <w:rFonts w:ascii="Arial" w:hAnsi="Arial" w:cs="Arial"/>
          <w:sz w:val="22"/>
          <w:szCs w:val="22"/>
          <w:lang w:val="en-GB"/>
        </w:rPr>
        <w:t xml:space="preserve">rovide rules </w:t>
      </w:r>
      <w:r>
        <w:rPr>
          <w:rFonts w:ascii="Arial" w:hAnsi="Arial" w:cs="Arial"/>
          <w:sz w:val="22"/>
          <w:szCs w:val="22"/>
          <w:lang w:val="en-GB"/>
        </w:rPr>
        <w:t>that determine</w:t>
      </w:r>
      <w:r w:rsidRPr="00E60CD1">
        <w:rPr>
          <w:rFonts w:ascii="Arial" w:hAnsi="Arial" w:cs="Arial"/>
          <w:sz w:val="22"/>
          <w:szCs w:val="22"/>
          <w:lang w:val="en-GB"/>
        </w:rPr>
        <w:t xml:space="preserve"> which of the individual jurisdictions’ insolvency</w:t>
      </w:r>
      <w:r>
        <w:rPr>
          <w:rFonts w:ascii="Arial" w:hAnsi="Arial" w:cs="Arial"/>
          <w:sz w:val="22"/>
          <w:szCs w:val="22"/>
          <w:lang w:val="en-GB"/>
        </w:rPr>
        <w:t xml:space="preserve"> </w:t>
      </w:r>
      <w:r w:rsidRPr="00E60CD1">
        <w:rPr>
          <w:rFonts w:ascii="Arial" w:hAnsi="Arial" w:cs="Arial"/>
          <w:sz w:val="22"/>
          <w:szCs w:val="22"/>
          <w:lang w:val="en-GB"/>
        </w:rPr>
        <w:t>regime applies in a particular case.</w:t>
      </w:r>
      <w:r>
        <w:rPr>
          <w:rFonts w:ascii="Arial" w:hAnsi="Arial" w:cs="Arial"/>
          <w:sz w:val="22"/>
          <w:szCs w:val="22"/>
          <w:lang w:val="en-GB"/>
        </w:rPr>
        <w:t xml:space="preserve"> As it has been explained in the Guidance Text, </w:t>
      </w:r>
      <w:r w:rsidRPr="00E60CD1">
        <w:rPr>
          <w:rFonts w:ascii="Arial" w:hAnsi="Arial" w:cs="Arial"/>
          <w:sz w:val="22"/>
          <w:szCs w:val="22"/>
          <w:lang w:val="en-GB"/>
        </w:rPr>
        <w:t>One of the</w:t>
      </w:r>
      <w:r>
        <w:rPr>
          <w:rFonts w:ascii="Arial" w:hAnsi="Arial" w:cs="Arial"/>
          <w:sz w:val="22"/>
          <w:szCs w:val="22"/>
          <w:lang w:val="en-GB"/>
        </w:rPr>
        <w:t xml:space="preserve"> </w:t>
      </w:r>
      <w:r w:rsidRPr="00E60CD1">
        <w:rPr>
          <w:rFonts w:ascii="Arial" w:hAnsi="Arial" w:cs="Arial"/>
          <w:sz w:val="22"/>
          <w:szCs w:val="22"/>
          <w:lang w:val="en-GB"/>
        </w:rPr>
        <w:t>great benefits of the EU Regulation is that it works across the EU for both “</w:t>
      </w:r>
      <w:proofErr w:type="spellStart"/>
      <w:r w:rsidRPr="00E60CD1">
        <w:rPr>
          <w:rFonts w:ascii="Arial" w:hAnsi="Arial" w:cs="Arial"/>
          <w:sz w:val="22"/>
          <w:szCs w:val="22"/>
          <w:lang w:val="en-GB"/>
        </w:rPr>
        <w:t>inwardbound</w:t>
      </w:r>
      <w:proofErr w:type="spellEnd"/>
      <w:r w:rsidRPr="00E60CD1">
        <w:rPr>
          <w:rFonts w:ascii="Arial" w:hAnsi="Arial" w:cs="Arial"/>
          <w:sz w:val="22"/>
          <w:szCs w:val="22"/>
          <w:lang w:val="en-GB"/>
        </w:rPr>
        <w:t>”</w:t>
      </w:r>
      <w:r>
        <w:rPr>
          <w:rFonts w:ascii="Arial" w:hAnsi="Arial" w:cs="Arial"/>
          <w:sz w:val="22"/>
          <w:szCs w:val="22"/>
          <w:lang w:val="en-GB"/>
        </w:rPr>
        <w:t xml:space="preserve"> </w:t>
      </w:r>
      <w:r w:rsidRPr="00E60CD1">
        <w:rPr>
          <w:rFonts w:ascii="Arial" w:hAnsi="Arial" w:cs="Arial"/>
          <w:sz w:val="22"/>
          <w:szCs w:val="22"/>
          <w:lang w:val="en-GB"/>
        </w:rPr>
        <w:t>(where a Member State officeholder is automatically recognised in the UK)</w:t>
      </w:r>
      <w:r>
        <w:rPr>
          <w:rFonts w:ascii="Arial" w:hAnsi="Arial" w:cs="Arial"/>
          <w:sz w:val="22"/>
          <w:szCs w:val="22"/>
          <w:lang w:val="en-GB"/>
        </w:rPr>
        <w:t xml:space="preserve"> </w:t>
      </w:r>
      <w:r w:rsidRPr="00E60CD1">
        <w:rPr>
          <w:rFonts w:ascii="Arial" w:hAnsi="Arial" w:cs="Arial"/>
          <w:sz w:val="22"/>
          <w:szCs w:val="22"/>
          <w:lang w:val="en-GB"/>
        </w:rPr>
        <w:t>and “outward-bound” (where a UK officeholder is recognised in other Member</w:t>
      </w:r>
      <w:r>
        <w:rPr>
          <w:rFonts w:ascii="Arial" w:hAnsi="Arial" w:cs="Arial"/>
          <w:sz w:val="22"/>
          <w:szCs w:val="22"/>
          <w:lang w:val="en-GB"/>
        </w:rPr>
        <w:t xml:space="preserve"> </w:t>
      </w:r>
      <w:r w:rsidRPr="00E60CD1">
        <w:rPr>
          <w:rFonts w:ascii="Arial" w:hAnsi="Arial" w:cs="Arial"/>
          <w:sz w:val="22"/>
          <w:szCs w:val="22"/>
          <w:lang w:val="en-GB"/>
        </w:rPr>
        <w:t>States) insolvencies.</w:t>
      </w:r>
    </w:p>
    <w:p w14:paraId="5530077B" w14:textId="77777777" w:rsidR="00E60CD1" w:rsidRPr="00E60CD1" w:rsidRDefault="00E60CD1" w:rsidP="00E60CD1">
      <w:pPr>
        <w:pStyle w:val="ListParagraph"/>
        <w:jc w:val="both"/>
        <w:rPr>
          <w:rFonts w:ascii="Arial" w:hAnsi="Arial" w:cs="Arial"/>
          <w:sz w:val="22"/>
          <w:szCs w:val="22"/>
          <w:lang w:val="en-GB"/>
        </w:rPr>
      </w:pPr>
    </w:p>
    <w:p w14:paraId="323A6203" w14:textId="683CBF8F" w:rsidR="003355E7" w:rsidRPr="00F55FB5" w:rsidRDefault="003355E7" w:rsidP="00F55FB5">
      <w:pPr>
        <w:pStyle w:val="ListParagraph"/>
        <w:numPr>
          <w:ilvl w:val="0"/>
          <w:numId w:val="15"/>
        </w:numPr>
        <w:jc w:val="both"/>
        <w:rPr>
          <w:rFonts w:ascii="Arial" w:hAnsi="Arial" w:cs="Arial"/>
          <w:sz w:val="22"/>
          <w:szCs w:val="22"/>
          <w:lang w:val="en-GB"/>
        </w:rPr>
      </w:pPr>
      <w:r>
        <w:rPr>
          <w:rFonts w:ascii="Arial" w:hAnsi="Arial" w:cs="Arial"/>
          <w:b/>
          <w:bCs/>
          <w:sz w:val="22"/>
          <w:szCs w:val="22"/>
          <w:lang w:val="en-GB"/>
        </w:rPr>
        <w:t>T</w:t>
      </w:r>
      <w:r w:rsidR="00E60CD1" w:rsidRPr="003355E7">
        <w:rPr>
          <w:rFonts w:ascii="Arial" w:hAnsi="Arial" w:cs="Arial"/>
          <w:b/>
          <w:bCs/>
          <w:sz w:val="22"/>
          <w:szCs w:val="22"/>
          <w:lang w:val="en-GB"/>
        </w:rPr>
        <w:t>he CBIR</w:t>
      </w:r>
      <w:r>
        <w:rPr>
          <w:rFonts w:ascii="Arial" w:hAnsi="Arial" w:cs="Arial"/>
          <w:sz w:val="22"/>
          <w:szCs w:val="22"/>
          <w:lang w:val="en-GB"/>
        </w:rPr>
        <w:t>:</w:t>
      </w:r>
      <w:r w:rsidR="00E60CD1">
        <w:rPr>
          <w:rFonts w:ascii="Arial" w:hAnsi="Arial" w:cs="Arial"/>
          <w:sz w:val="22"/>
          <w:szCs w:val="22"/>
          <w:lang w:val="en-GB"/>
        </w:rPr>
        <w:t xml:space="preserve"> the model law </w:t>
      </w:r>
      <w:r w:rsidR="00E60CD1" w:rsidRPr="00E60CD1">
        <w:rPr>
          <w:rFonts w:ascii="Arial" w:hAnsi="Arial" w:cs="Arial"/>
          <w:sz w:val="22"/>
          <w:szCs w:val="22"/>
          <w:lang w:val="en-GB"/>
        </w:rPr>
        <w:t>was</w:t>
      </w:r>
      <w:r w:rsidR="00E60CD1">
        <w:rPr>
          <w:rFonts w:ascii="Arial" w:hAnsi="Arial" w:cs="Arial"/>
          <w:sz w:val="22"/>
          <w:szCs w:val="22"/>
          <w:lang w:val="en-GB"/>
        </w:rPr>
        <w:t xml:space="preserve"> </w:t>
      </w:r>
      <w:r w:rsidR="00E60CD1" w:rsidRPr="00E60CD1">
        <w:rPr>
          <w:rFonts w:ascii="Arial" w:hAnsi="Arial" w:cs="Arial"/>
          <w:sz w:val="22"/>
          <w:szCs w:val="22"/>
          <w:lang w:val="en-GB"/>
        </w:rPr>
        <w:t>incorporated into UK law, with only minor amendments, by the Cross Border</w:t>
      </w:r>
      <w:r w:rsidR="00E60CD1">
        <w:rPr>
          <w:rFonts w:ascii="Arial" w:hAnsi="Arial" w:cs="Arial"/>
          <w:sz w:val="22"/>
          <w:szCs w:val="22"/>
          <w:lang w:val="en-GB"/>
        </w:rPr>
        <w:t xml:space="preserve"> </w:t>
      </w:r>
      <w:r w:rsidR="00E60CD1" w:rsidRPr="00E60CD1">
        <w:rPr>
          <w:rFonts w:ascii="Arial" w:hAnsi="Arial" w:cs="Arial"/>
          <w:sz w:val="22"/>
          <w:szCs w:val="22"/>
          <w:lang w:val="en-GB"/>
        </w:rPr>
        <w:t>Insolvency Regulations 2006 SI 2006/1030 (CBIR).</w:t>
      </w:r>
      <w:r>
        <w:rPr>
          <w:rFonts w:ascii="Arial" w:hAnsi="Arial" w:cs="Arial"/>
          <w:sz w:val="22"/>
          <w:szCs w:val="22"/>
          <w:lang w:val="en-GB"/>
        </w:rPr>
        <w:t xml:space="preserve"> In this case, t</w:t>
      </w:r>
      <w:r w:rsidRPr="003355E7">
        <w:rPr>
          <w:rFonts w:ascii="Arial" w:hAnsi="Arial" w:cs="Arial"/>
          <w:sz w:val="22"/>
          <w:szCs w:val="22"/>
          <w:lang w:val="en-GB"/>
        </w:rPr>
        <w:t>here are no reciprocity</w:t>
      </w:r>
      <w:r>
        <w:rPr>
          <w:rFonts w:ascii="Arial" w:hAnsi="Arial" w:cs="Arial"/>
          <w:sz w:val="22"/>
          <w:szCs w:val="22"/>
          <w:lang w:val="en-GB"/>
        </w:rPr>
        <w:t xml:space="preserve"> </w:t>
      </w:r>
      <w:r w:rsidRPr="003355E7">
        <w:rPr>
          <w:rFonts w:ascii="Arial" w:hAnsi="Arial" w:cs="Arial"/>
          <w:sz w:val="22"/>
          <w:szCs w:val="22"/>
          <w:lang w:val="en-GB"/>
        </w:rPr>
        <w:t>provisions in the CBIR and so there is no real limit on the “inward bound”</w:t>
      </w:r>
      <w:r>
        <w:rPr>
          <w:rFonts w:ascii="Arial" w:hAnsi="Arial" w:cs="Arial"/>
          <w:sz w:val="22"/>
          <w:szCs w:val="22"/>
          <w:lang w:val="en-GB"/>
        </w:rPr>
        <w:t xml:space="preserve"> </w:t>
      </w:r>
      <w:r w:rsidRPr="003355E7">
        <w:rPr>
          <w:rFonts w:ascii="Arial" w:hAnsi="Arial" w:cs="Arial"/>
          <w:sz w:val="22"/>
          <w:szCs w:val="22"/>
          <w:lang w:val="en-GB"/>
        </w:rPr>
        <w:t xml:space="preserve">consequences for cross-border insolvency. </w:t>
      </w:r>
      <w:r>
        <w:rPr>
          <w:rFonts w:ascii="Arial" w:hAnsi="Arial" w:cs="Arial"/>
          <w:sz w:val="22"/>
          <w:szCs w:val="22"/>
          <w:lang w:val="en-GB"/>
        </w:rPr>
        <w:t>This means that i</w:t>
      </w:r>
      <w:r w:rsidRPr="003355E7">
        <w:rPr>
          <w:rFonts w:ascii="Arial" w:hAnsi="Arial" w:cs="Arial"/>
          <w:sz w:val="22"/>
          <w:szCs w:val="22"/>
          <w:lang w:val="en-GB"/>
        </w:rPr>
        <w:t>nsolvency practitioners from any</w:t>
      </w:r>
      <w:r>
        <w:rPr>
          <w:rFonts w:ascii="Arial" w:hAnsi="Arial" w:cs="Arial"/>
          <w:sz w:val="22"/>
          <w:szCs w:val="22"/>
          <w:lang w:val="en-GB"/>
        </w:rPr>
        <w:t xml:space="preserve"> </w:t>
      </w:r>
      <w:r w:rsidRPr="003355E7">
        <w:rPr>
          <w:rFonts w:ascii="Arial" w:hAnsi="Arial" w:cs="Arial"/>
          <w:sz w:val="22"/>
          <w:szCs w:val="22"/>
          <w:lang w:val="en-GB"/>
        </w:rPr>
        <w:t>overseas’ jurisdiction may apply to the court in England and Wales to be recognised</w:t>
      </w:r>
      <w:r>
        <w:rPr>
          <w:rFonts w:ascii="Arial" w:hAnsi="Arial" w:cs="Arial"/>
          <w:sz w:val="22"/>
          <w:szCs w:val="22"/>
          <w:lang w:val="en-GB"/>
        </w:rPr>
        <w:t xml:space="preserve"> </w:t>
      </w:r>
      <w:r w:rsidRPr="003355E7">
        <w:rPr>
          <w:rFonts w:ascii="Arial" w:hAnsi="Arial" w:cs="Arial"/>
          <w:sz w:val="22"/>
          <w:szCs w:val="22"/>
          <w:lang w:val="en-GB"/>
        </w:rPr>
        <w:t>in the jurisdiction.</w:t>
      </w:r>
      <w:r>
        <w:rPr>
          <w:rFonts w:ascii="Arial" w:hAnsi="Arial" w:cs="Arial"/>
          <w:sz w:val="22"/>
          <w:szCs w:val="22"/>
          <w:lang w:val="en-GB"/>
        </w:rPr>
        <w:t xml:space="preserve"> However, regarding the </w:t>
      </w:r>
      <w:r w:rsidRPr="003355E7">
        <w:rPr>
          <w:rFonts w:ascii="Arial" w:hAnsi="Arial" w:cs="Arial"/>
          <w:sz w:val="22"/>
          <w:szCs w:val="22"/>
          <w:lang w:val="en-GB"/>
        </w:rPr>
        <w:t>“outward-bound” benefits for the UK are limited to other States</w:t>
      </w:r>
      <w:r>
        <w:rPr>
          <w:rFonts w:ascii="Arial" w:hAnsi="Arial" w:cs="Arial"/>
          <w:sz w:val="22"/>
          <w:szCs w:val="22"/>
          <w:lang w:val="en-GB"/>
        </w:rPr>
        <w:t xml:space="preserve"> </w:t>
      </w:r>
      <w:r w:rsidRPr="003355E7">
        <w:rPr>
          <w:rFonts w:ascii="Arial" w:hAnsi="Arial" w:cs="Arial"/>
          <w:sz w:val="22"/>
          <w:szCs w:val="22"/>
          <w:lang w:val="en-GB"/>
        </w:rPr>
        <w:t>who have adopted the Model Law</w:t>
      </w:r>
      <w:r>
        <w:rPr>
          <w:rFonts w:ascii="Arial" w:hAnsi="Arial" w:cs="Arial"/>
          <w:sz w:val="22"/>
          <w:szCs w:val="22"/>
          <w:lang w:val="en-GB"/>
        </w:rPr>
        <w:t>. The main disadvantage</w:t>
      </w:r>
      <w:r w:rsidRPr="003355E7">
        <w:rPr>
          <w:rFonts w:ascii="Arial" w:hAnsi="Arial" w:cs="Arial"/>
          <w:sz w:val="22"/>
          <w:szCs w:val="22"/>
          <w:lang w:val="en-GB"/>
        </w:rPr>
        <w:t xml:space="preserve"> </w:t>
      </w:r>
      <w:r>
        <w:rPr>
          <w:rFonts w:ascii="Arial" w:hAnsi="Arial" w:cs="Arial"/>
          <w:sz w:val="22"/>
          <w:szCs w:val="22"/>
          <w:lang w:val="en-GB"/>
        </w:rPr>
        <w:t>of</w:t>
      </w:r>
      <w:r w:rsidRPr="003355E7">
        <w:rPr>
          <w:rFonts w:ascii="Arial" w:hAnsi="Arial" w:cs="Arial"/>
          <w:sz w:val="22"/>
          <w:szCs w:val="22"/>
          <w:lang w:val="en-GB"/>
        </w:rPr>
        <w:t xml:space="preserve"> the Model Law compared </w:t>
      </w:r>
      <w:r>
        <w:rPr>
          <w:rFonts w:ascii="Arial" w:hAnsi="Arial" w:cs="Arial"/>
          <w:sz w:val="22"/>
          <w:szCs w:val="22"/>
          <w:lang w:val="en-GB"/>
        </w:rPr>
        <w:t>to</w:t>
      </w:r>
      <w:r w:rsidRPr="003355E7">
        <w:rPr>
          <w:rFonts w:ascii="Arial" w:hAnsi="Arial" w:cs="Arial"/>
          <w:sz w:val="22"/>
          <w:szCs w:val="22"/>
          <w:lang w:val="en-GB"/>
        </w:rPr>
        <w:t xml:space="preserve"> the EU Regulation, is that under the Model Law recognition of foreign</w:t>
      </w:r>
      <w:r>
        <w:rPr>
          <w:rFonts w:ascii="Arial" w:hAnsi="Arial" w:cs="Arial"/>
          <w:sz w:val="22"/>
          <w:szCs w:val="22"/>
          <w:lang w:val="en-GB"/>
        </w:rPr>
        <w:t xml:space="preserve"> </w:t>
      </w:r>
      <w:r w:rsidRPr="003355E7">
        <w:rPr>
          <w:rFonts w:ascii="Arial" w:hAnsi="Arial" w:cs="Arial"/>
          <w:sz w:val="22"/>
          <w:szCs w:val="22"/>
          <w:lang w:val="en-GB"/>
        </w:rPr>
        <w:t>insolvency proceedings is not automatic</w:t>
      </w:r>
      <w:r>
        <w:rPr>
          <w:rFonts w:ascii="Arial" w:hAnsi="Arial" w:cs="Arial"/>
          <w:sz w:val="22"/>
          <w:szCs w:val="22"/>
          <w:lang w:val="en-GB"/>
        </w:rPr>
        <w:t>, but it</w:t>
      </w:r>
      <w:r w:rsidRPr="003355E7">
        <w:rPr>
          <w:rFonts w:ascii="Arial" w:hAnsi="Arial" w:cs="Arial"/>
          <w:sz w:val="22"/>
          <w:szCs w:val="22"/>
          <w:lang w:val="en-GB"/>
        </w:rPr>
        <w:t xml:space="preserve"> requires an application to a local court to</w:t>
      </w:r>
      <w:r>
        <w:rPr>
          <w:rFonts w:ascii="Arial" w:hAnsi="Arial" w:cs="Arial"/>
          <w:sz w:val="22"/>
          <w:szCs w:val="22"/>
          <w:lang w:val="en-GB"/>
        </w:rPr>
        <w:t xml:space="preserve"> </w:t>
      </w:r>
      <w:r w:rsidRPr="003355E7">
        <w:rPr>
          <w:rFonts w:ascii="Arial" w:hAnsi="Arial" w:cs="Arial"/>
          <w:sz w:val="22"/>
          <w:szCs w:val="22"/>
          <w:lang w:val="en-GB"/>
        </w:rPr>
        <w:t>gain recognition and relief.</w:t>
      </w:r>
    </w:p>
    <w:p w14:paraId="6E89A98C" w14:textId="77777777" w:rsidR="003355E7" w:rsidRPr="003355E7" w:rsidRDefault="003355E7" w:rsidP="003355E7">
      <w:pPr>
        <w:pStyle w:val="ListParagraph"/>
        <w:jc w:val="both"/>
        <w:rPr>
          <w:rFonts w:ascii="Arial" w:hAnsi="Arial" w:cs="Arial"/>
          <w:sz w:val="22"/>
          <w:szCs w:val="22"/>
          <w:lang w:val="en-GB"/>
        </w:rPr>
      </w:pPr>
    </w:p>
    <w:p w14:paraId="69962B0B" w14:textId="555E14C5" w:rsidR="00F55FB5" w:rsidRPr="00F55FB5" w:rsidRDefault="003355E7" w:rsidP="00F55FB5">
      <w:pPr>
        <w:pStyle w:val="ListParagraph"/>
        <w:numPr>
          <w:ilvl w:val="0"/>
          <w:numId w:val="15"/>
        </w:numPr>
        <w:jc w:val="both"/>
        <w:rPr>
          <w:rFonts w:ascii="Arial" w:hAnsi="Arial" w:cs="Arial"/>
          <w:sz w:val="22"/>
          <w:szCs w:val="22"/>
          <w:lang w:val="en-GB"/>
        </w:rPr>
      </w:pPr>
      <w:r w:rsidRPr="003355E7">
        <w:rPr>
          <w:rFonts w:ascii="Arial" w:hAnsi="Arial" w:cs="Arial"/>
          <w:b/>
          <w:bCs/>
          <w:sz w:val="22"/>
          <w:szCs w:val="22"/>
          <w:lang w:val="en-GB"/>
        </w:rPr>
        <w:t>S</w:t>
      </w:r>
      <w:r w:rsidR="00E60CD1" w:rsidRPr="003355E7">
        <w:rPr>
          <w:rFonts w:ascii="Arial" w:hAnsi="Arial" w:cs="Arial"/>
          <w:b/>
          <w:bCs/>
          <w:sz w:val="22"/>
          <w:szCs w:val="22"/>
          <w:lang w:val="en-GB"/>
        </w:rPr>
        <w:t>ection 426 of the Act</w:t>
      </w:r>
      <w:r>
        <w:rPr>
          <w:rFonts w:ascii="Arial" w:hAnsi="Arial" w:cs="Arial"/>
          <w:sz w:val="22"/>
          <w:szCs w:val="22"/>
          <w:lang w:val="en-GB"/>
        </w:rPr>
        <w:t xml:space="preserve">: this section </w:t>
      </w:r>
      <w:r w:rsidRPr="003355E7">
        <w:rPr>
          <w:rFonts w:ascii="Arial" w:hAnsi="Arial" w:cs="Arial"/>
          <w:sz w:val="22"/>
          <w:szCs w:val="22"/>
          <w:lang w:val="en-GB"/>
        </w:rPr>
        <w:t>contains provisions for UK courts to provide assistance to</w:t>
      </w:r>
      <w:r>
        <w:rPr>
          <w:rFonts w:ascii="Arial" w:hAnsi="Arial" w:cs="Arial"/>
          <w:sz w:val="22"/>
          <w:szCs w:val="22"/>
          <w:lang w:val="en-GB"/>
        </w:rPr>
        <w:t xml:space="preserve"> </w:t>
      </w:r>
      <w:r w:rsidRPr="003355E7">
        <w:rPr>
          <w:rFonts w:ascii="Arial" w:hAnsi="Arial" w:cs="Arial"/>
          <w:sz w:val="22"/>
          <w:szCs w:val="22"/>
          <w:lang w:val="en-GB"/>
        </w:rPr>
        <w:t>overseas courts from certain listed jurisdictions.</w:t>
      </w:r>
      <w:r>
        <w:rPr>
          <w:rFonts w:ascii="Arial" w:hAnsi="Arial" w:cs="Arial"/>
          <w:sz w:val="22"/>
          <w:szCs w:val="22"/>
          <w:lang w:val="en-GB"/>
        </w:rPr>
        <w:t xml:space="preserve"> As it has been explained in the Guidance Text,</w:t>
      </w:r>
      <w:r w:rsidRPr="003355E7">
        <w:t xml:space="preserve"> </w:t>
      </w:r>
      <w:r>
        <w:rPr>
          <w:rFonts w:ascii="Arial" w:hAnsi="Arial" w:cs="Arial"/>
          <w:sz w:val="22"/>
          <w:szCs w:val="22"/>
          <w:lang w:val="en-GB"/>
        </w:rPr>
        <w:t>u</w:t>
      </w:r>
      <w:r w:rsidRPr="003355E7">
        <w:rPr>
          <w:rFonts w:ascii="Arial" w:hAnsi="Arial" w:cs="Arial"/>
          <w:sz w:val="22"/>
          <w:szCs w:val="22"/>
          <w:lang w:val="en-GB"/>
        </w:rPr>
        <w:t>nder section 426 court orders made in</w:t>
      </w:r>
      <w:r>
        <w:rPr>
          <w:rFonts w:ascii="Arial" w:hAnsi="Arial" w:cs="Arial"/>
          <w:sz w:val="22"/>
          <w:szCs w:val="22"/>
          <w:lang w:val="en-GB"/>
        </w:rPr>
        <w:t xml:space="preserve"> </w:t>
      </w:r>
      <w:r w:rsidRPr="003355E7">
        <w:rPr>
          <w:rFonts w:ascii="Arial" w:hAnsi="Arial" w:cs="Arial"/>
          <w:sz w:val="22"/>
          <w:szCs w:val="22"/>
          <w:lang w:val="en-GB"/>
        </w:rPr>
        <w:t>insolvency matters by a court in the United Kingdom are strictly enforceable in all</w:t>
      </w:r>
      <w:r>
        <w:rPr>
          <w:rFonts w:ascii="Arial" w:hAnsi="Arial" w:cs="Arial"/>
          <w:sz w:val="22"/>
          <w:szCs w:val="22"/>
          <w:lang w:val="en-GB"/>
        </w:rPr>
        <w:t xml:space="preserve"> </w:t>
      </w:r>
      <w:r w:rsidRPr="003355E7">
        <w:rPr>
          <w:rFonts w:ascii="Arial" w:hAnsi="Arial" w:cs="Arial"/>
          <w:sz w:val="22"/>
          <w:szCs w:val="22"/>
          <w:lang w:val="en-GB"/>
        </w:rPr>
        <w:t xml:space="preserve">parts of the United Kingdom. </w:t>
      </w:r>
      <w:r>
        <w:rPr>
          <w:rFonts w:ascii="Arial" w:hAnsi="Arial" w:cs="Arial"/>
          <w:sz w:val="22"/>
          <w:szCs w:val="22"/>
          <w:lang w:val="en-GB"/>
        </w:rPr>
        <w:t>Furthermore</w:t>
      </w:r>
      <w:r w:rsidRPr="003355E7">
        <w:rPr>
          <w:rFonts w:ascii="Arial" w:hAnsi="Arial" w:cs="Arial"/>
          <w:sz w:val="22"/>
          <w:szCs w:val="22"/>
          <w:lang w:val="en-GB"/>
        </w:rPr>
        <w:t>, there is a positive obligation on the courts of</w:t>
      </w:r>
      <w:r>
        <w:rPr>
          <w:rFonts w:ascii="Arial" w:hAnsi="Arial" w:cs="Arial"/>
          <w:sz w:val="22"/>
          <w:szCs w:val="22"/>
          <w:lang w:val="en-GB"/>
        </w:rPr>
        <w:t xml:space="preserve"> </w:t>
      </w:r>
      <w:r w:rsidRPr="003355E7">
        <w:rPr>
          <w:rFonts w:ascii="Arial" w:hAnsi="Arial" w:cs="Arial"/>
          <w:sz w:val="22"/>
          <w:szCs w:val="22"/>
          <w:lang w:val="en-GB"/>
        </w:rPr>
        <w:t>the United Kingdom to assist each other, and also the courts of “any relevant country</w:t>
      </w:r>
      <w:r>
        <w:rPr>
          <w:rFonts w:ascii="Arial" w:hAnsi="Arial" w:cs="Arial"/>
          <w:sz w:val="22"/>
          <w:szCs w:val="22"/>
          <w:lang w:val="en-GB"/>
        </w:rPr>
        <w:t xml:space="preserve"> </w:t>
      </w:r>
      <w:r w:rsidRPr="003355E7">
        <w:rPr>
          <w:rFonts w:ascii="Arial" w:hAnsi="Arial" w:cs="Arial"/>
          <w:sz w:val="22"/>
          <w:szCs w:val="22"/>
          <w:lang w:val="en-GB"/>
        </w:rPr>
        <w:t>or territory”</w:t>
      </w:r>
      <w:r>
        <w:rPr>
          <w:rFonts w:ascii="Arial" w:hAnsi="Arial" w:cs="Arial"/>
          <w:sz w:val="22"/>
          <w:szCs w:val="22"/>
          <w:lang w:val="en-GB"/>
        </w:rPr>
        <w:t xml:space="preserve"> (these are the Channel Islands and </w:t>
      </w:r>
      <w:r w:rsidRPr="003355E7">
        <w:rPr>
          <w:rFonts w:ascii="Arial" w:hAnsi="Arial" w:cs="Arial"/>
          <w:sz w:val="22"/>
          <w:szCs w:val="22"/>
          <w:lang w:val="en-GB"/>
        </w:rPr>
        <w:t>the Isle of Man, and any other country or territory specified by the Secretary of State</w:t>
      </w:r>
      <w:r>
        <w:rPr>
          <w:rFonts w:ascii="Arial" w:hAnsi="Arial" w:cs="Arial"/>
          <w:sz w:val="22"/>
          <w:szCs w:val="22"/>
          <w:lang w:val="en-GB"/>
        </w:rPr>
        <w:t xml:space="preserve">). </w:t>
      </w:r>
      <w:r w:rsidRPr="003355E7">
        <w:rPr>
          <w:rFonts w:ascii="Arial" w:hAnsi="Arial" w:cs="Arial"/>
          <w:sz w:val="22"/>
          <w:szCs w:val="22"/>
          <w:lang w:val="en-GB"/>
        </w:rPr>
        <w:t>Countries who currently benefit from the “inward-bound” effect of section 426 include</w:t>
      </w:r>
      <w:r>
        <w:rPr>
          <w:rFonts w:ascii="Arial" w:hAnsi="Arial" w:cs="Arial"/>
          <w:sz w:val="22"/>
          <w:szCs w:val="22"/>
          <w:lang w:val="en-GB"/>
        </w:rPr>
        <w:t xml:space="preserve"> </w:t>
      </w:r>
      <w:r w:rsidRPr="003355E7">
        <w:rPr>
          <w:rFonts w:ascii="Arial" w:hAnsi="Arial" w:cs="Arial"/>
          <w:sz w:val="22"/>
          <w:szCs w:val="22"/>
          <w:lang w:val="en-GB"/>
        </w:rPr>
        <w:t>Australia, Canada, Hong Kong, Ireland, Malaysia New Zealand and South Africa.</w:t>
      </w:r>
      <w:r>
        <w:rPr>
          <w:rFonts w:ascii="Arial" w:hAnsi="Arial" w:cs="Arial"/>
          <w:sz w:val="22"/>
          <w:szCs w:val="22"/>
          <w:lang w:val="en-GB"/>
        </w:rPr>
        <w:t xml:space="preserve"> It is to the court’s discretion </w:t>
      </w:r>
      <w:r w:rsidR="00F55FB5" w:rsidRPr="00F55FB5">
        <w:rPr>
          <w:rFonts w:ascii="Arial" w:hAnsi="Arial" w:cs="Arial"/>
          <w:sz w:val="22"/>
          <w:szCs w:val="22"/>
          <w:lang w:val="en-GB"/>
        </w:rPr>
        <w:t xml:space="preserve">to determine </w:t>
      </w:r>
      <w:r w:rsidR="00F55FB5">
        <w:rPr>
          <w:rFonts w:ascii="Arial" w:hAnsi="Arial" w:cs="Arial"/>
          <w:sz w:val="22"/>
          <w:szCs w:val="22"/>
          <w:lang w:val="en-GB"/>
        </w:rPr>
        <w:t>if</w:t>
      </w:r>
      <w:r w:rsidR="00F55FB5" w:rsidRPr="00F55FB5">
        <w:rPr>
          <w:rFonts w:ascii="Arial" w:hAnsi="Arial" w:cs="Arial"/>
          <w:sz w:val="22"/>
          <w:szCs w:val="22"/>
          <w:lang w:val="en-GB"/>
        </w:rPr>
        <w:t xml:space="preserve"> any assistance should be</w:t>
      </w:r>
    </w:p>
    <w:p w14:paraId="75FC43D5" w14:textId="61BD6A44" w:rsidR="00F55FB5" w:rsidRPr="00F55FB5" w:rsidRDefault="00F55FB5" w:rsidP="00F55FB5">
      <w:pPr>
        <w:pStyle w:val="ListParagraph"/>
        <w:jc w:val="both"/>
        <w:rPr>
          <w:rFonts w:ascii="Arial" w:hAnsi="Arial" w:cs="Arial"/>
          <w:sz w:val="22"/>
          <w:szCs w:val="22"/>
          <w:lang w:val="en-GB"/>
        </w:rPr>
      </w:pPr>
      <w:r w:rsidRPr="00F55FB5">
        <w:rPr>
          <w:rFonts w:ascii="Arial" w:hAnsi="Arial" w:cs="Arial"/>
          <w:sz w:val="22"/>
          <w:szCs w:val="22"/>
          <w:lang w:val="en-GB"/>
        </w:rPr>
        <w:t xml:space="preserve">granted. </w:t>
      </w:r>
      <w:r>
        <w:rPr>
          <w:rFonts w:ascii="Arial" w:hAnsi="Arial" w:cs="Arial"/>
          <w:sz w:val="22"/>
          <w:szCs w:val="22"/>
          <w:lang w:val="en-GB"/>
        </w:rPr>
        <w:t>Nevertheless</w:t>
      </w:r>
      <w:r w:rsidRPr="00F55FB5">
        <w:rPr>
          <w:rFonts w:ascii="Arial" w:hAnsi="Arial" w:cs="Arial"/>
          <w:sz w:val="22"/>
          <w:szCs w:val="22"/>
          <w:lang w:val="en-GB"/>
        </w:rPr>
        <w:t xml:space="preserve">, </w:t>
      </w:r>
      <w:r>
        <w:rPr>
          <w:rFonts w:ascii="Arial" w:hAnsi="Arial" w:cs="Arial"/>
          <w:sz w:val="22"/>
          <w:szCs w:val="22"/>
          <w:lang w:val="en-GB"/>
        </w:rPr>
        <w:t>it has been said</w:t>
      </w:r>
      <w:r w:rsidRPr="00F55FB5">
        <w:rPr>
          <w:rFonts w:ascii="Arial" w:hAnsi="Arial" w:cs="Arial"/>
          <w:sz w:val="22"/>
          <w:szCs w:val="22"/>
          <w:lang w:val="en-GB"/>
        </w:rPr>
        <w:t xml:space="preserve"> that they should provide assistance unless it</w:t>
      </w:r>
      <w:r>
        <w:rPr>
          <w:rFonts w:ascii="Arial" w:hAnsi="Arial" w:cs="Arial"/>
          <w:sz w:val="22"/>
          <w:szCs w:val="22"/>
          <w:lang w:val="en-GB"/>
        </w:rPr>
        <w:t xml:space="preserve"> </w:t>
      </w:r>
      <w:r w:rsidRPr="00F55FB5">
        <w:rPr>
          <w:rFonts w:ascii="Arial" w:hAnsi="Arial" w:cs="Arial"/>
          <w:sz w:val="22"/>
          <w:szCs w:val="22"/>
          <w:lang w:val="en-GB"/>
        </w:rPr>
        <w:t xml:space="preserve">would </w:t>
      </w:r>
      <w:r>
        <w:rPr>
          <w:rFonts w:ascii="Arial" w:hAnsi="Arial" w:cs="Arial"/>
          <w:sz w:val="22"/>
          <w:szCs w:val="22"/>
          <w:lang w:val="en-GB"/>
        </w:rPr>
        <w:t>not be</w:t>
      </w:r>
      <w:r w:rsidRPr="00F55FB5">
        <w:rPr>
          <w:rFonts w:ascii="Arial" w:hAnsi="Arial" w:cs="Arial"/>
          <w:sz w:val="22"/>
          <w:szCs w:val="22"/>
          <w:lang w:val="en-GB"/>
        </w:rPr>
        <w:t xml:space="preserve"> proper to do so in the circumstances. Courts in the UK may apply UK law</w:t>
      </w:r>
    </w:p>
    <w:p w14:paraId="40559D19" w14:textId="3AA29A8F" w:rsidR="00E60CD1" w:rsidRDefault="00F55FB5" w:rsidP="00F55FB5">
      <w:pPr>
        <w:pStyle w:val="ListParagraph"/>
        <w:jc w:val="both"/>
        <w:rPr>
          <w:rFonts w:ascii="Arial" w:hAnsi="Arial" w:cs="Arial"/>
          <w:sz w:val="22"/>
          <w:szCs w:val="22"/>
          <w:lang w:val="en-GB"/>
        </w:rPr>
      </w:pPr>
      <w:r w:rsidRPr="00F55FB5">
        <w:rPr>
          <w:rFonts w:ascii="Arial" w:hAnsi="Arial" w:cs="Arial"/>
          <w:sz w:val="22"/>
          <w:szCs w:val="22"/>
          <w:lang w:val="en-GB"/>
        </w:rPr>
        <w:t>or the law of the overseas territory in providing assistance to the overseas’ court.</w:t>
      </w:r>
    </w:p>
    <w:p w14:paraId="0B1020FE" w14:textId="77777777" w:rsidR="00F55FB5" w:rsidRPr="003355E7" w:rsidRDefault="00F55FB5" w:rsidP="00F55FB5">
      <w:pPr>
        <w:pStyle w:val="ListParagraph"/>
        <w:jc w:val="both"/>
        <w:rPr>
          <w:rFonts w:ascii="Arial" w:hAnsi="Arial" w:cs="Arial"/>
          <w:sz w:val="22"/>
          <w:szCs w:val="22"/>
          <w:lang w:val="en-GB"/>
        </w:rPr>
      </w:pPr>
    </w:p>
    <w:p w14:paraId="7940D274" w14:textId="5C49E43E" w:rsidR="00DF75F8" w:rsidRPr="00F55FB5" w:rsidRDefault="00F55FB5" w:rsidP="00F55FB5">
      <w:pPr>
        <w:pStyle w:val="ListParagraph"/>
        <w:numPr>
          <w:ilvl w:val="0"/>
          <w:numId w:val="15"/>
        </w:numPr>
        <w:jc w:val="both"/>
        <w:rPr>
          <w:rFonts w:ascii="Arial" w:hAnsi="Arial" w:cs="Arial"/>
          <w:sz w:val="22"/>
          <w:szCs w:val="22"/>
          <w:lang w:val="en-GB"/>
        </w:rPr>
      </w:pPr>
      <w:r w:rsidRPr="00F55FB5">
        <w:rPr>
          <w:rFonts w:ascii="Arial" w:hAnsi="Arial" w:cs="Arial"/>
          <w:b/>
          <w:bCs/>
          <w:sz w:val="22"/>
          <w:szCs w:val="22"/>
          <w:lang w:val="en-GB"/>
        </w:rPr>
        <w:t>C</w:t>
      </w:r>
      <w:r w:rsidR="00E60CD1" w:rsidRPr="00F55FB5">
        <w:rPr>
          <w:rFonts w:ascii="Arial" w:hAnsi="Arial" w:cs="Arial"/>
          <w:b/>
          <w:bCs/>
          <w:sz w:val="22"/>
          <w:szCs w:val="22"/>
          <w:lang w:val="en-GB"/>
        </w:rPr>
        <w:t>ommon law</w:t>
      </w:r>
      <w:r>
        <w:rPr>
          <w:rFonts w:ascii="Arial" w:hAnsi="Arial" w:cs="Arial"/>
          <w:sz w:val="22"/>
          <w:szCs w:val="22"/>
          <w:lang w:val="en-GB"/>
        </w:rPr>
        <w:t>: c</w:t>
      </w:r>
      <w:r w:rsidRPr="00F55FB5">
        <w:rPr>
          <w:rFonts w:ascii="Arial" w:hAnsi="Arial" w:cs="Arial"/>
          <w:sz w:val="22"/>
          <w:szCs w:val="22"/>
          <w:lang w:val="en-GB"/>
        </w:rPr>
        <w:t>ase law at one point suggested that UK courts had a</w:t>
      </w:r>
      <w:r>
        <w:rPr>
          <w:rFonts w:ascii="Arial" w:hAnsi="Arial" w:cs="Arial"/>
          <w:sz w:val="22"/>
          <w:szCs w:val="22"/>
          <w:lang w:val="en-GB"/>
        </w:rPr>
        <w:t xml:space="preserve"> </w:t>
      </w:r>
      <w:r w:rsidRPr="00F55FB5">
        <w:rPr>
          <w:rFonts w:ascii="Arial" w:hAnsi="Arial" w:cs="Arial"/>
          <w:sz w:val="22"/>
          <w:szCs w:val="22"/>
          <w:lang w:val="en-GB"/>
        </w:rPr>
        <w:t>power at common law</w:t>
      </w:r>
      <w:r>
        <w:rPr>
          <w:rFonts w:ascii="Arial" w:hAnsi="Arial" w:cs="Arial"/>
          <w:sz w:val="22"/>
          <w:szCs w:val="22"/>
          <w:lang w:val="en-GB"/>
        </w:rPr>
        <w:t xml:space="preserve"> </w:t>
      </w:r>
      <w:r w:rsidRPr="00F55FB5">
        <w:rPr>
          <w:rFonts w:ascii="Arial" w:hAnsi="Arial" w:cs="Arial"/>
          <w:sz w:val="22"/>
          <w:szCs w:val="22"/>
          <w:lang w:val="en-GB"/>
        </w:rPr>
        <w:t>to exercise</w:t>
      </w:r>
      <w:r>
        <w:rPr>
          <w:rFonts w:ascii="Arial" w:hAnsi="Arial" w:cs="Arial"/>
          <w:sz w:val="22"/>
          <w:szCs w:val="22"/>
          <w:lang w:val="en-GB"/>
        </w:rPr>
        <w:t xml:space="preserve"> </w:t>
      </w:r>
      <w:r w:rsidRPr="00F55FB5">
        <w:rPr>
          <w:rFonts w:ascii="Arial" w:hAnsi="Arial" w:cs="Arial"/>
          <w:sz w:val="22"/>
          <w:szCs w:val="22"/>
          <w:lang w:val="en-GB"/>
        </w:rPr>
        <w:t>any powers which would be available to the overseas jurisdiction requesting</w:t>
      </w:r>
      <w:r>
        <w:rPr>
          <w:rFonts w:ascii="Arial" w:hAnsi="Arial" w:cs="Arial"/>
          <w:sz w:val="22"/>
          <w:szCs w:val="22"/>
          <w:lang w:val="en-GB"/>
        </w:rPr>
        <w:t xml:space="preserve"> </w:t>
      </w:r>
      <w:r w:rsidRPr="00F55FB5">
        <w:rPr>
          <w:rFonts w:ascii="Arial" w:hAnsi="Arial" w:cs="Arial"/>
          <w:sz w:val="22"/>
          <w:szCs w:val="22"/>
          <w:lang w:val="en-GB"/>
        </w:rPr>
        <w:t>assistance in a domestic insolvency.</w:t>
      </w:r>
      <w:r>
        <w:rPr>
          <w:rFonts w:ascii="Arial" w:hAnsi="Arial" w:cs="Arial"/>
          <w:sz w:val="22"/>
          <w:szCs w:val="22"/>
          <w:lang w:val="en-GB"/>
        </w:rPr>
        <w:t xml:space="preserve"> However, this</w:t>
      </w:r>
      <w:r w:rsidRPr="00F55FB5">
        <w:rPr>
          <w:rFonts w:ascii="Arial" w:hAnsi="Arial" w:cs="Arial"/>
          <w:sz w:val="22"/>
          <w:szCs w:val="22"/>
          <w:lang w:val="en-GB"/>
        </w:rPr>
        <w:t xml:space="preserve"> approach should be interpreted in a restrictive way</w:t>
      </w:r>
      <w:r>
        <w:rPr>
          <w:rFonts w:ascii="Arial" w:hAnsi="Arial" w:cs="Arial"/>
          <w:sz w:val="22"/>
          <w:szCs w:val="22"/>
          <w:lang w:val="en-GB"/>
        </w:rPr>
        <w:t xml:space="preserve">. </w:t>
      </w: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6462CBF3" w14:textId="7E7F4CD2" w:rsidR="007E2919" w:rsidRDefault="006335BB" w:rsidP="007E2919">
      <w:pPr>
        <w:autoSpaceDE w:val="0"/>
        <w:autoSpaceDN w:val="0"/>
        <w:adjustRightInd w:val="0"/>
        <w:jc w:val="both"/>
        <w:rPr>
          <w:rFonts w:ascii="Arial" w:hAnsi="Arial" w:cs="Arial"/>
          <w:sz w:val="22"/>
          <w:szCs w:val="22"/>
          <w:lang w:val="en-GB"/>
        </w:rPr>
      </w:pPr>
      <w:r w:rsidRPr="00B743F2">
        <w:rPr>
          <w:rFonts w:ascii="Arial" w:hAnsi="Arial" w:cs="Arial"/>
          <w:sz w:val="22"/>
          <w:szCs w:val="22"/>
          <w:lang w:val="en-GB"/>
        </w:rPr>
        <w:t xml:space="preserve">The liquidator could ask for the </w:t>
      </w:r>
      <w:r w:rsidR="00B743F2" w:rsidRPr="00B743F2">
        <w:rPr>
          <w:rFonts w:ascii="Arial" w:hAnsi="Arial" w:cs="Arial"/>
          <w:sz w:val="22"/>
          <w:szCs w:val="22"/>
          <w:lang w:val="en-GB"/>
        </w:rPr>
        <w:t>floating charge to be invalidated according to section 245 of the Act</w:t>
      </w:r>
      <w:r w:rsidR="00B743F2">
        <w:rPr>
          <w:rFonts w:ascii="Arial" w:hAnsi="Arial" w:cs="Arial"/>
          <w:sz w:val="22"/>
          <w:szCs w:val="22"/>
          <w:lang w:val="en-GB"/>
        </w:rPr>
        <w:t xml:space="preserve">, </w:t>
      </w:r>
      <w:r w:rsidR="00B743F2" w:rsidRPr="00B743F2">
        <w:rPr>
          <w:rFonts w:ascii="Arial" w:hAnsi="Arial" w:cs="Arial"/>
          <w:sz w:val="22"/>
          <w:szCs w:val="22"/>
          <w:lang w:val="en-GB"/>
        </w:rPr>
        <w:t>given that none of the conditions for considering that the bank in favour of which the floating mortgage has been granted has provided them with new f</w:t>
      </w:r>
      <w:r w:rsidR="00B743F2">
        <w:rPr>
          <w:rFonts w:ascii="Arial" w:hAnsi="Arial" w:cs="Arial"/>
          <w:sz w:val="22"/>
          <w:szCs w:val="22"/>
          <w:lang w:val="en-GB"/>
        </w:rPr>
        <w:t>unding</w:t>
      </w:r>
      <w:r w:rsidR="00B743F2" w:rsidRPr="00B743F2">
        <w:rPr>
          <w:rFonts w:ascii="Arial" w:hAnsi="Arial" w:cs="Arial"/>
          <w:sz w:val="22"/>
          <w:szCs w:val="22"/>
          <w:lang w:val="en-GB"/>
        </w:rPr>
        <w:t xml:space="preserve"> are met.</w:t>
      </w:r>
    </w:p>
    <w:p w14:paraId="74B305BA" w14:textId="12EFB113" w:rsidR="00B743F2" w:rsidRDefault="00B743F2" w:rsidP="007E2919">
      <w:pPr>
        <w:autoSpaceDE w:val="0"/>
        <w:autoSpaceDN w:val="0"/>
        <w:adjustRightInd w:val="0"/>
        <w:jc w:val="both"/>
        <w:rPr>
          <w:rFonts w:ascii="Arial" w:hAnsi="Arial" w:cs="Arial"/>
          <w:sz w:val="22"/>
          <w:szCs w:val="22"/>
          <w:lang w:val="en-GB"/>
        </w:rPr>
      </w:pPr>
    </w:p>
    <w:p w14:paraId="1068ED2A" w14:textId="46D84489" w:rsidR="00B743F2" w:rsidRPr="00B743F2" w:rsidRDefault="00B743F2" w:rsidP="00B743F2">
      <w:pPr>
        <w:autoSpaceDE w:val="0"/>
        <w:autoSpaceDN w:val="0"/>
        <w:adjustRightInd w:val="0"/>
        <w:jc w:val="both"/>
        <w:rPr>
          <w:rFonts w:ascii="Arial" w:hAnsi="Arial" w:cs="Arial"/>
          <w:sz w:val="22"/>
          <w:szCs w:val="22"/>
          <w:lang w:val="en-GB"/>
        </w:rPr>
      </w:pPr>
      <w:r>
        <w:rPr>
          <w:rFonts w:ascii="Arial" w:hAnsi="Arial" w:cs="Arial"/>
          <w:sz w:val="22"/>
          <w:szCs w:val="22"/>
          <w:lang w:val="en-GB"/>
        </w:rPr>
        <w:t>As it has been explained in the Guidance Text, if</w:t>
      </w:r>
      <w:r w:rsidRPr="00B743F2">
        <w:rPr>
          <w:rFonts w:ascii="Arial" w:hAnsi="Arial" w:cs="Arial"/>
          <w:sz w:val="22"/>
          <w:szCs w:val="22"/>
          <w:lang w:val="en-GB"/>
        </w:rPr>
        <w:t xml:space="preserve"> the person in whose favour the floating charge is created is connected with</w:t>
      </w:r>
      <w:r>
        <w:rPr>
          <w:rFonts w:ascii="Arial" w:hAnsi="Arial" w:cs="Arial"/>
          <w:sz w:val="22"/>
          <w:szCs w:val="22"/>
          <w:lang w:val="en-GB"/>
        </w:rPr>
        <w:t xml:space="preserve"> </w:t>
      </w:r>
      <w:r w:rsidRPr="00B743F2">
        <w:rPr>
          <w:rFonts w:ascii="Arial" w:hAnsi="Arial" w:cs="Arial"/>
          <w:sz w:val="22"/>
          <w:szCs w:val="22"/>
          <w:lang w:val="en-GB"/>
        </w:rPr>
        <w:t xml:space="preserve">the company, the relevant time is any time within the period of </w:t>
      </w:r>
      <w:r w:rsidRPr="00B743F2">
        <w:rPr>
          <w:rFonts w:ascii="Arial" w:hAnsi="Arial" w:cs="Arial"/>
          <w:b/>
          <w:bCs/>
          <w:sz w:val="22"/>
          <w:szCs w:val="22"/>
          <w:lang w:val="en-GB"/>
        </w:rPr>
        <w:t>two years prior to the onset of insolvency</w:t>
      </w:r>
      <w:r w:rsidRPr="00B743F2">
        <w:rPr>
          <w:rFonts w:ascii="Arial" w:hAnsi="Arial" w:cs="Arial"/>
          <w:sz w:val="22"/>
          <w:szCs w:val="22"/>
          <w:lang w:val="en-GB"/>
        </w:rPr>
        <w:t xml:space="preserve">. </w:t>
      </w:r>
      <w:r>
        <w:rPr>
          <w:rFonts w:ascii="Arial" w:hAnsi="Arial" w:cs="Arial"/>
          <w:sz w:val="22"/>
          <w:szCs w:val="22"/>
          <w:lang w:val="en-GB"/>
        </w:rPr>
        <w:t>If</w:t>
      </w:r>
      <w:r w:rsidRPr="00B743F2">
        <w:rPr>
          <w:rFonts w:ascii="Arial" w:hAnsi="Arial" w:cs="Arial"/>
          <w:sz w:val="22"/>
          <w:szCs w:val="22"/>
          <w:lang w:val="en-GB"/>
        </w:rPr>
        <w:t xml:space="preserve"> the person in whose favour the floating charge is created</w:t>
      </w:r>
      <w:r>
        <w:rPr>
          <w:rFonts w:ascii="Arial" w:hAnsi="Arial" w:cs="Arial"/>
          <w:sz w:val="22"/>
          <w:szCs w:val="22"/>
          <w:lang w:val="en-GB"/>
        </w:rPr>
        <w:t xml:space="preserve"> </w:t>
      </w:r>
      <w:r w:rsidRPr="00B743F2">
        <w:rPr>
          <w:rFonts w:ascii="Arial" w:hAnsi="Arial" w:cs="Arial"/>
          <w:sz w:val="22"/>
          <w:szCs w:val="22"/>
          <w:lang w:val="en-GB"/>
        </w:rPr>
        <w:t>is not connected with the company, the relevant time is any time within the period of</w:t>
      </w:r>
      <w:r>
        <w:rPr>
          <w:rFonts w:ascii="Arial" w:hAnsi="Arial" w:cs="Arial"/>
          <w:sz w:val="22"/>
          <w:szCs w:val="22"/>
          <w:lang w:val="en-GB"/>
        </w:rPr>
        <w:t xml:space="preserve"> </w:t>
      </w:r>
      <w:r w:rsidRPr="00B743F2">
        <w:rPr>
          <w:rFonts w:ascii="Arial" w:hAnsi="Arial" w:cs="Arial"/>
          <w:b/>
          <w:bCs/>
          <w:sz w:val="22"/>
          <w:szCs w:val="22"/>
          <w:lang w:val="en-GB"/>
        </w:rPr>
        <w:t>12 months prior to the onset of insolvency</w:t>
      </w:r>
      <w:r w:rsidRPr="00B743F2">
        <w:rPr>
          <w:rFonts w:ascii="Arial" w:hAnsi="Arial" w:cs="Arial"/>
          <w:sz w:val="22"/>
          <w:szCs w:val="22"/>
          <w:lang w:val="en-GB"/>
        </w:rPr>
        <w:t>, but only if at the time of the creation of the</w:t>
      </w:r>
      <w:r>
        <w:rPr>
          <w:rFonts w:ascii="Arial" w:hAnsi="Arial" w:cs="Arial"/>
          <w:sz w:val="22"/>
          <w:szCs w:val="22"/>
          <w:lang w:val="en-GB"/>
        </w:rPr>
        <w:t xml:space="preserve"> </w:t>
      </w:r>
      <w:r w:rsidRPr="00B743F2">
        <w:rPr>
          <w:rFonts w:ascii="Arial" w:hAnsi="Arial" w:cs="Arial"/>
          <w:sz w:val="22"/>
          <w:szCs w:val="22"/>
          <w:lang w:val="en-GB"/>
        </w:rPr>
        <w:t>charge the company was either unable to pay its debts (within the meaning in section</w:t>
      </w:r>
      <w:r>
        <w:rPr>
          <w:rFonts w:ascii="Arial" w:hAnsi="Arial" w:cs="Arial"/>
          <w:sz w:val="22"/>
          <w:szCs w:val="22"/>
          <w:lang w:val="en-GB"/>
        </w:rPr>
        <w:t xml:space="preserve"> </w:t>
      </w:r>
      <w:r w:rsidRPr="00B743F2">
        <w:rPr>
          <w:rFonts w:ascii="Arial" w:hAnsi="Arial" w:cs="Arial"/>
          <w:sz w:val="22"/>
          <w:szCs w:val="22"/>
          <w:lang w:val="en-GB"/>
        </w:rPr>
        <w:t>123 of the Act) or became unable to do so in consequence of the transaction</w:t>
      </w:r>
      <w:r>
        <w:rPr>
          <w:rFonts w:ascii="Arial" w:hAnsi="Arial" w:cs="Arial"/>
          <w:sz w:val="22"/>
          <w:szCs w:val="22"/>
          <w:lang w:val="en-GB"/>
        </w:rPr>
        <w:t xml:space="preserve">, as is this case. </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1D4FDF" w14:textId="7BBF2FAB" w:rsidR="007E2919" w:rsidRDefault="00CE5805" w:rsidP="00CE5805">
      <w:pPr>
        <w:autoSpaceDE w:val="0"/>
        <w:autoSpaceDN w:val="0"/>
        <w:adjustRightInd w:val="0"/>
        <w:jc w:val="both"/>
        <w:rPr>
          <w:rFonts w:ascii="Arial" w:hAnsi="Arial" w:cs="Arial"/>
          <w:sz w:val="22"/>
          <w:szCs w:val="22"/>
          <w:lang w:val="en-GB"/>
        </w:rPr>
      </w:pPr>
      <w:r w:rsidRPr="00CE5805">
        <w:rPr>
          <w:rFonts w:ascii="Arial" w:hAnsi="Arial" w:cs="Arial"/>
          <w:sz w:val="22"/>
          <w:szCs w:val="22"/>
          <w:lang w:val="en-GB"/>
        </w:rPr>
        <w:t>The sale of the van could be considered a transaction under value</w:t>
      </w:r>
      <w:r>
        <w:rPr>
          <w:rFonts w:ascii="Arial" w:hAnsi="Arial" w:cs="Arial"/>
          <w:sz w:val="22"/>
          <w:szCs w:val="22"/>
          <w:lang w:val="en-GB"/>
        </w:rPr>
        <w:t xml:space="preserve">, since it was a transaction </w:t>
      </w:r>
      <w:r w:rsidRPr="00CE5805">
        <w:rPr>
          <w:rFonts w:ascii="Arial" w:hAnsi="Arial" w:cs="Arial"/>
          <w:sz w:val="22"/>
          <w:szCs w:val="22"/>
          <w:lang w:val="en-GB"/>
        </w:rPr>
        <w:t>entered into shortly before</w:t>
      </w:r>
      <w:r>
        <w:rPr>
          <w:rFonts w:ascii="Arial" w:hAnsi="Arial" w:cs="Arial"/>
          <w:sz w:val="22"/>
          <w:szCs w:val="22"/>
          <w:lang w:val="en-GB"/>
        </w:rPr>
        <w:t xml:space="preserve"> </w:t>
      </w:r>
      <w:r w:rsidRPr="00CE5805">
        <w:rPr>
          <w:rFonts w:ascii="Arial" w:hAnsi="Arial" w:cs="Arial"/>
          <w:sz w:val="22"/>
          <w:szCs w:val="22"/>
          <w:lang w:val="en-GB"/>
        </w:rPr>
        <w:t xml:space="preserve">the company entered </w:t>
      </w:r>
      <w:r>
        <w:rPr>
          <w:rFonts w:ascii="Arial" w:hAnsi="Arial" w:cs="Arial"/>
          <w:sz w:val="22"/>
          <w:szCs w:val="22"/>
          <w:lang w:val="en-GB"/>
        </w:rPr>
        <w:t xml:space="preserve">liquidation. In addition, it was sold for less than the value </w:t>
      </w:r>
      <w:r w:rsidRPr="00CE5805">
        <w:rPr>
          <w:rFonts w:ascii="Arial" w:hAnsi="Arial" w:cs="Arial"/>
          <w:sz w:val="22"/>
          <w:szCs w:val="22"/>
          <w:lang w:val="en-GB"/>
        </w:rPr>
        <w:t>in money or money’s worth, of the consideration provided by the</w:t>
      </w:r>
      <w:r>
        <w:rPr>
          <w:rFonts w:ascii="Arial" w:hAnsi="Arial" w:cs="Arial"/>
          <w:sz w:val="22"/>
          <w:szCs w:val="22"/>
          <w:lang w:val="en-GB"/>
        </w:rPr>
        <w:t xml:space="preserve"> </w:t>
      </w:r>
      <w:r w:rsidRPr="00CE5805">
        <w:rPr>
          <w:rFonts w:ascii="Arial" w:hAnsi="Arial" w:cs="Arial"/>
          <w:sz w:val="22"/>
          <w:szCs w:val="22"/>
          <w:lang w:val="en-GB"/>
        </w:rPr>
        <w:t>company.</w:t>
      </w:r>
    </w:p>
    <w:p w14:paraId="1D5493DF" w14:textId="4BEF1F31" w:rsidR="00CE5805" w:rsidRDefault="00CE5805" w:rsidP="00CE5805">
      <w:pPr>
        <w:autoSpaceDE w:val="0"/>
        <w:autoSpaceDN w:val="0"/>
        <w:adjustRightInd w:val="0"/>
        <w:jc w:val="both"/>
        <w:rPr>
          <w:rFonts w:ascii="Arial" w:hAnsi="Arial" w:cs="Arial"/>
          <w:sz w:val="22"/>
          <w:szCs w:val="22"/>
          <w:lang w:val="en-GB"/>
        </w:rPr>
      </w:pPr>
    </w:p>
    <w:p w14:paraId="2F8C7624" w14:textId="5C0F1419" w:rsidR="00CE5805" w:rsidRPr="00CE5805" w:rsidRDefault="00CE5805" w:rsidP="00CE5805">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This transaction was carried out at the relevant time, this is, two years </w:t>
      </w:r>
      <w:r w:rsidRPr="00CE5805">
        <w:rPr>
          <w:rFonts w:ascii="Arial" w:hAnsi="Arial" w:cs="Arial"/>
          <w:sz w:val="22"/>
          <w:szCs w:val="22"/>
          <w:lang w:val="en-GB"/>
        </w:rPr>
        <w:t>two years prior to the commencement of the liquidation</w:t>
      </w:r>
      <w:r>
        <w:rPr>
          <w:rFonts w:ascii="Arial" w:hAnsi="Arial" w:cs="Arial"/>
          <w:sz w:val="22"/>
          <w:szCs w:val="22"/>
          <w:lang w:val="en-GB"/>
        </w:rPr>
        <w:t xml:space="preserve">, so the liquidator could attack the transaction. </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26FA5C6" w14:textId="73F2124E" w:rsidR="002D3473" w:rsidRDefault="00CE5805" w:rsidP="00CE5805">
      <w:pPr>
        <w:jc w:val="both"/>
        <w:rPr>
          <w:rFonts w:ascii="Arial" w:hAnsi="Arial" w:cs="Arial"/>
          <w:sz w:val="22"/>
          <w:szCs w:val="22"/>
          <w:lang w:val="en-GB"/>
        </w:rPr>
      </w:pPr>
      <w:r w:rsidRPr="00CE5805">
        <w:rPr>
          <w:rFonts w:ascii="Arial" w:hAnsi="Arial" w:cs="Arial"/>
          <w:sz w:val="22"/>
          <w:szCs w:val="22"/>
          <w:lang w:val="en-GB"/>
        </w:rPr>
        <w:t xml:space="preserve">With the payment to Gary </w:t>
      </w:r>
      <w:r>
        <w:rPr>
          <w:rFonts w:ascii="Arial" w:hAnsi="Arial" w:cs="Arial"/>
          <w:sz w:val="22"/>
          <w:szCs w:val="22"/>
          <w:lang w:val="en-GB"/>
        </w:rPr>
        <w:t>it could be</w:t>
      </w:r>
      <w:r w:rsidRPr="00CE5805">
        <w:rPr>
          <w:rFonts w:ascii="Arial" w:hAnsi="Arial" w:cs="Arial"/>
          <w:sz w:val="22"/>
          <w:szCs w:val="22"/>
          <w:lang w:val="en-GB"/>
        </w:rPr>
        <w:t xml:space="preserve"> consider</w:t>
      </w:r>
      <w:r>
        <w:rPr>
          <w:rFonts w:ascii="Arial" w:hAnsi="Arial" w:cs="Arial"/>
          <w:sz w:val="22"/>
          <w:szCs w:val="22"/>
          <w:lang w:val="en-GB"/>
        </w:rPr>
        <w:t>ed</w:t>
      </w:r>
      <w:r w:rsidRPr="00CE5805">
        <w:rPr>
          <w:rFonts w:ascii="Arial" w:hAnsi="Arial" w:cs="Arial"/>
          <w:sz w:val="22"/>
          <w:szCs w:val="22"/>
          <w:lang w:val="en-GB"/>
        </w:rPr>
        <w:t xml:space="preserve"> that this creditor has b</w:t>
      </w:r>
      <w:r>
        <w:rPr>
          <w:rFonts w:ascii="Arial" w:hAnsi="Arial" w:cs="Arial"/>
          <w:sz w:val="22"/>
          <w:szCs w:val="22"/>
          <w:lang w:val="en-GB"/>
        </w:rPr>
        <w:t xml:space="preserve">een placed in a better position than the others, since it has been paid in full when he was an unsecured creditor. </w:t>
      </w:r>
    </w:p>
    <w:p w14:paraId="28B52629" w14:textId="4885B50E" w:rsidR="005977B7" w:rsidRDefault="005977B7" w:rsidP="00CE5805">
      <w:pPr>
        <w:jc w:val="both"/>
        <w:rPr>
          <w:rFonts w:ascii="Arial" w:hAnsi="Arial" w:cs="Arial"/>
          <w:sz w:val="22"/>
          <w:szCs w:val="22"/>
          <w:lang w:val="en-GB"/>
        </w:rPr>
      </w:pPr>
    </w:p>
    <w:p w14:paraId="1B5E2F08" w14:textId="636CD276" w:rsidR="002D3473" w:rsidRDefault="005977B7" w:rsidP="005977B7">
      <w:pPr>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a </w:t>
      </w:r>
      <w:proofErr w:type="spellStart"/>
      <w:r>
        <w:rPr>
          <w:rFonts w:ascii="ArialMT" w:eastAsia="MS Mincho" w:hAnsi="ArialMT" w:cs="ArialMT"/>
          <w:sz w:val="22"/>
          <w:szCs w:val="22"/>
          <w:lang w:val="es-ES"/>
        </w:rPr>
        <w:t>preference</w:t>
      </w:r>
      <w:proofErr w:type="spellEnd"/>
      <w:r>
        <w:rPr>
          <w:rFonts w:ascii="ArialMT" w:eastAsia="MS Mincho" w:hAnsi="ArialMT" w:cs="ArialMT"/>
          <w:sz w:val="22"/>
          <w:szCs w:val="22"/>
          <w:lang w:val="es-ES"/>
        </w:rPr>
        <w:t xml:space="preserve"> to be </w:t>
      </w:r>
      <w:proofErr w:type="spellStart"/>
      <w:r>
        <w:rPr>
          <w:rFonts w:ascii="ArialMT" w:eastAsia="MS Mincho" w:hAnsi="ArialMT" w:cs="ArialMT"/>
          <w:sz w:val="22"/>
          <w:szCs w:val="22"/>
          <w:lang w:val="es-ES"/>
        </w:rPr>
        <w:t>actionable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must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have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occurred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within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six</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months</w:t>
      </w:r>
      <w:proofErr w:type="spellEnd"/>
      <w:r>
        <w:rPr>
          <w:rFonts w:ascii="ArialMT" w:eastAsia="MS Mincho" w:hAnsi="ArialMT" w:cs="ArialMT"/>
          <w:sz w:val="22"/>
          <w:szCs w:val="22"/>
          <w:lang w:val="es-ES"/>
        </w:rPr>
        <w:t xml:space="preserve"> </w:t>
      </w:r>
      <w:r w:rsidRPr="005977B7">
        <w:rPr>
          <w:rFonts w:ascii="ArialMT" w:eastAsia="MS Mincho" w:hAnsi="ArialMT" w:cs="ArialMT"/>
          <w:sz w:val="22"/>
          <w:szCs w:val="22"/>
          <w:lang w:val="es-ES"/>
        </w:rPr>
        <w:t xml:space="preserve">prior to </w:t>
      </w:r>
      <w:proofErr w:type="spellStart"/>
      <w:r w:rsidRPr="005977B7">
        <w:rPr>
          <w:rFonts w:ascii="ArialMT" w:eastAsia="MS Mincho" w:hAnsi="ArialMT" w:cs="ArialMT"/>
          <w:sz w:val="22"/>
          <w:szCs w:val="22"/>
          <w:lang w:val="es-ES"/>
        </w:rPr>
        <w:t>the</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onset</w:t>
      </w:r>
      <w:proofErr w:type="spellEnd"/>
      <w:r w:rsidRPr="005977B7">
        <w:rPr>
          <w:rFonts w:ascii="ArialMT" w:eastAsia="MS Mincho" w:hAnsi="ArialMT" w:cs="ArialMT"/>
          <w:sz w:val="22"/>
          <w:szCs w:val="22"/>
          <w:lang w:val="es-ES"/>
        </w:rPr>
        <w:t xml:space="preserve"> of </w:t>
      </w:r>
      <w:proofErr w:type="spellStart"/>
      <w:r w:rsidRPr="005977B7">
        <w:rPr>
          <w:rFonts w:ascii="ArialMT" w:eastAsia="MS Mincho" w:hAnsi="ArialMT" w:cs="ArialMT"/>
          <w:sz w:val="22"/>
          <w:szCs w:val="22"/>
          <w:lang w:val="es-ES"/>
        </w:rPr>
        <w:t>insolvency</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if</w:t>
      </w:r>
      <w:proofErr w:type="spellEnd"/>
      <w:r w:rsidRPr="005977B7">
        <w:rPr>
          <w:rFonts w:ascii="ArialMT" w:eastAsia="MS Mincho" w:hAnsi="ArialMT" w:cs="ArialMT"/>
          <w:sz w:val="22"/>
          <w:szCs w:val="22"/>
          <w:lang w:val="es-ES"/>
        </w:rPr>
        <w:t xml:space="preserve"> in </w:t>
      </w:r>
      <w:proofErr w:type="spellStart"/>
      <w:r w:rsidRPr="005977B7">
        <w:rPr>
          <w:rFonts w:ascii="ArialMT" w:eastAsia="MS Mincho" w:hAnsi="ArialMT" w:cs="ArialMT"/>
          <w:sz w:val="22"/>
          <w:szCs w:val="22"/>
          <w:lang w:val="es-ES"/>
        </w:rPr>
        <w:t>favour</w:t>
      </w:r>
      <w:proofErr w:type="spellEnd"/>
      <w:r w:rsidRPr="005977B7">
        <w:rPr>
          <w:rFonts w:ascii="ArialMT" w:eastAsia="MS Mincho" w:hAnsi="ArialMT" w:cs="ArialMT"/>
          <w:sz w:val="22"/>
          <w:szCs w:val="22"/>
          <w:lang w:val="es-ES"/>
        </w:rPr>
        <w:t xml:space="preserve"> of a </w:t>
      </w:r>
      <w:proofErr w:type="spellStart"/>
      <w:r w:rsidRPr="005977B7">
        <w:rPr>
          <w:rFonts w:ascii="ArialMT" w:eastAsia="MS Mincho" w:hAnsi="ArialMT" w:cs="ArialMT"/>
          <w:sz w:val="22"/>
          <w:szCs w:val="22"/>
          <w:lang w:val="es-ES"/>
        </w:rPr>
        <w:t>person</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not</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connected</w:t>
      </w:r>
      <w:proofErr w:type="spellEnd"/>
      <w:r w:rsidRPr="005977B7">
        <w:rPr>
          <w:rFonts w:ascii="ArialMT" w:eastAsia="MS Mincho" w:hAnsi="ArialMT" w:cs="ArialMT"/>
          <w:sz w:val="22"/>
          <w:szCs w:val="22"/>
          <w:lang w:val="es-ES"/>
        </w:rPr>
        <w:t xml:space="preserve"> to</w:t>
      </w:r>
      <w:r>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the</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company</w:t>
      </w:r>
      <w:proofErr w:type="spellEnd"/>
      <w:r>
        <w:rPr>
          <w:rFonts w:ascii="ArialMT" w:eastAsia="MS Mincho" w:hAnsi="ArialMT" w:cs="ArialMT"/>
          <w:sz w:val="22"/>
          <w:szCs w:val="22"/>
          <w:lang w:val="es-ES"/>
        </w:rPr>
        <w:t xml:space="preserve">, as </w:t>
      </w:r>
      <w:proofErr w:type="spellStart"/>
      <w:r>
        <w:rPr>
          <w:rFonts w:ascii="ArialMT" w:eastAsia="MS Mincho" w:hAnsi="ArialMT" w:cs="ArialMT"/>
          <w:sz w:val="22"/>
          <w:szCs w:val="22"/>
          <w:lang w:val="es-ES"/>
        </w:rPr>
        <w:t>it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happens</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this</w:t>
      </w:r>
      <w:proofErr w:type="spellEnd"/>
      <w:r>
        <w:rPr>
          <w:rFonts w:ascii="ArialMT" w:eastAsia="MS Mincho" w:hAnsi="ArialMT" w:cs="ArialMT"/>
          <w:sz w:val="22"/>
          <w:szCs w:val="22"/>
          <w:lang w:val="es-ES"/>
        </w:rPr>
        <w:t xml:space="preserve"> case).</w:t>
      </w:r>
    </w:p>
    <w:p w14:paraId="60D2D22E" w14:textId="12D61C56" w:rsidR="005977B7" w:rsidRDefault="005977B7" w:rsidP="005977B7">
      <w:pPr>
        <w:jc w:val="both"/>
        <w:rPr>
          <w:rFonts w:ascii="ArialMT" w:eastAsia="MS Mincho" w:hAnsi="ArialMT" w:cs="ArialMT"/>
          <w:sz w:val="22"/>
          <w:szCs w:val="22"/>
          <w:lang w:val="es-ES"/>
        </w:rPr>
      </w:pPr>
    </w:p>
    <w:p w14:paraId="3B09B8C1" w14:textId="543CD4EB" w:rsidR="005977B7" w:rsidRDefault="005977B7" w:rsidP="005977B7">
      <w:pPr>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However</w:t>
      </w:r>
      <w:proofErr w:type="spellEnd"/>
      <w:r>
        <w:rPr>
          <w:rFonts w:ascii="ArialMT" w:eastAsia="MS Mincho" w:hAnsi="ArialMT" w:cs="ArialMT"/>
          <w:sz w:val="22"/>
          <w:szCs w:val="22"/>
          <w:lang w:val="es-ES"/>
        </w:rPr>
        <w:t xml:space="preserve">, to </w:t>
      </w:r>
      <w:proofErr w:type="spellStart"/>
      <w:r>
        <w:rPr>
          <w:rFonts w:ascii="ArialMT" w:eastAsia="MS Mincho" w:hAnsi="ArialMT" w:cs="ArialMT"/>
          <w:sz w:val="22"/>
          <w:szCs w:val="22"/>
          <w:lang w:val="es-ES"/>
        </w:rPr>
        <w:t>have</w:t>
      </w:r>
      <w:proofErr w:type="spellEnd"/>
      <w:r>
        <w:rPr>
          <w:rFonts w:ascii="ArialMT" w:eastAsia="MS Mincho" w:hAnsi="ArialMT" w:cs="ArialMT"/>
          <w:sz w:val="22"/>
          <w:szCs w:val="22"/>
          <w:lang w:val="es-ES"/>
        </w:rPr>
        <w:t xml:space="preserve"> to </w:t>
      </w:r>
      <w:proofErr w:type="spellStart"/>
      <w:r>
        <w:rPr>
          <w:rFonts w:ascii="ArialMT" w:eastAsia="MS Mincho" w:hAnsi="ArialMT" w:cs="ArialMT"/>
          <w:sz w:val="22"/>
          <w:szCs w:val="22"/>
          <w:lang w:val="es-ES"/>
        </w:rPr>
        <w:t>bear</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mind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that</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some</w:t>
      </w:r>
      <w:proofErr w:type="spellEnd"/>
      <w:r>
        <w:rPr>
          <w:rFonts w:ascii="ArialMT" w:eastAsia="MS Mincho" w:hAnsi="ArialMT" w:cs="ArialMT"/>
          <w:sz w:val="22"/>
          <w:szCs w:val="22"/>
          <w:lang w:val="es-ES"/>
        </w:rPr>
        <w:t xml:space="preserve"> decisión </w:t>
      </w:r>
      <w:proofErr w:type="spellStart"/>
      <w:r w:rsidRPr="005977B7">
        <w:rPr>
          <w:rFonts w:ascii="ArialMT" w:eastAsia="MS Mincho" w:hAnsi="ArialMT" w:cs="ArialMT"/>
          <w:sz w:val="22"/>
          <w:szCs w:val="22"/>
          <w:lang w:val="es-ES"/>
        </w:rPr>
        <w:t>it</w:t>
      </w:r>
      <w:proofErr w:type="spellEnd"/>
      <w:r w:rsidRPr="005977B7">
        <w:rPr>
          <w:rFonts w:ascii="ArialMT" w:eastAsia="MS Mincho" w:hAnsi="ArialMT" w:cs="ArialMT"/>
          <w:sz w:val="22"/>
          <w:szCs w:val="22"/>
          <w:lang w:val="es-ES"/>
        </w:rPr>
        <w:t xml:space="preserve"> has </w:t>
      </w:r>
      <w:proofErr w:type="spellStart"/>
      <w:r w:rsidRPr="005977B7">
        <w:rPr>
          <w:rFonts w:ascii="ArialMT" w:eastAsia="MS Mincho" w:hAnsi="ArialMT" w:cs="ArialMT"/>
          <w:sz w:val="22"/>
          <w:szCs w:val="22"/>
          <w:lang w:val="es-ES"/>
        </w:rPr>
        <w:t>been</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held</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that</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where</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the</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company</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was</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influenced</w:t>
      </w:r>
      <w:proofErr w:type="spellEnd"/>
      <w:r>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solely</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by</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commercial</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considerations</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specifically</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attempts</w:t>
      </w:r>
      <w:proofErr w:type="spellEnd"/>
      <w:r w:rsidRPr="005977B7">
        <w:rPr>
          <w:rFonts w:ascii="ArialMT" w:eastAsia="MS Mincho" w:hAnsi="ArialMT" w:cs="ArialMT"/>
          <w:sz w:val="22"/>
          <w:szCs w:val="22"/>
          <w:lang w:val="es-ES"/>
        </w:rPr>
        <w:t xml:space="preserve"> to </w:t>
      </w:r>
      <w:proofErr w:type="spellStart"/>
      <w:r w:rsidRPr="005977B7">
        <w:rPr>
          <w:rFonts w:ascii="ArialMT" w:eastAsia="MS Mincho" w:hAnsi="ArialMT" w:cs="ArialMT"/>
          <w:sz w:val="22"/>
          <w:szCs w:val="22"/>
          <w:lang w:val="es-ES"/>
        </w:rPr>
        <w:t>ensure</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that</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company</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continued</w:t>
      </w:r>
      <w:proofErr w:type="spellEnd"/>
      <w:r w:rsidRPr="005977B7">
        <w:rPr>
          <w:rFonts w:ascii="ArialMT" w:eastAsia="MS Mincho" w:hAnsi="ArialMT" w:cs="ArialMT"/>
          <w:sz w:val="22"/>
          <w:szCs w:val="22"/>
          <w:lang w:val="es-ES"/>
        </w:rPr>
        <w:t xml:space="preserve"> trading, </w:t>
      </w:r>
      <w:proofErr w:type="spellStart"/>
      <w:r w:rsidRPr="005977B7">
        <w:rPr>
          <w:rFonts w:ascii="ArialMT" w:eastAsia="MS Mincho" w:hAnsi="ArialMT" w:cs="ArialMT"/>
          <w:sz w:val="22"/>
          <w:szCs w:val="22"/>
          <w:lang w:val="es-ES"/>
        </w:rPr>
        <w:t>there</w:t>
      </w:r>
      <w:proofErr w:type="spellEnd"/>
      <w:r w:rsidRPr="005977B7">
        <w:rPr>
          <w:rFonts w:ascii="ArialMT" w:eastAsia="MS Mincho" w:hAnsi="ArialMT" w:cs="ArialMT"/>
          <w:sz w:val="22"/>
          <w:szCs w:val="22"/>
          <w:lang w:val="es-ES"/>
        </w:rPr>
        <w:t xml:space="preserve"> </w:t>
      </w:r>
      <w:proofErr w:type="spellStart"/>
      <w:r w:rsidRPr="005977B7">
        <w:rPr>
          <w:rFonts w:ascii="ArialMT" w:eastAsia="MS Mincho" w:hAnsi="ArialMT" w:cs="ArialMT"/>
          <w:sz w:val="22"/>
          <w:szCs w:val="22"/>
          <w:lang w:val="es-ES"/>
        </w:rPr>
        <w:t>could</w:t>
      </w:r>
      <w:proofErr w:type="spellEnd"/>
      <w:r w:rsidRPr="005977B7">
        <w:rPr>
          <w:rFonts w:ascii="ArialMT" w:eastAsia="MS Mincho" w:hAnsi="ArialMT" w:cs="ArialMT"/>
          <w:sz w:val="22"/>
          <w:szCs w:val="22"/>
          <w:lang w:val="es-ES"/>
        </w:rPr>
        <w:t xml:space="preserve"> be no </w:t>
      </w:r>
      <w:proofErr w:type="spellStart"/>
      <w:r w:rsidRPr="005977B7">
        <w:rPr>
          <w:rFonts w:ascii="ArialMT" w:eastAsia="MS Mincho" w:hAnsi="ArialMT" w:cs="ArialMT"/>
          <w:sz w:val="22"/>
          <w:szCs w:val="22"/>
          <w:lang w:val="es-ES"/>
        </w:rPr>
        <w:t>desire</w:t>
      </w:r>
      <w:proofErr w:type="spellEnd"/>
      <w:r w:rsidRPr="005977B7">
        <w:rPr>
          <w:rFonts w:ascii="ArialMT" w:eastAsia="MS Mincho" w:hAnsi="ArialMT" w:cs="ArialMT"/>
          <w:sz w:val="22"/>
          <w:szCs w:val="22"/>
          <w:lang w:val="es-ES"/>
        </w:rPr>
        <w:t xml:space="preserve"> to </w:t>
      </w:r>
      <w:proofErr w:type="spellStart"/>
      <w:r w:rsidRPr="005977B7">
        <w:rPr>
          <w:rFonts w:ascii="ArialMT" w:eastAsia="MS Mincho" w:hAnsi="ArialMT" w:cs="ArialMT"/>
          <w:sz w:val="22"/>
          <w:szCs w:val="22"/>
          <w:lang w:val="es-ES"/>
        </w:rPr>
        <w:t>prefer</w:t>
      </w:r>
      <w:proofErr w:type="spellEnd"/>
      <w:r w:rsidRPr="005977B7">
        <w:rPr>
          <w:rFonts w:ascii="ArialMT" w:eastAsia="MS Mincho" w:hAnsi="ArialMT" w:cs="ArialMT"/>
          <w:sz w:val="22"/>
          <w:szCs w:val="22"/>
          <w:lang w:val="es-ES"/>
        </w:rPr>
        <w:t>.</w:t>
      </w:r>
    </w:p>
    <w:p w14:paraId="3CC11A4E" w14:textId="571B017E" w:rsidR="005977B7" w:rsidRDefault="005977B7" w:rsidP="005977B7">
      <w:pPr>
        <w:jc w:val="both"/>
        <w:rPr>
          <w:rFonts w:ascii="ArialMT" w:eastAsia="MS Mincho" w:hAnsi="ArialMT" w:cs="ArialMT"/>
          <w:sz w:val="22"/>
          <w:szCs w:val="22"/>
          <w:lang w:val="es-ES"/>
        </w:rPr>
      </w:pPr>
    </w:p>
    <w:p w14:paraId="421532D6" w14:textId="04C1E375" w:rsidR="005977B7" w:rsidRPr="005977B7" w:rsidRDefault="005977B7" w:rsidP="005977B7">
      <w:pPr>
        <w:jc w:val="both"/>
        <w:rPr>
          <w:rFonts w:ascii="ArialMT" w:eastAsia="MS Mincho" w:hAnsi="ArialMT" w:cs="ArialMT"/>
          <w:sz w:val="22"/>
          <w:szCs w:val="22"/>
          <w:lang w:val="es-ES"/>
        </w:rPr>
      </w:pPr>
      <w:r>
        <w:rPr>
          <w:rFonts w:ascii="ArialMT" w:eastAsia="MS Mincho" w:hAnsi="ArialMT" w:cs="ArialMT"/>
          <w:sz w:val="22"/>
          <w:szCs w:val="22"/>
          <w:lang w:val="es-ES"/>
        </w:rPr>
        <w:t xml:space="preserve">As </w:t>
      </w:r>
      <w:proofErr w:type="spellStart"/>
      <w:r w:rsidRPr="005977B7">
        <w:rPr>
          <w:rFonts w:ascii="ArialMT" w:eastAsia="MS Mincho" w:hAnsi="ArialMT" w:cs="ArialMT"/>
          <w:sz w:val="22"/>
          <w:szCs w:val="22"/>
          <w:lang w:val="es-ES"/>
        </w:rPr>
        <w:t>Gary’s</w:t>
      </w:r>
      <w:proofErr w:type="spellEnd"/>
      <w:r w:rsidRPr="005977B7">
        <w:rPr>
          <w:rFonts w:ascii="ArialMT" w:eastAsia="MS Mincho" w:hAnsi="ArialMT" w:cs="ArialMT"/>
          <w:sz w:val="22"/>
          <w:szCs w:val="22"/>
          <w:lang w:val="es-ES"/>
        </w:rPr>
        <w:t xml:space="preserve"> Grapes </w:t>
      </w:r>
      <w:proofErr w:type="spellStart"/>
      <w:r w:rsidRPr="005977B7">
        <w:rPr>
          <w:rFonts w:ascii="ArialMT" w:eastAsia="MS Mincho" w:hAnsi="ArialMT" w:cs="ArialMT"/>
          <w:sz w:val="22"/>
          <w:szCs w:val="22"/>
          <w:lang w:val="es-ES"/>
        </w:rPr>
        <w:t>Limited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was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one</w:t>
      </w:r>
      <w:proofErr w:type="spellEnd"/>
      <w:r>
        <w:rPr>
          <w:rFonts w:ascii="ArialMT" w:eastAsia="MS Mincho" w:hAnsi="ArialMT" w:cs="ArialMT"/>
          <w:sz w:val="22"/>
          <w:szCs w:val="22"/>
          <w:lang w:val="es-ES"/>
        </w:rPr>
        <w:t xml:space="preserve"> of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key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suppliers</w:t>
      </w:r>
      <w:proofErr w:type="spellEnd"/>
      <w:r>
        <w:rPr>
          <w:rFonts w:ascii="ArialMT" w:eastAsia="MS Mincho" w:hAnsi="ArialMT" w:cs="ArialMT"/>
          <w:sz w:val="22"/>
          <w:szCs w:val="22"/>
          <w:lang w:val="es-ES"/>
        </w:rPr>
        <w:t xml:space="preserve"> of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company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could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considered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that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there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wasn’t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intention</w:t>
      </w:r>
      <w:proofErr w:type="spellEnd"/>
      <w:r>
        <w:rPr>
          <w:rFonts w:ascii="ArialMT" w:eastAsia="MS Mincho" w:hAnsi="ArialMT" w:cs="ArialMT"/>
          <w:sz w:val="22"/>
          <w:szCs w:val="22"/>
          <w:lang w:val="es-ES"/>
        </w:rPr>
        <w:t xml:space="preserve"> to </w:t>
      </w:r>
      <w:proofErr w:type="spellStart"/>
      <w:r>
        <w:rPr>
          <w:rFonts w:ascii="ArialMT" w:eastAsia="MS Mincho" w:hAnsi="ArialMT" w:cs="ArialMT"/>
          <w:sz w:val="22"/>
          <w:szCs w:val="22"/>
          <w:lang w:val="es-ES"/>
        </w:rPr>
        <w:t>prefer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that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creditor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since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was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attempt</w:t>
      </w:r>
      <w:proofErr w:type="spellEnd"/>
      <w:r>
        <w:rPr>
          <w:rFonts w:ascii="ArialMT" w:eastAsia="MS Mincho" w:hAnsi="ArialMT" w:cs="ArialMT"/>
          <w:sz w:val="22"/>
          <w:szCs w:val="22"/>
          <w:lang w:val="es-ES"/>
        </w:rPr>
        <w:t xml:space="preserve"> to </w:t>
      </w:r>
      <w:proofErr w:type="spellStart"/>
      <w:r>
        <w:rPr>
          <w:rFonts w:ascii="ArialMT" w:eastAsia="MS Mincho" w:hAnsi="ArialMT" w:cs="ArialMT"/>
          <w:sz w:val="22"/>
          <w:szCs w:val="22"/>
          <w:lang w:val="es-ES"/>
        </w:rPr>
        <w:t>ensure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continuation</w:t>
      </w:r>
      <w:proofErr w:type="spellEnd"/>
      <w:r>
        <w:rPr>
          <w:rFonts w:ascii="ArialMT" w:eastAsia="MS Mincho" w:hAnsi="ArialMT" w:cs="ArialMT"/>
          <w:sz w:val="22"/>
          <w:szCs w:val="22"/>
          <w:lang w:val="es-ES"/>
        </w:rPr>
        <w:t xml:space="preserve"> of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company’s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activity</w:t>
      </w:r>
      <w:proofErr w:type="spellEnd"/>
      <w:r>
        <w:rPr>
          <w:rFonts w:ascii="ArialMT" w:eastAsia="MS Mincho" w:hAnsi="ArialMT" w:cs="ArialMT"/>
          <w:sz w:val="22"/>
          <w:szCs w:val="22"/>
          <w:lang w:val="es-ES"/>
        </w:rPr>
        <w:t>.</w:t>
      </w: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C9D4" w14:textId="77777777" w:rsidR="00DE7E3A" w:rsidRDefault="00DE7E3A" w:rsidP="00241B44">
      <w:r>
        <w:separator/>
      </w:r>
    </w:p>
  </w:endnote>
  <w:endnote w:type="continuationSeparator" w:id="0">
    <w:p w14:paraId="6CB87FFE" w14:textId="77777777" w:rsidR="00DE7E3A" w:rsidRDefault="00DE7E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23A1AF0D" w:rsidR="00241FA3" w:rsidRPr="009B4976" w:rsidRDefault="00FB5003" w:rsidP="009B4976">
    <w:pPr>
      <w:pStyle w:val="Footer"/>
      <w:ind w:right="360"/>
      <w:rPr>
        <w:rFonts w:ascii="Arial" w:hAnsi="Arial" w:cs="Arial"/>
        <w:sz w:val="18"/>
        <w:szCs w:val="18"/>
        <w:lang w:val="en-GB"/>
      </w:rPr>
    </w:pPr>
    <w:r w:rsidRPr="00FB5003">
      <w:rPr>
        <w:rFonts w:ascii="Arial" w:hAnsi="Arial" w:cs="Arial"/>
        <w:sz w:val="18"/>
        <w:szCs w:val="18"/>
        <w:lang w:val="en-GB"/>
      </w:rPr>
      <w:t>202021IFU-284</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D0D9" w14:textId="77777777" w:rsidR="00DE7E3A" w:rsidRDefault="00DE7E3A" w:rsidP="00241B44">
      <w:r>
        <w:separator/>
      </w:r>
    </w:p>
  </w:footnote>
  <w:footnote w:type="continuationSeparator" w:id="0">
    <w:p w14:paraId="3DE10B0E" w14:textId="77777777" w:rsidR="00DE7E3A" w:rsidRDefault="00DE7E3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B3DD9"/>
    <w:multiLevelType w:val="hybridMultilevel"/>
    <w:tmpl w:val="D396A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477943"/>
    <w:multiLevelType w:val="hybridMultilevel"/>
    <w:tmpl w:val="A056931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05A18"/>
    <w:multiLevelType w:val="hybridMultilevel"/>
    <w:tmpl w:val="3FCCC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286713"/>
    <w:multiLevelType w:val="hybridMultilevel"/>
    <w:tmpl w:val="07A0D6C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46450F50"/>
    <w:multiLevelType w:val="hybridMultilevel"/>
    <w:tmpl w:val="59720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A5480"/>
    <w:multiLevelType w:val="hybridMultilevel"/>
    <w:tmpl w:val="95C40862"/>
    <w:lvl w:ilvl="0" w:tplc="E4FE698E">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11"/>
  </w:num>
  <w:num w:numId="6">
    <w:abstractNumId w:val="2"/>
  </w:num>
  <w:num w:numId="7">
    <w:abstractNumId w:val="12"/>
  </w:num>
  <w:num w:numId="8">
    <w:abstractNumId w:val="13"/>
  </w:num>
  <w:num w:numId="9">
    <w:abstractNumId w:val="10"/>
  </w:num>
  <w:num w:numId="10">
    <w:abstractNumId w:val="14"/>
  </w:num>
  <w:num w:numId="11">
    <w:abstractNumId w:val="3"/>
  </w:num>
  <w:num w:numId="12">
    <w:abstractNumId w:val="4"/>
  </w:num>
  <w:num w:numId="13">
    <w:abstractNumId w:val="7"/>
  </w:num>
  <w:num w:numId="14">
    <w:abstractNumId w:val="8"/>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1133"/>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009"/>
    <w:rsid w:val="0015456D"/>
    <w:rsid w:val="00155FA2"/>
    <w:rsid w:val="00161F1B"/>
    <w:rsid w:val="00162829"/>
    <w:rsid w:val="001675F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1ACA"/>
    <w:rsid w:val="002D299D"/>
    <w:rsid w:val="002D3473"/>
    <w:rsid w:val="002F1956"/>
    <w:rsid w:val="002F3440"/>
    <w:rsid w:val="002F75A3"/>
    <w:rsid w:val="002F77D6"/>
    <w:rsid w:val="00303C2F"/>
    <w:rsid w:val="003144EF"/>
    <w:rsid w:val="00326292"/>
    <w:rsid w:val="00326415"/>
    <w:rsid w:val="00330937"/>
    <w:rsid w:val="00330F31"/>
    <w:rsid w:val="00334648"/>
    <w:rsid w:val="003355E7"/>
    <w:rsid w:val="0033768C"/>
    <w:rsid w:val="00337938"/>
    <w:rsid w:val="00340769"/>
    <w:rsid w:val="00341AA6"/>
    <w:rsid w:val="00361A0A"/>
    <w:rsid w:val="00364836"/>
    <w:rsid w:val="0036565C"/>
    <w:rsid w:val="0036625E"/>
    <w:rsid w:val="0037465A"/>
    <w:rsid w:val="003824A2"/>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C0A"/>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18DB"/>
    <w:rsid w:val="00592F82"/>
    <w:rsid w:val="005977B7"/>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5F644C"/>
    <w:rsid w:val="00610388"/>
    <w:rsid w:val="00610AC7"/>
    <w:rsid w:val="00612CA5"/>
    <w:rsid w:val="006153EC"/>
    <w:rsid w:val="00621A17"/>
    <w:rsid w:val="00627CC9"/>
    <w:rsid w:val="00627E7B"/>
    <w:rsid w:val="00630542"/>
    <w:rsid w:val="00632E44"/>
    <w:rsid w:val="006335BB"/>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6BA4"/>
    <w:rsid w:val="007F41F8"/>
    <w:rsid w:val="007F659B"/>
    <w:rsid w:val="0080454E"/>
    <w:rsid w:val="00804C32"/>
    <w:rsid w:val="00806245"/>
    <w:rsid w:val="00806302"/>
    <w:rsid w:val="00807119"/>
    <w:rsid w:val="0082483F"/>
    <w:rsid w:val="008279C0"/>
    <w:rsid w:val="00867701"/>
    <w:rsid w:val="008723F3"/>
    <w:rsid w:val="00876F56"/>
    <w:rsid w:val="00881DE6"/>
    <w:rsid w:val="008837A6"/>
    <w:rsid w:val="0089145D"/>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F228E"/>
    <w:rsid w:val="00B016A8"/>
    <w:rsid w:val="00B04033"/>
    <w:rsid w:val="00B142E7"/>
    <w:rsid w:val="00B14819"/>
    <w:rsid w:val="00B15E2F"/>
    <w:rsid w:val="00B17AA9"/>
    <w:rsid w:val="00B44713"/>
    <w:rsid w:val="00B51B95"/>
    <w:rsid w:val="00B56103"/>
    <w:rsid w:val="00B64929"/>
    <w:rsid w:val="00B736DF"/>
    <w:rsid w:val="00B743D6"/>
    <w:rsid w:val="00B743F2"/>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5805"/>
    <w:rsid w:val="00CE6E50"/>
    <w:rsid w:val="00CF2819"/>
    <w:rsid w:val="00CF4F9D"/>
    <w:rsid w:val="00CF70DC"/>
    <w:rsid w:val="00D10D3A"/>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E7E3A"/>
    <w:rsid w:val="00DF75F8"/>
    <w:rsid w:val="00DF7A3A"/>
    <w:rsid w:val="00E00C00"/>
    <w:rsid w:val="00E07C5A"/>
    <w:rsid w:val="00E15BA9"/>
    <w:rsid w:val="00E26E19"/>
    <w:rsid w:val="00E31DF3"/>
    <w:rsid w:val="00E443D7"/>
    <w:rsid w:val="00E450A4"/>
    <w:rsid w:val="00E506BE"/>
    <w:rsid w:val="00E55547"/>
    <w:rsid w:val="00E60CD1"/>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55FB5"/>
    <w:rsid w:val="00F60538"/>
    <w:rsid w:val="00F61DD2"/>
    <w:rsid w:val="00F66AFF"/>
    <w:rsid w:val="00F71433"/>
    <w:rsid w:val="00F87B04"/>
    <w:rsid w:val="00F97C5B"/>
    <w:rsid w:val="00FA12B9"/>
    <w:rsid w:val="00FA3D50"/>
    <w:rsid w:val="00FA417D"/>
    <w:rsid w:val="00FB500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2611</Words>
  <Characters>14887</Characters>
  <Application>Microsoft Office Word</Application>
  <DocSecurity>0</DocSecurity>
  <Lines>124</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2021-07-26T11:53:00Z</dcterms:created>
  <dcterms:modified xsi:type="dcterms:W3CDTF">2021-07-26T11:53:00Z</dcterms:modified>
</cp:coreProperties>
</file>