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A16034">
      <w:pPr>
        <w:pStyle w:val="AODocTxt"/>
        <w:numPr>
          <w:ilvl w:val="0"/>
          <w:numId w:val="2"/>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A16034">
      <w:pPr>
        <w:pStyle w:val="AODocTxt"/>
        <w:numPr>
          <w:ilvl w:val="0"/>
          <w:numId w:val="2"/>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A16034">
      <w:pPr>
        <w:pStyle w:val="AODocTxt"/>
        <w:numPr>
          <w:ilvl w:val="0"/>
          <w:numId w:val="2"/>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Pr="00CD7293" w:rsidRDefault="00256B74" w:rsidP="00A16034">
      <w:pPr>
        <w:pStyle w:val="AODocTxt"/>
        <w:numPr>
          <w:ilvl w:val="0"/>
          <w:numId w:val="2"/>
        </w:numPr>
        <w:spacing w:before="0" w:line="240" w:lineRule="auto"/>
        <w:ind w:left="426"/>
        <w:rPr>
          <w:rFonts w:ascii="Arial" w:hAnsi="Arial" w:cs="Arial"/>
          <w:highlight w:val="yellow"/>
        </w:rPr>
      </w:pPr>
      <w:r w:rsidRPr="00CD7293">
        <w:rPr>
          <w:rFonts w:ascii="Arial" w:hAnsi="Arial" w:cs="Arial"/>
          <w:highlight w:val="yellow"/>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A16034">
      <w:pPr>
        <w:pStyle w:val="AODocTxt"/>
        <w:numPr>
          <w:ilvl w:val="0"/>
          <w:numId w:val="2"/>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A16034">
      <w:pPr>
        <w:pStyle w:val="AODocTxt"/>
        <w:numPr>
          <w:ilvl w:val="0"/>
          <w:numId w:val="1"/>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A16034">
      <w:pPr>
        <w:pStyle w:val="AODocTxt"/>
        <w:numPr>
          <w:ilvl w:val="0"/>
          <w:numId w:val="1"/>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A16034">
      <w:pPr>
        <w:pStyle w:val="AODocTxt"/>
        <w:numPr>
          <w:ilvl w:val="0"/>
          <w:numId w:val="1"/>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Pr="00AD15B8" w:rsidRDefault="0093467C" w:rsidP="00A16034">
      <w:pPr>
        <w:pStyle w:val="AODocTxt"/>
        <w:numPr>
          <w:ilvl w:val="0"/>
          <w:numId w:val="1"/>
        </w:numPr>
        <w:spacing w:before="0" w:line="240" w:lineRule="auto"/>
        <w:ind w:left="426"/>
        <w:rPr>
          <w:rFonts w:ascii="Arial" w:hAnsi="Arial" w:cs="Arial"/>
          <w:highlight w:val="yellow"/>
        </w:rPr>
      </w:pPr>
      <w:r w:rsidRPr="00AD15B8">
        <w:rPr>
          <w:rFonts w:ascii="Arial" w:hAnsi="Arial" w:cs="Arial"/>
          <w:highlight w:val="yellow"/>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A16034">
      <w:pPr>
        <w:pStyle w:val="AODocTxt"/>
        <w:numPr>
          <w:ilvl w:val="0"/>
          <w:numId w:val="1"/>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3B5EE242"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r w:rsidR="00AD15B8">
        <w:rPr>
          <w:rFonts w:ascii="Arial" w:hAnsi="Arial" w:cs="Arial"/>
          <w:b/>
          <w:bCs/>
          <w:sz w:val="22"/>
          <w:szCs w:val="22"/>
        </w:rPr>
        <w:t xml:space="preserve"> </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Pr="00C366EA" w:rsidRDefault="00223917" w:rsidP="00A16034">
      <w:pPr>
        <w:pStyle w:val="AODocTxt"/>
        <w:numPr>
          <w:ilvl w:val="0"/>
          <w:numId w:val="3"/>
        </w:numPr>
        <w:spacing w:before="0" w:line="240" w:lineRule="auto"/>
        <w:ind w:left="426"/>
        <w:rPr>
          <w:rFonts w:ascii="Arial" w:hAnsi="Arial" w:cs="Arial"/>
        </w:rPr>
      </w:pPr>
      <w:r w:rsidRPr="00C366EA">
        <w:rPr>
          <w:rFonts w:ascii="Arial" w:hAnsi="Arial" w:cs="Arial"/>
        </w:rPr>
        <w:t>A shareholder in ABC Corp, to which XYZ Corp is substantially indebted.</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A16034">
      <w:pPr>
        <w:pStyle w:val="AODocTxt"/>
        <w:numPr>
          <w:ilvl w:val="0"/>
          <w:numId w:val="3"/>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C366EA" w:rsidRDefault="00223917" w:rsidP="00A16034">
      <w:pPr>
        <w:pStyle w:val="AODocTxt"/>
        <w:numPr>
          <w:ilvl w:val="0"/>
          <w:numId w:val="3"/>
        </w:numPr>
        <w:spacing w:before="0" w:line="240" w:lineRule="auto"/>
        <w:ind w:left="426"/>
        <w:rPr>
          <w:rFonts w:ascii="Arial" w:hAnsi="Arial" w:cs="Arial"/>
        </w:rPr>
      </w:pPr>
      <w:r w:rsidRPr="00C366EA">
        <w:rPr>
          <w:rFonts w:ascii="Arial" w:hAnsi="Arial" w:cs="Arial"/>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AD15B8" w:rsidRDefault="00223917" w:rsidP="00A16034">
      <w:pPr>
        <w:pStyle w:val="AODocTxt"/>
        <w:numPr>
          <w:ilvl w:val="0"/>
          <w:numId w:val="3"/>
        </w:numPr>
        <w:spacing w:before="0" w:line="240" w:lineRule="auto"/>
        <w:ind w:left="426"/>
        <w:rPr>
          <w:rFonts w:ascii="Arial" w:hAnsi="Arial" w:cs="Arial"/>
          <w:highlight w:val="yellow"/>
        </w:rPr>
      </w:pPr>
      <w:r w:rsidRPr="00AD15B8">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A16034">
      <w:pPr>
        <w:pStyle w:val="AODocTxt"/>
        <w:numPr>
          <w:ilvl w:val="0"/>
          <w:numId w:val="3"/>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0E45CCD6"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Pr="00C366EA" w:rsidRDefault="00160679" w:rsidP="00A16034">
      <w:pPr>
        <w:pStyle w:val="AODocTxt"/>
        <w:numPr>
          <w:ilvl w:val="0"/>
          <w:numId w:val="4"/>
        </w:numPr>
        <w:spacing w:before="0" w:line="240" w:lineRule="auto"/>
        <w:ind w:left="426"/>
        <w:rPr>
          <w:rFonts w:ascii="Arial" w:hAnsi="Arial" w:cs="Arial"/>
        </w:rPr>
      </w:pPr>
      <w:r w:rsidRPr="00C366EA">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16034">
      <w:pPr>
        <w:pStyle w:val="AODocTxt"/>
        <w:numPr>
          <w:ilvl w:val="0"/>
          <w:numId w:val="4"/>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Pr="00C366EA" w:rsidRDefault="00160679" w:rsidP="00A16034">
      <w:pPr>
        <w:pStyle w:val="AODocTxt"/>
        <w:numPr>
          <w:ilvl w:val="0"/>
          <w:numId w:val="4"/>
        </w:numPr>
        <w:spacing w:before="0" w:line="240" w:lineRule="auto"/>
        <w:ind w:left="426"/>
        <w:rPr>
          <w:rFonts w:ascii="Arial" w:hAnsi="Arial" w:cs="Arial"/>
        </w:rPr>
      </w:pPr>
      <w:r w:rsidRPr="00C366EA">
        <w:rPr>
          <w:rFonts w:ascii="Arial" w:hAnsi="Arial" w:cs="Arial"/>
        </w:rPr>
        <w:t>The counterparty has a claim for damages for breach of contract</w:t>
      </w:r>
      <w:r w:rsidR="00A3165E" w:rsidRPr="00C366EA">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C366EA" w:rsidRDefault="00160679" w:rsidP="00A16034">
      <w:pPr>
        <w:pStyle w:val="AODocTxt"/>
        <w:numPr>
          <w:ilvl w:val="0"/>
          <w:numId w:val="4"/>
        </w:numPr>
        <w:spacing w:before="0" w:line="240" w:lineRule="auto"/>
        <w:ind w:left="426"/>
        <w:rPr>
          <w:rFonts w:ascii="Arial" w:hAnsi="Arial" w:cs="Arial"/>
          <w:highlight w:val="yellow"/>
        </w:rPr>
      </w:pPr>
      <w:r w:rsidRPr="00C366EA">
        <w:rPr>
          <w:rFonts w:ascii="Arial" w:hAnsi="Arial" w:cs="Arial"/>
          <w:highlight w:val="yellow"/>
        </w:rPr>
        <w:t xml:space="preserve">Both (a) </w:t>
      </w:r>
      <w:r w:rsidR="00A3165E" w:rsidRPr="00C366EA">
        <w:rPr>
          <w:rFonts w:ascii="Arial" w:hAnsi="Arial" w:cs="Arial"/>
          <w:highlight w:val="yellow"/>
        </w:rPr>
        <w:t>and</w:t>
      </w:r>
      <w:r w:rsidRPr="00C366EA">
        <w:rPr>
          <w:rFonts w:ascii="Arial" w:hAnsi="Arial" w:cs="Arial"/>
          <w:highlight w:val="yellow"/>
        </w:rPr>
        <w:t xml:space="preserve"> (c)</w:t>
      </w:r>
      <w:r w:rsidR="00A3165E" w:rsidRPr="00C366EA">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16034">
      <w:pPr>
        <w:pStyle w:val="AODocTxt"/>
        <w:numPr>
          <w:ilvl w:val="0"/>
          <w:numId w:val="4"/>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A16034">
      <w:pPr>
        <w:pStyle w:val="AODocTxt"/>
        <w:numPr>
          <w:ilvl w:val="0"/>
          <w:numId w:val="5"/>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A16034">
      <w:pPr>
        <w:pStyle w:val="AODocTxt"/>
        <w:numPr>
          <w:ilvl w:val="0"/>
          <w:numId w:val="5"/>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Pr="00C366EA" w:rsidRDefault="006B3571" w:rsidP="00A16034">
      <w:pPr>
        <w:pStyle w:val="AODocTxt"/>
        <w:numPr>
          <w:ilvl w:val="0"/>
          <w:numId w:val="5"/>
        </w:numPr>
        <w:spacing w:before="0" w:line="240" w:lineRule="auto"/>
        <w:ind w:left="426"/>
        <w:rPr>
          <w:rFonts w:ascii="Arial" w:hAnsi="Arial" w:cs="Arial"/>
          <w:highlight w:val="yellow"/>
        </w:rPr>
      </w:pPr>
      <w:r w:rsidRPr="00C366EA">
        <w:rPr>
          <w:rFonts w:ascii="Arial" w:hAnsi="Arial" w:cs="Arial"/>
          <w:highlight w:val="yellow"/>
        </w:rPr>
        <w:t>The clause is triggered by the bankruptcy filing of a third party, not the debtor.</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A16034">
      <w:pPr>
        <w:pStyle w:val="AODocTxt"/>
        <w:numPr>
          <w:ilvl w:val="0"/>
          <w:numId w:val="5"/>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A16034">
      <w:pPr>
        <w:pStyle w:val="AODocTxt"/>
        <w:numPr>
          <w:ilvl w:val="0"/>
          <w:numId w:val="5"/>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A16034">
      <w:pPr>
        <w:pStyle w:val="AODocTxt"/>
        <w:numPr>
          <w:ilvl w:val="0"/>
          <w:numId w:val="6"/>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26107D" w:rsidRDefault="002D6789" w:rsidP="00A16034">
      <w:pPr>
        <w:pStyle w:val="AODocTxt"/>
        <w:numPr>
          <w:ilvl w:val="0"/>
          <w:numId w:val="6"/>
        </w:numPr>
        <w:spacing w:before="0" w:line="240" w:lineRule="auto"/>
        <w:ind w:left="426"/>
        <w:rPr>
          <w:rFonts w:ascii="Arial" w:hAnsi="Arial" w:cs="Arial"/>
          <w:highlight w:val="yellow"/>
        </w:rPr>
      </w:pPr>
      <w:r w:rsidRPr="0026107D">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A16034">
      <w:pPr>
        <w:pStyle w:val="AODocTxt"/>
        <w:numPr>
          <w:ilvl w:val="0"/>
          <w:numId w:val="6"/>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A16034">
      <w:pPr>
        <w:pStyle w:val="AODocTxt"/>
        <w:numPr>
          <w:ilvl w:val="0"/>
          <w:numId w:val="6"/>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A16034">
      <w:pPr>
        <w:pStyle w:val="AODocTxt"/>
        <w:numPr>
          <w:ilvl w:val="0"/>
          <w:numId w:val="6"/>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26107D" w:rsidRDefault="002D78C5" w:rsidP="00A16034">
      <w:pPr>
        <w:pStyle w:val="AODocTxt"/>
        <w:numPr>
          <w:ilvl w:val="0"/>
          <w:numId w:val="7"/>
        </w:numPr>
        <w:spacing w:before="0" w:line="240" w:lineRule="auto"/>
        <w:ind w:left="426"/>
        <w:rPr>
          <w:rFonts w:ascii="Arial" w:hAnsi="Arial" w:cs="Arial"/>
          <w:highlight w:val="yellow"/>
        </w:rPr>
      </w:pPr>
      <w:r w:rsidRPr="0026107D">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A16034">
      <w:pPr>
        <w:pStyle w:val="AODocTxt"/>
        <w:numPr>
          <w:ilvl w:val="0"/>
          <w:numId w:val="7"/>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A16034">
      <w:pPr>
        <w:pStyle w:val="AODocTxt"/>
        <w:numPr>
          <w:ilvl w:val="0"/>
          <w:numId w:val="7"/>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A16034">
      <w:pPr>
        <w:pStyle w:val="AODocTxt"/>
        <w:numPr>
          <w:ilvl w:val="0"/>
          <w:numId w:val="7"/>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A16034">
      <w:pPr>
        <w:pStyle w:val="AODocTxt"/>
        <w:numPr>
          <w:ilvl w:val="0"/>
          <w:numId w:val="7"/>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A16034">
      <w:pPr>
        <w:pStyle w:val="AODocTxt"/>
        <w:numPr>
          <w:ilvl w:val="0"/>
          <w:numId w:val="8"/>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A16034">
      <w:pPr>
        <w:pStyle w:val="AODocTxt"/>
        <w:numPr>
          <w:ilvl w:val="0"/>
          <w:numId w:val="8"/>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26107D" w:rsidRDefault="006245E3" w:rsidP="00A16034">
      <w:pPr>
        <w:pStyle w:val="AODocTxt"/>
        <w:numPr>
          <w:ilvl w:val="0"/>
          <w:numId w:val="8"/>
        </w:numPr>
        <w:spacing w:before="0" w:line="240" w:lineRule="auto"/>
        <w:ind w:left="426"/>
        <w:rPr>
          <w:rFonts w:ascii="Arial" w:hAnsi="Arial" w:cs="Arial"/>
          <w:highlight w:val="yellow"/>
        </w:rPr>
      </w:pPr>
      <w:r w:rsidRPr="0026107D">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A16034">
      <w:pPr>
        <w:pStyle w:val="AODocTxt"/>
        <w:numPr>
          <w:ilvl w:val="0"/>
          <w:numId w:val="8"/>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A16034">
      <w:pPr>
        <w:pStyle w:val="AODocTxt"/>
        <w:numPr>
          <w:ilvl w:val="0"/>
          <w:numId w:val="8"/>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A16034">
      <w:pPr>
        <w:pStyle w:val="AODocTxt"/>
        <w:numPr>
          <w:ilvl w:val="0"/>
          <w:numId w:val="9"/>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A16034">
      <w:pPr>
        <w:pStyle w:val="AODocTxt"/>
        <w:numPr>
          <w:ilvl w:val="0"/>
          <w:numId w:val="9"/>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Pr="00D25CAB" w:rsidRDefault="000C4C5B" w:rsidP="00A16034">
      <w:pPr>
        <w:pStyle w:val="AODocTxt"/>
        <w:numPr>
          <w:ilvl w:val="0"/>
          <w:numId w:val="9"/>
        </w:numPr>
        <w:spacing w:before="0" w:line="240" w:lineRule="auto"/>
        <w:ind w:left="426"/>
        <w:rPr>
          <w:rFonts w:ascii="Arial" w:hAnsi="Arial" w:cs="Arial"/>
          <w:highlight w:val="yellow"/>
        </w:rPr>
      </w:pPr>
      <w:r w:rsidRPr="00D25CAB">
        <w:rPr>
          <w:rFonts w:ascii="Arial" w:hAnsi="Arial" w:cs="Arial"/>
          <w:highlight w:val="yellow"/>
        </w:rPr>
        <w:t>An insolvency professional appointed by the court overseeing the foreign proceeding.</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A16034">
      <w:pPr>
        <w:pStyle w:val="AODocTxt"/>
        <w:numPr>
          <w:ilvl w:val="0"/>
          <w:numId w:val="9"/>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A16034">
      <w:pPr>
        <w:pStyle w:val="AODocTxt"/>
        <w:numPr>
          <w:ilvl w:val="0"/>
          <w:numId w:val="9"/>
        </w:numPr>
        <w:spacing w:before="0" w:line="240" w:lineRule="auto"/>
        <w:ind w:left="426"/>
        <w:rPr>
          <w:rFonts w:ascii="Arial" w:hAnsi="Arial" w:cs="Arial"/>
        </w:rPr>
      </w:pPr>
      <w:r w:rsidRPr="004D3B3B">
        <w:rPr>
          <w:rFonts w:ascii="Arial" w:hAnsi="Arial" w:cs="Arial"/>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A16034">
      <w:pPr>
        <w:pStyle w:val="AODocTxt"/>
        <w:numPr>
          <w:ilvl w:val="0"/>
          <w:numId w:val="1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4D3B3B" w:rsidRDefault="00DF158F" w:rsidP="00A16034">
      <w:pPr>
        <w:pStyle w:val="AODocTxt"/>
        <w:numPr>
          <w:ilvl w:val="0"/>
          <w:numId w:val="10"/>
        </w:numPr>
        <w:spacing w:before="0" w:line="240" w:lineRule="auto"/>
        <w:ind w:left="426"/>
        <w:rPr>
          <w:rFonts w:ascii="Arial" w:hAnsi="Arial" w:cs="Arial"/>
        </w:rPr>
      </w:pPr>
      <w:r w:rsidRPr="004D3B3B">
        <w:rPr>
          <w:rFonts w:ascii="Arial" w:hAnsi="Arial" w:cs="Arial"/>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A16034">
      <w:pPr>
        <w:pStyle w:val="AODocTxt"/>
        <w:numPr>
          <w:ilvl w:val="0"/>
          <w:numId w:val="1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Pr="00D25CAB" w:rsidRDefault="00DF158F" w:rsidP="00A16034">
      <w:pPr>
        <w:pStyle w:val="AODocTxt"/>
        <w:numPr>
          <w:ilvl w:val="0"/>
          <w:numId w:val="10"/>
        </w:numPr>
        <w:spacing w:before="0" w:line="240" w:lineRule="auto"/>
        <w:ind w:left="426"/>
        <w:rPr>
          <w:rFonts w:ascii="Arial" w:hAnsi="Arial" w:cs="Arial"/>
          <w:highlight w:val="yellow"/>
        </w:rPr>
      </w:pPr>
      <w:r w:rsidRPr="00D25CAB">
        <w:rPr>
          <w:rFonts w:ascii="Arial" w:hAnsi="Arial" w:cs="Arial"/>
          <w:highlight w:val="yellow"/>
        </w:rPr>
        <w:lastRenderedPageBreak/>
        <w:t>Application of the automatic stay under section 362 to the debtor’s interests in US property.</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A16034">
      <w:pPr>
        <w:pStyle w:val="AODocTxt"/>
        <w:numPr>
          <w:ilvl w:val="0"/>
          <w:numId w:val="1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461D5842" w:rsidR="009B07AD" w:rsidRDefault="00D41A7E" w:rsidP="00D41A7E">
      <w:pPr>
        <w:jc w:val="both"/>
        <w:rPr>
          <w:rFonts w:ascii="Arial" w:hAnsi="Arial" w:cs="Arial"/>
          <w:sz w:val="22"/>
          <w:szCs w:val="22"/>
          <w:lang w:val="en-GB"/>
        </w:rPr>
      </w:pPr>
      <w:r w:rsidRPr="00D41A7E">
        <w:rPr>
          <w:rFonts w:ascii="Arial" w:hAnsi="Arial" w:cs="Arial"/>
          <w:sz w:val="22"/>
          <w:szCs w:val="22"/>
          <w:lang w:val="en-GB"/>
        </w:rPr>
        <w:t xml:space="preserve">To </w:t>
      </w:r>
      <w:r>
        <w:rPr>
          <w:rFonts w:ascii="Arial" w:hAnsi="Arial" w:cs="Arial"/>
          <w:sz w:val="22"/>
          <w:szCs w:val="22"/>
          <w:lang w:val="en-GB"/>
        </w:rPr>
        <w:t xml:space="preserve">be considered as a debtor </w:t>
      </w:r>
      <w:r w:rsidRPr="00D41A7E">
        <w:rPr>
          <w:rFonts w:ascii="Arial" w:hAnsi="Arial" w:cs="Arial"/>
          <w:sz w:val="22"/>
          <w:szCs w:val="22"/>
          <w:lang w:val="en-GB"/>
        </w:rPr>
        <w:t>under an</w:t>
      </w:r>
      <w:r>
        <w:rPr>
          <w:rFonts w:ascii="Arial" w:hAnsi="Arial" w:cs="Arial"/>
          <w:sz w:val="22"/>
          <w:szCs w:val="22"/>
          <w:lang w:val="en-GB"/>
        </w:rPr>
        <w:t>y</w:t>
      </w:r>
      <w:r w:rsidRPr="00D41A7E">
        <w:rPr>
          <w:rFonts w:ascii="Arial" w:hAnsi="Arial" w:cs="Arial"/>
          <w:sz w:val="22"/>
          <w:szCs w:val="22"/>
          <w:lang w:val="en-GB"/>
        </w:rPr>
        <w:t xml:space="preserve"> chapter of the Bankruptcy Code of the US, </w:t>
      </w:r>
      <w:r>
        <w:rPr>
          <w:rFonts w:ascii="Arial" w:hAnsi="Arial" w:cs="Arial"/>
          <w:sz w:val="22"/>
          <w:szCs w:val="22"/>
          <w:lang w:val="en-GB"/>
        </w:rPr>
        <w:t xml:space="preserve">a minimum requirement has to be met, which can be either the presence of the debtor or its place of business or any of its assets in the US. </w:t>
      </w:r>
    </w:p>
    <w:p w14:paraId="6ECFC76C" w14:textId="342271AC" w:rsidR="00D41A7E" w:rsidRDefault="00D41A7E" w:rsidP="00D41A7E">
      <w:pPr>
        <w:jc w:val="both"/>
        <w:rPr>
          <w:rFonts w:ascii="Arial" w:hAnsi="Arial" w:cs="Arial"/>
          <w:sz w:val="22"/>
          <w:szCs w:val="22"/>
          <w:lang w:val="en-GB"/>
        </w:rPr>
      </w:pPr>
    </w:p>
    <w:p w14:paraId="286F9BA4" w14:textId="0A3FF0E7" w:rsidR="00D41A7E" w:rsidRDefault="00D41A7E" w:rsidP="00D41A7E">
      <w:pPr>
        <w:jc w:val="both"/>
        <w:rPr>
          <w:rFonts w:ascii="Arial" w:hAnsi="Arial" w:cs="Arial"/>
          <w:sz w:val="22"/>
          <w:szCs w:val="22"/>
          <w:lang w:val="en-GB"/>
        </w:rPr>
      </w:pPr>
      <w:r>
        <w:rPr>
          <w:rFonts w:ascii="Arial" w:hAnsi="Arial" w:cs="Arial"/>
          <w:sz w:val="22"/>
          <w:szCs w:val="22"/>
          <w:lang w:val="en-GB"/>
        </w:rPr>
        <w:t>A</w:t>
      </w:r>
      <w:r w:rsidRPr="00D41A7E">
        <w:rPr>
          <w:rFonts w:ascii="Arial" w:hAnsi="Arial" w:cs="Arial"/>
          <w:sz w:val="22"/>
          <w:szCs w:val="22"/>
          <w:lang w:val="en-GB"/>
        </w:rPr>
        <w:t xml:space="preserve">s explained in the </w:t>
      </w:r>
      <w:r>
        <w:rPr>
          <w:rFonts w:ascii="Arial" w:hAnsi="Arial" w:cs="Arial"/>
          <w:sz w:val="22"/>
          <w:szCs w:val="22"/>
          <w:lang w:val="en-GB"/>
        </w:rPr>
        <w:t>G</w:t>
      </w:r>
      <w:r w:rsidRPr="00D41A7E">
        <w:rPr>
          <w:rFonts w:ascii="Arial" w:hAnsi="Arial" w:cs="Arial"/>
          <w:sz w:val="22"/>
          <w:szCs w:val="22"/>
          <w:lang w:val="en-GB"/>
        </w:rPr>
        <w:t xml:space="preserve">uidance </w:t>
      </w:r>
      <w:r>
        <w:rPr>
          <w:rFonts w:ascii="Arial" w:hAnsi="Arial" w:cs="Arial"/>
          <w:sz w:val="22"/>
          <w:szCs w:val="22"/>
          <w:lang w:val="en-GB"/>
        </w:rPr>
        <w:t>T</w:t>
      </w:r>
      <w:r w:rsidRPr="00D41A7E">
        <w:rPr>
          <w:rFonts w:ascii="Arial" w:hAnsi="Arial" w:cs="Arial"/>
          <w:sz w:val="22"/>
          <w:szCs w:val="22"/>
          <w:lang w:val="en-GB"/>
        </w:rPr>
        <w:t xml:space="preserve">ext, there are some exceptions for which certain companies cannot be considered debtors under </w:t>
      </w:r>
      <w:r>
        <w:rPr>
          <w:rFonts w:ascii="Arial" w:hAnsi="Arial" w:cs="Arial"/>
          <w:sz w:val="22"/>
          <w:szCs w:val="22"/>
          <w:lang w:val="en-GB"/>
        </w:rPr>
        <w:t>chapter</w:t>
      </w:r>
      <w:r w:rsidRPr="00D41A7E">
        <w:rPr>
          <w:rFonts w:ascii="Arial" w:hAnsi="Arial" w:cs="Arial"/>
          <w:sz w:val="22"/>
          <w:szCs w:val="22"/>
          <w:lang w:val="en-GB"/>
        </w:rPr>
        <w:t xml:space="preserve"> 7</w:t>
      </w:r>
      <w:r>
        <w:rPr>
          <w:rFonts w:ascii="Arial" w:hAnsi="Arial" w:cs="Arial"/>
          <w:sz w:val="22"/>
          <w:szCs w:val="22"/>
          <w:lang w:val="en-GB"/>
        </w:rPr>
        <w:t xml:space="preserve"> (railroads, insurance companies, banks and certain other financial institutions), since </w:t>
      </w:r>
      <w:r w:rsidRPr="00D41A7E">
        <w:rPr>
          <w:rFonts w:ascii="Arial" w:hAnsi="Arial" w:cs="Arial"/>
          <w:sz w:val="22"/>
          <w:szCs w:val="22"/>
          <w:lang w:val="en-GB"/>
        </w:rPr>
        <w:t>there are special liquidation procedures for t</w:t>
      </w:r>
      <w:r>
        <w:rPr>
          <w:rFonts w:ascii="Arial" w:hAnsi="Arial" w:cs="Arial"/>
          <w:sz w:val="22"/>
          <w:szCs w:val="22"/>
          <w:lang w:val="en-GB"/>
        </w:rPr>
        <w:t xml:space="preserve">hese entities under other state and federal laws. </w:t>
      </w:r>
    </w:p>
    <w:p w14:paraId="4142C0A2" w14:textId="38E4D800" w:rsidR="00D41A7E" w:rsidRDefault="00D41A7E" w:rsidP="00D41A7E">
      <w:pPr>
        <w:jc w:val="both"/>
        <w:rPr>
          <w:rFonts w:ascii="Arial" w:hAnsi="Arial" w:cs="Arial"/>
          <w:sz w:val="22"/>
          <w:szCs w:val="22"/>
          <w:lang w:val="en-GB"/>
        </w:rPr>
      </w:pPr>
    </w:p>
    <w:p w14:paraId="3E3F46FA" w14:textId="642ED215" w:rsidR="00D41A7E" w:rsidRPr="00D41A7E" w:rsidRDefault="00D41A7E" w:rsidP="00D41A7E">
      <w:pPr>
        <w:jc w:val="both"/>
        <w:rPr>
          <w:rFonts w:ascii="Arial" w:hAnsi="Arial" w:cs="Arial"/>
          <w:sz w:val="22"/>
          <w:szCs w:val="22"/>
          <w:lang w:val="en-GB"/>
        </w:rPr>
      </w:pPr>
      <w:r>
        <w:rPr>
          <w:rFonts w:ascii="Arial" w:hAnsi="Arial" w:cs="Arial"/>
          <w:sz w:val="22"/>
          <w:szCs w:val="22"/>
          <w:lang w:val="en-GB"/>
        </w:rPr>
        <w:t>W</w:t>
      </w:r>
      <w:r w:rsidRPr="00D41A7E">
        <w:rPr>
          <w:rFonts w:ascii="Arial" w:hAnsi="Arial" w:cs="Arial"/>
          <w:sz w:val="22"/>
          <w:szCs w:val="22"/>
          <w:lang w:val="en-GB"/>
        </w:rPr>
        <w:t>ith respect to article 11, the eligibility is a little broader</w:t>
      </w:r>
      <w:r>
        <w:rPr>
          <w:rFonts w:ascii="Arial" w:hAnsi="Arial" w:cs="Arial"/>
          <w:sz w:val="22"/>
          <w:szCs w:val="22"/>
          <w:lang w:val="en-GB"/>
        </w:rPr>
        <w:t xml:space="preserve"> (railroads and certain types of financial institutions could be considered as debtors under this article). However, stockbrokers and commodity brokers can’t be eligible in chapter 11, while they could be chapter 7 debtors.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EE7705" w:rsidRDefault="009B07AD" w:rsidP="00B10961">
      <w:pPr>
        <w:jc w:val="both"/>
        <w:rPr>
          <w:rFonts w:ascii="Arial" w:hAnsi="Arial" w:cs="Arial"/>
          <w:sz w:val="22"/>
          <w:szCs w:val="22"/>
        </w:rPr>
      </w:pPr>
    </w:p>
    <w:p w14:paraId="2F57801B" w14:textId="5BBA66DE" w:rsidR="009B07AD" w:rsidRDefault="00EE7705" w:rsidP="00EE7705">
      <w:pPr>
        <w:ind w:hanging="11"/>
        <w:jc w:val="both"/>
        <w:rPr>
          <w:rFonts w:ascii="Arial" w:hAnsi="Arial" w:cs="Arial"/>
          <w:sz w:val="22"/>
          <w:szCs w:val="22"/>
        </w:rPr>
      </w:pPr>
      <w:r w:rsidRPr="00EE7705">
        <w:rPr>
          <w:rFonts w:ascii="Arial" w:hAnsi="Arial" w:cs="Arial"/>
          <w:sz w:val="22"/>
          <w:szCs w:val="22"/>
        </w:rPr>
        <w:t xml:space="preserve">As it is mentioned in the Guidance Text, the concept of “executory contract” it is not defined by statue, but it has been given meaning through case- law. </w:t>
      </w:r>
    </w:p>
    <w:p w14:paraId="190946CA" w14:textId="13ED7BB1" w:rsidR="00EE7705" w:rsidRDefault="00EE7705" w:rsidP="00EE7705">
      <w:pPr>
        <w:ind w:hanging="11"/>
        <w:jc w:val="both"/>
        <w:rPr>
          <w:rFonts w:ascii="Arial" w:hAnsi="Arial" w:cs="Arial"/>
          <w:sz w:val="22"/>
          <w:szCs w:val="22"/>
        </w:rPr>
      </w:pPr>
    </w:p>
    <w:p w14:paraId="18AEF3A5" w14:textId="03D26869" w:rsidR="00EE7705" w:rsidRDefault="00EE7705" w:rsidP="00EE7705">
      <w:pPr>
        <w:ind w:hanging="11"/>
        <w:jc w:val="both"/>
        <w:rPr>
          <w:rFonts w:ascii="Arial" w:hAnsi="Arial" w:cs="Arial"/>
          <w:sz w:val="22"/>
          <w:szCs w:val="22"/>
        </w:rPr>
      </w:pPr>
      <w:r>
        <w:rPr>
          <w:rFonts w:ascii="Arial" w:hAnsi="Arial" w:cs="Arial"/>
          <w:sz w:val="22"/>
          <w:szCs w:val="22"/>
        </w:rPr>
        <w:t>F</w:t>
      </w:r>
      <w:r w:rsidRPr="00EE7705">
        <w:rPr>
          <w:rFonts w:ascii="Arial" w:hAnsi="Arial" w:cs="Arial"/>
          <w:sz w:val="22"/>
          <w:szCs w:val="22"/>
        </w:rPr>
        <w:t>or these purposes, the courts have followed the definition established by</w:t>
      </w:r>
      <w:r>
        <w:rPr>
          <w:rFonts w:ascii="Arial" w:hAnsi="Arial" w:cs="Arial"/>
          <w:sz w:val="22"/>
          <w:szCs w:val="22"/>
        </w:rPr>
        <w:t xml:space="preserve"> Professor Vern </w:t>
      </w:r>
      <w:r w:rsidRPr="00EE7705">
        <w:rPr>
          <w:rFonts w:ascii="Arial" w:hAnsi="Arial" w:cs="Arial"/>
          <w:sz w:val="22"/>
          <w:szCs w:val="22"/>
        </w:rPr>
        <w:t>Countryman of Harvard Law</w:t>
      </w:r>
      <w:r>
        <w:rPr>
          <w:rFonts w:ascii="Arial" w:hAnsi="Arial" w:cs="Arial"/>
          <w:sz w:val="22"/>
          <w:szCs w:val="22"/>
        </w:rPr>
        <w:t xml:space="preserve"> </w:t>
      </w:r>
      <w:r w:rsidRPr="00EE7705">
        <w:rPr>
          <w:rFonts w:ascii="Arial" w:hAnsi="Arial" w:cs="Arial"/>
          <w:sz w:val="22"/>
          <w:szCs w:val="22"/>
        </w:rPr>
        <w:t>School</w:t>
      </w:r>
      <w:r>
        <w:rPr>
          <w:rFonts w:ascii="Arial" w:hAnsi="Arial" w:cs="Arial"/>
          <w:sz w:val="22"/>
          <w:szCs w:val="22"/>
        </w:rPr>
        <w:t xml:space="preserve"> (known as “</w:t>
      </w:r>
      <w:r w:rsidRPr="00EE7705">
        <w:rPr>
          <w:rFonts w:ascii="Arial" w:hAnsi="Arial" w:cs="Arial"/>
          <w:i/>
          <w:iCs/>
          <w:sz w:val="22"/>
          <w:szCs w:val="22"/>
        </w:rPr>
        <w:t>countryman test</w:t>
      </w:r>
      <w:r>
        <w:rPr>
          <w:rFonts w:ascii="Arial" w:hAnsi="Arial" w:cs="Arial"/>
          <w:sz w:val="22"/>
          <w:szCs w:val="22"/>
        </w:rPr>
        <w:t xml:space="preserve">”). </w:t>
      </w:r>
    </w:p>
    <w:p w14:paraId="39FC2F01" w14:textId="1AA40F4F" w:rsidR="00EE7705" w:rsidRDefault="00EE7705" w:rsidP="00EE7705">
      <w:pPr>
        <w:ind w:hanging="11"/>
        <w:jc w:val="both"/>
        <w:rPr>
          <w:rFonts w:ascii="Arial" w:hAnsi="Arial" w:cs="Arial"/>
          <w:sz w:val="22"/>
          <w:szCs w:val="22"/>
        </w:rPr>
      </w:pPr>
    </w:p>
    <w:p w14:paraId="22EC0A4A" w14:textId="21C51AEC" w:rsidR="00EE7705" w:rsidRDefault="00EE7705" w:rsidP="00E072C0">
      <w:pPr>
        <w:ind w:hanging="11"/>
        <w:jc w:val="both"/>
        <w:rPr>
          <w:rFonts w:ascii="Arial" w:hAnsi="Arial" w:cs="Arial"/>
          <w:sz w:val="22"/>
          <w:szCs w:val="22"/>
        </w:rPr>
      </w:pPr>
      <w:r>
        <w:rPr>
          <w:rFonts w:ascii="Arial" w:hAnsi="Arial" w:cs="Arial"/>
          <w:sz w:val="22"/>
          <w:szCs w:val="22"/>
        </w:rPr>
        <w:t>Following the “</w:t>
      </w:r>
      <w:r w:rsidRPr="00EE7705">
        <w:rPr>
          <w:rFonts w:ascii="Arial" w:hAnsi="Arial" w:cs="Arial"/>
          <w:i/>
          <w:iCs/>
          <w:sz w:val="22"/>
          <w:szCs w:val="22"/>
        </w:rPr>
        <w:t>Countryman test</w:t>
      </w:r>
      <w:r>
        <w:rPr>
          <w:rFonts w:ascii="Arial" w:hAnsi="Arial" w:cs="Arial"/>
          <w:sz w:val="22"/>
          <w:szCs w:val="22"/>
        </w:rPr>
        <w:t xml:space="preserve">”, an executory contract </w:t>
      </w:r>
      <w:r w:rsidR="00E072C0" w:rsidRPr="00E072C0">
        <w:rPr>
          <w:rFonts w:ascii="Arial" w:hAnsi="Arial" w:cs="Arial"/>
          <w:sz w:val="22"/>
          <w:szCs w:val="22"/>
        </w:rPr>
        <w:t>is</w:t>
      </w:r>
      <w:r w:rsidR="00E072C0">
        <w:rPr>
          <w:rFonts w:ascii="Arial" w:hAnsi="Arial" w:cs="Arial"/>
          <w:sz w:val="22"/>
          <w:szCs w:val="22"/>
        </w:rPr>
        <w:t xml:space="preserve"> one </w:t>
      </w:r>
      <w:r w:rsidR="00E072C0" w:rsidRPr="00E072C0">
        <w:rPr>
          <w:rFonts w:ascii="Arial" w:hAnsi="Arial" w:cs="Arial"/>
          <w:sz w:val="22"/>
          <w:szCs w:val="22"/>
        </w:rPr>
        <w:t>"</w:t>
      </w:r>
      <w:r w:rsidR="00E072C0" w:rsidRPr="00E072C0">
        <w:rPr>
          <w:rFonts w:ascii="Arial" w:hAnsi="Arial" w:cs="Arial"/>
          <w:i/>
          <w:iCs/>
          <w:sz w:val="22"/>
          <w:szCs w:val="22"/>
        </w:rPr>
        <w:t xml:space="preserve">under which the obligations of both the bankrupt and the other party to the contract are so far unperformed that the failure of either to complete </w:t>
      </w:r>
      <w:proofErr w:type="spellStart"/>
      <w:r w:rsidR="00E072C0" w:rsidRPr="00E072C0">
        <w:rPr>
          <w:rFonts w:ascii="Arial" w:hAnsi="Arial" w:cs="Arial"/>
          <w:i/>
          <w:iCs/>
          <w:sz w:val="22"/>
          <w:szCs w:val="22"/>
        </w:rPr>
        <w:t>performlillce</w:t>
      </w:r>
      <w:proofErr w:type="spellEnd"/>
      <w:r w:rsidR="00E072C0" w:rsidRPr="00E072C0">
        <w:rPr>
          <w:rFonts w:ascii="Arial" w:hAnsi="Arial" w:cs="Arial"/>
          <w:i/>
          <w:iCs/>
          <w:sz w:val="22"/>
          <w:szCs w:val="22"/>
        </w:rPr>
        <w:t xml:space="preserve"> would constitute a material breach excusing the performance of the other</w:t>
      </w:r>
      <w:r w:rsidR="00E072C0">
        <w:rPr>
          <w:rStyle w:val="FootnoteReference"/>
          <w:rFonts w:ascii="Arial" w:hAnsi="Arial" w:cs="Arial"/>
          <w:sz w:val="22"/>
          <w:szCs w:val="22"/>
        </w:rPr>
        <w:footnoteReference w:id="1"/>
      </w:r>
      <w:r w:rsidR="00E072C0" w:rsidRPr="00E072C0">
        <w:rPr>
          <w:rFonts w:ascii="Arial" w:hAnsi="Arial" w:cs="Arial"/>
          <w:sz w:val="22"/>
          <w:szCs w:val="22"/>
        </w:rPr>
        <w:t>."</w:t>
      </w:r>
    </w:p>
    <w:p w14:paraId="21A6A561" w14:textId="11270E6B" w:rsidR="00E072C0" w:rsidRDefault="00E072C0" w:rsidP="00E072C0">
      <w:pPr>
        <w:ind w:hanging="11"/>
        <w:jc w:val="both"/>
        <w:rPr>
          <w:rFonts w:ascii="Arial" w:hAnsi="Arial" w:cs="Arial"/>
          <w:sz w:val="22"/>
          <w:szCs w:val="22"/>
        </w:rPr>
      </w:pPr>
    </w:p>
    <w:p w14:paraId="03361014" w14:textId="16BD2AA0" w:rsidR="00E072C0" w:rsidRDefault="00E072C0" w:rsidP="00E072C0">
      <w:pPr>
        <w:ind w:hanging="11"/>
        <w:jc w:val="both"/>
        <w:rPr>
          <w:rFonts w:ascii="Arial" w:hAnsi="Arial" w:cs="Arial"/>
          <w:sz w:val="22"/>
          <w:szCs w:val="22"/>
        </w:rPr>
      </w:pPr>
      <w:r w:rsidRPr="00E072C0">
        <w:rPr>
          <w:rFonts w:ascii="Arial" w:hAnsi="Arial" w:cs="Arial"/>
          <w:sz w:val="22"/>
          <w:szCs w:val="22"/>
        </w:rPr>
        <w:t xml:space="preserve">The reasoning underlying this power is that the trustee or debtor in possession should be insulated from contracts that impose onerous obligations on the bankruptcy estate, </w:t>
      </w:r>
      <w:r>
        <w:rPr>
          <w:rFonts w:ascii="Arial" w:hAnsi="Arial" w:cs="Arial"/>
          <w:sz w:val="22"/>
          <w:szCs w:val="22"/>
        </w:rPr>
        <w:t xml:space="preserve"> </w:t>
      </w:r>
      <w:r w:rsidRPr="00E072C0">
        <w:rPr>
          <w:rFonts w:ascii="Arial" w:hAnsi="Arial" w:cs="Arial"/>
          <w:sz w:val="22"/>
          <w:szCs w:val="22"/>
        </w:rPr>
        <w:t>but should also be able to benefit from favorable contracts.</w:t>
      </w:r>
    </w:p>
    <w:p w14:paraId="72190C5F" w14:textId="45FC86F5" w:rsidR="00E072C0" w:rsidRDefault="00E072C0" w:rsidP="00E072C0">
      <w:pPr>
        <w:ind w:hanging="11"/>
        <w:jc w:val="both"/>
        <w:rPr>
          <w:rFonts w:ascii="Arial" w:hAnsi="Arial" w:cs="Arial"/>
          <w:sz w:val="22"/>
          <w:szCs w:val="22"/>
        </w:rPr>
      </w:pPr>
    </w:p>
    <w:p w14:paraId="03D234F5" w14:textId="038AC0E9" w:rsidR="00E072C0" w:rsidRDefault="00E072C0" w:rsidP="00E072C0">
      <w:pPr>
        <w:ind w:hanging="11"/>
        <w:jc w:val="both"/>
        <w:rPr>
          <w:rFonts w:ascii="Arial" w:hAnsi="Arial" w:cs="Arial"/>
          <w:sz w:val="22"/>
          <w:szCs w:val="22"/>
        </w:rPr>
      </w:pPr>
      <w:r w:rsidRPr="00E072C0">
        <w:rPr>
          <w:rFonts w:ascii="Arial" w:hAnsi="Arial" w:cs="Arial"/>
          <w:sz w:val="22"/>
          <w:szCs w:val="22"/>
        </w:rPr>
        <w:t>Th</w:t>
      </w:r>
      <w:r>
        <w:rPr>
          <w:rFonts w:ascii="Arial" w:hAnsi="Arial" w:cs="Arial"/>
          <w:sz w:val="22"/>
          <w:szCs w:val="22"/>
        </w:rPr>
        <w:t>is</w:t>
      </w:r>
      <w:r w:rsidRPr="00E072C0">
        <w:rPr>
          <w:rFonts w:ascii="Arial" w:hAnsi="Arial" w:cs="Arial"/>
          <w:sz w:val="22"/>
          <w:szCs w:val="22"/>
        </w:rPr>
        <w:t xml:space="preserve"> power to assume or reject executory</w:t>
      </w:r>
      <w:r>
        <w:rPr>
          <w:rFonts w:ascii="Arial" w:hAnsi="Arial" w:cs="Arial"/>
          <w:sz w:val="22"/>
          <w:szCs w:val="22"/>
        </w:rPr>
        <w:t xml:space="preserve"> c</w:t>
      </w:r>
      <w:r w:rsidRPr="00E072C0">
        <w:rPr>
          <w:rFonts w:ascii="Arial" w:hAnsi="Arial" w:cs="Arial"/>
          <w:sz w:val="22"/>
          <w:szCs w:val="22"/>
        </w:rPr>
        <w:t xml:space="preserve">ontracts </w:t>
      </w:r>
      <w:r>
        <w:rPr>
          <w:rFonts w:ascii="Arial" w:hAnsi="Arial" w:cs="Arial"/>
          <w:sz w:val="22"/>
          <w:szCs w:val="22"/>
        </w:rPr>
        <w:t>is</w:t>
      </w:r>
      <w:r w:rsidRPr="00E072C0">
        <w:rPr>
          <w:rFonts w:ascii="Arial" w:hAnsi="Arial" w:cs="Arial"/>
          <w:sz w:val="22"/>
          <w:szCs w:val="22"/>
        </w:rPr>
        <w:t xml:space="preserve"> especially important in cases of reorganization</w:t>
      </w:r>
      <w:r>
        <w:rPr>
          <w:rFonts w:ascii="Arial" w:hAnsi="Arial" w:cs="Arial"/>
          <w:sz w:val="22"/>
          <w:szCs w:val="22"/>
        </w:rPr>
        <w:t xml:space="preserve"> </w:t>
      </w:r>
      <w:r w:rsidRPr="00E072C0">
        <w:rPr>
          <w:rFonts w:ascii="Arial" w:hAnsi="Arial" w:cs="Arial"/>
          <w:sz w:val="22"/>
          <w:szCs w:val="22"/>
        </w:rPr>
        <w:t>cases</w:t>
      </w:r>
      <w:r w:rsidRPr="00E072C0">
        <w:t xml:space="preserve"> </w:t>
      </w:r>
      <w:r w:rsidRPr="00E072C0">
        <w:rPr>
          <w:rFonts w:ascii="Arial" w:hAnsi="Arial" w:cs="Arial"/>
          <w:sz w:val="22"/>
          <w:szCs w:val="22"/>
        </w:rPr>
        <w:t>where it is used to relieve the debtor-in-possession of unperformed obligations that</w:t>
      </w:r>
      <w:r>
        <w:rPr>
          <w:rFonts w:ascii="Arial" w:hAnsi="Arial" w:cs="Arial"/>
          <w:sz w:val="22"/>
          <w:szCs w:val="22"/>
        </w:rPr>
        <w:t xml:space="preserve"> </w:t>
      </w:r>
      <w:r w:rsidRPr="00E072C0">
        <w:rPr>
          <w:rFonts w:ascii="Arial" w:hAnsi="Arial" w:cs="Arial"/>
          <w:sz w:val="22"/>
          <w:szCs w:val="22"/>
        </w:rPr>
        <w:t>otherwise hinder the debtor's opportunity for a fresh start.</w:t>
      </w:r>
    </w:p>
    <w:p w14:paraId="7D175ABF" w14:textId="040142C2" w:rsidR="00E072C0" w:rsidRDefault="00E072C0" w:rsidP="00E072C0">
      <w:pPr>
        <w:ind w:hanging="11"/>
        <w:jc w:val="both"/>
        <w:rPr>
          <w:rFonts w:ascii="Arial" w:hAnsi="Arial" w:cs="Arial"/>
          <w:sz w:val="22"/>
          <w:szCs w:val="22"/>
        </w:rPr>
      </w:pPr>
    </w:p>
    <w:p w14:paraId="3F6AB936" w14:textId="77777777" w:rsidR="00E072C0" w:rsidRPr="00E072C0" w:rsidRDefault="00E072C0" w:rsidP="00E072C0">
      <w:pPr>
        <w:ind w:hanging="11"/>
        <w:jc w:val="both"/>
        <w:rPr>
          <w:rFonts w:ascii="Arial" w:hAnsi="Arial" w:cs="Arial"/>
          <w:sz w:val="22"/>
          <w:szCs w:val="22"/>
        </w:rPr>
      </w:pP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7DF16D7B" w:rsidR="00C72848" w:rsidRDefault="00212A8B" w:rsidP="00212A8B">
      <w:pPr>
        <w:ind w:hanging="11"/>
        <w:jc w:val="both"/>
        <w:rPr>
          <w:rFonts w:ascii="Arial" w:hAnsi="Arial" w:cs="Arial"/>
          <w:sz w:val="22"/>
          <w:szCs w:val="22"/>
          <w:lang w:val="en-GB"/>
        </w:rPr>
      </w:pPr>
      <w:r w:rsidRPr="00212A8B">
        <w:rPr>
          <w:rFonts w:ascii="Arial" w:hAnsi="Arial" w:cs="Arial"/>
          <w:sz w:val="22"/>
          <w:szCs w:val="22"/>
          <w:lang w:val="en-GB"/>
        </w:rPr>
        <w:t xml:space="preserve">A priming lien </w:t>
      </w:r>
      <w:r>
        <w:rPr>
          <w:rFonts w:ascii="Arial" w:hAnsi="Arial" w:cs="Arial"/>
          <w:sz w:val="22"/>
          <w:szCs w:val="22"/>
          <w:lang w:val="en-GB"/>
        </w:rPr>
        <w:t xml:space="preserve">is a concept that operates in the debtor- in- possession sphere and it implies that the court may grant a post- petition credit extension that is senior or equal to a pre- petition lien on state property to secure post- petition financing. </w:t>
      </w:r>
    </w:p>
    <w:p w14:paraId="6EDB9B56" w14:textId="79E3348A" w:rsidR="00212A8B" w:rsidRDefault="00212A8B" w:rsidP="00212A8B">
      <w:pPr>
        <w:ind w:hanging="11"/>
        <w:jc w:val="both"/>
        <w:rPr>
          <w:rFonts w:ascii="Arial" w:hAnsi="Arial" w:cs="Arial"/>
          <w:sz w:val="22"/>
          <w:szCs w:val="22"/>
          <w:lang w:val="en-GB"/>
        </w:rPr>
      </w:pPr>
    </w:p>
    <w:p w14:paraId="1C638D8B" w14:textId="52DA5F79" w:rsidR="00212A8B" w:rsidRDefault="00212A8B" w:rsidP="00212A8B">
      <w:pPr>
        <w:ind w:hanging="11"/>
        <w:jc w:val="both"/>
        <w:rPr>
          <w:rFonts w:ascii="Arial" w:hAnsi="Arial" w:cs="Arial"/>
          <w:sz w:val="22"/>
          <w:szCs w:val="22"/>
          <w:lang w:val="en-GB"/>
        </w:rPr>
      </w:pPr>
      <w:r>
        <w:rPr>
          <w:rFonts w:ascii="Arial" w:hAnsi="Arial" w:cs="Arial"/>
          <w:sz w:val="22"/>
          <w:szCs w:val="22"/>
          <w:lang w:val="en-GB"/>
        </w:rPr>
        <w:t>I</w:t>
      </w:r>
      <w:r w:rsidRPr="00212A8B">
        <w:rPr>
          <w:rFonts w:ascii="Arial" w:hAnsi="Arial" w:cs="Arial"/>
          <w:sz w:val="22"/>
          <w:szCs w:val="22"/>
          <w:lang w:val="en-GB"/>
        </w:rPr>
        <w:t>n order for the court to authorize a priming lien, the following requirements must be met:</w:t>
      </w:r>
    </w:p>
    <w:p w14:paraId="1E8D7535" w14:textId="77777777" w:rsidR="00212A8B" w:rsidRDefault="00212A8B" w:rsidP="00212A8B">
      <w:pPr>
        <w:jc w:val="both"/>
        <w:rPr>
          <w:rFonts w:ascii="Arial" w:hAnsi="Arial" w:cs="Arial"/>
          <w:sz w:val="22"/>
          <w:szCs w:val="22"/>
          <w:lang w:val="en-GB"/>
        </w:rPr>
      </w:pPr>
    </w:p>
    <w:p w14:paraId="3443507F" w14:textId="1AA32E86" w:rsidR="00212A8B" w:rsidRDefault="00212A8B" w:rsidP="00A16034">
      <w:pPr>
        <w:pStyle w:val="ListParagraph"/>
        <w:numPr>
          <w:ilvl w:val="0"/>
          <w:numId w:val="11"/>
        </w:numPr>
        <w:jc w:val="both"/>
        <w:rPr>
          <w:rFonts w:ascii="Arial" w:hAnsi="Arial" w:cs="Arial"/>
          <w:sz w:val="22"/>
          <w:szCs w:val="22"/>
          <w:lang w:val="en-GB"/>
        </w:rPr>
      </w:pPr>
      <w:r>
        <w:rPr>
          <w:rFonts w:ascii="Arial" w:hAnsi="Arial" w:cs="Arial"/>
          <w:sz w:val="22"/>
          <w:szCs w:val="22"/>
          <w:lang w:val="en-GB"/>
        </w:rPr>
        <w:t xml:space="preserve">A debtor must show that it </w:t>
      </w:r>
      <w:r w:rsidRPr="00212A8B">
        <w:rPr>
          <w:rFonts w:ascii="Arial" w:hAnsi="Arial" w:cs="Arial"/>
          <w:sz w:val="22"/>
          <w:szCs w:val="22"/>
          <w:lang w:val="en-GB"/>
        </w:rPr>
        <w:t>is unable to obtain credit otherwise</w:t>
      </w:r>
      <w:r>
        <w:rPr>
          <w:rFonts w:ascii="Arial" w:hAnsi="Arial" w:cs="Arial"/>
          <w:sz w:val="22"/>
          <w:szCs w:val="22"/>
          <w:lang w:val="en-GB"/>
        </w:rPr>
        <w:t xml:space="preserve"> and</w:t>
      </w:r>
    </w:p>
    <w:p w14:paraId="71C416B9" w14:textId="6AFEFA6F" w:rsidR="00212A8B" w:rsidRPr="00212A8B" w:rsidRDefault="00212A8B" w:rsidP="00A16034">
      <w:pPr>
        <w:pStyle w:val="ListParagraph"/>
        <w:numPr>
          <w:ilvl w:val="0"/>
          <w:numId w:val="11"/>
        </w:numPr>
        <w:jc w:val="both"/>
        <w:rPr>
          <w:rFonts w:ascii="Arial" w:hAnsi="Arial" w:cs="Arial"/>
          <w:sz w:val="22"/>
          <w:szCs w:val="22"/>
          <w:lang w:val="en-GB"/>
        </w:rPr>
      </w:pPr>
      <w:r>
        <w:rPr>
          <w:rFonts w:ascii="Arial" w:hAnsi="Arial" w:cs="Arial"/>
          <w:sz w:val="22"/>
          <w:szCs w:val="22"/>
          <w:lang w:val="en-GB"/>
        </w:rPr>
        <w:t>T</w:t>
      </w:r>
      <w:r w:rsidRPr="00212A8B">
        <w:rPr>
          <w:rFonts w:ascii="Arial" w:hAnsi="Arial" w:cs="Arial"/>
          <w:sz w:val="22"/>
          <w:szCs w:val="22"/>
          <w:lang w:val="en-GB"/>
        </w:rPr>
        <w:t>he existing lienholder’s interest in its collateral is adequately protected notwithstanding the grant of the priming lien.</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47882763" w14:textId="364E60CE" w:rsidR="009954B2" w:rsidRPr="002F52B8" w:rsidRDefault="00777C53" w:rsidP="002F52B8">
      <w:pPr>
        <w:pStyle w:val="AODocTxt"/>
        <w:spacing w:before="0" w:line="240" w:lineRule="auto"/>
        <w:rPr>
          <w:rFonts w:ascii="Arial" w:hAnsi="Arial" w:cs="Arial"/>
        </w:rPr>
      </w:pPr>
      <w:r w:rsidRPr="00777C53">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14:paraId="296A8396" w14:textId="7ECCB9F3" w:rsidR="009954B2" w:rsidRDefault="00E21C7C" w:rsidP="00A16034">
      <w:pPr>
        <w:pStyle w:val="ListParagraph"/>
        <w:numPr>
          <w:ilvl w:val="0"/>
          <w:numId w:val="12"/>
        </w:numPr>
        <w:spacing w:before="120" w:after="120"/>
        <w:ind w:left="1077"/>
        <w:contextualSpacing w:val="0"/>
        <w:jc w:val="both"/>
        <w:rPr>
          <w:rFonts w:ascii="Arial" w:hAnsi="Arial" w:cs="Arial"/>
          <w:sz w:val="22"/>
          <w:szCs w:val="22"/>
          <w:lang w:val="en-GB"/>
        </w:rPr>
      </w:pPr>
      <w:r w:rsidRPr="00E21C7C">
        <w:rPr>
          <w:rFonts w:ascii="Arial" w:hAnsi="Arial" w:cs="Arial"/>
          <w:sz w:val="22"/>
          <w:szCs w:val="22"/>
          <w:lang w:val="en-GB"/>
        </w:rPr>
        <w:t xml:space="preserve">An </w:t>
      </w:r>
      <w:r>
        <w:rPr>
          <w:rFonts w:ascii="Arial" w:hAnsi="Arial" w:cs="Arial"/>
          <w:sz w:val="22"/>
          <w:szCs w:val="22"/>
          <w:lang w:val="en-GB"/>
        </w:rPr>
        <w:t>un</w:t>
      </w:r>
      <w:r w:rsidRPr="00E21C7C">
        <w:rPr>
          <w:rFonts w:ascii="Arial" w:hAnsi="Arial" w:cs="Arial"/>
          <w:sz w:val="22"/>
          <w:szCs w:val="22"/>
          <w:lang w:val="en-GB"/>
        </w:rPr>
        <w:t xml:space="preserve">impaired class is more likely to accept the plan. </w:t>
      </w:r>
    </w:p>
    <w:p w14:paraId="0F06ADCB" w14:textId="58CE2530" w:rsidR="00E21C7C" w:rsidRDefault="00E21C7C" w:rsidP="00A16034">
      <w:pPr>
        <w:pStyle w:val="ListParagraph"/>
        <w:numPr>
          <w:ilvl w:val="0"/>
          <w:numId w:val="12"/>
        </w:numPr>
        <w:spacing w:before="120" w:after="120"/>
        <w:ind w:left="1077"/>
        <w:contextualSpacing w:val="0"/>
        <w:jc w:val="both"/>
        <w:rPr>
          <w:rFonts w:ascii="Arial" w:hAnsi="Arial" w:cs="Arial"/>
          <w:sz w:val="22"/>
          <w:szCs w:val="22"/>
          <w:lang w:val="en-GB"/>
        </w:rPr>
      </w:pPr>
      <w:r>
        <w:rPr>
          <w:rFonts w:ascii="Arial" w:hAnsi="Arial" w:cs="Arial"/>
          <w:sz w:val="22"/>
          <w:szCs w:val="22"/>
          <w:lang w:val="en-GB"/>
        </w:rPr>
        <w:t xml:space="preserve">However, a class that will receive nothing will deemed to reject the plan. </w:t>
      </w:r>
    </w:p>
    <w:p w14:paraId="77759932" w14:textId="4DE03E3F" w:rsidR="00E21C7C" w:rsidRPr="00E21C7C" w:rsidRDefault="00E21C7C" w:rsidP="00A16034">
      <w:pPr>
        <w:pStyle w:val="ListParagraph"/>
        <w:numPr>
          <w:ilvl w:val="0"/>
          <w:numId w:val="12"/>
        </w:numPr>
        <w:spacing w:before="120" w:after="120"/>
        <w:ind w:left="1077"/>
        <w:contextualSpacing w:val="0"/>
        <w:jc w:val="both"/>
        <w:rPr>
          <w:rFonts w:ascii="Arial" w:hAnsi="Arial" w:cs="Arial"/>
          <w:sz w:val="22"/>
          <w:szCs w:val="22"/>
          <w:lang w:val="en-GB"/>
        </w:rPr>
      </w:pPr>
      <w:r>
        <w:rPr>
          <w:rFonts w:ascii="Arial" w:hAnsi="Arial" w:cs="Arial"/>
          <w:sz w:val="22"/>
          <w:szCs w:val="22"/>
          <w:lang w:val="en-GB"/>
        </w:rPr>
        <w:t xml:space="preserve">Impaired classes are </w:t>
      </w:r>
      <w:r w:rsidRPr="00E21C7C">
        <w:rPr>
          <w:rFonts w:ascii="Arial" w:hAnsi="Arial" w:cs="Arial"/>
          <w:sz w:val="22"/>
          <w:szCs w:val="22"/>
          <w:lang w:val="en-GB"/>
        </w:rPr>
        <w:t>the only ones entitled to vote on the plan</w:t>
      </w:r>
      <w:r>
        <w:rPr>
          <w:rFonts w:ascii="Arial" w:hAnsi="Arial" w:cs="Arial"/>
          <w:sz w:val="22"/>
          <w:szCs w:val="22"/>
          <w:lang w:val="en-GB"/>
        </w:rPr>
        <w:t xml:space="preserve">// </w:t>
      </w:r>
      <w:r w:rsidR="002F52B8">
        <w:rPr>
          <w:rFonts w:ascii="Arial" w:hAnsi="Arial" w:cs="Arial"/>
          <w:sz w:val="22"/>
          <w:szCs w:val="22"/>
          <w:lang w:val="en-GB"/>
        </w:rPr>
        <w:t>As explained in the Guidance Text, a</w:t>
      </w:r>
      <w:r>
        <w:rPr>
          <w:rFonts w:ascii="Arial" w:hAnsi="Arial" w:cs="Arial"/>
          <w:sz w:val="22"/>
          <w:szCs w:val="22"/>
          <w:lang w:val="en-GB"/>
        </w:rPr>
        <w:t xml:space="preserve"> specific class of creditors requires a simple majority of the creditors in the class to approve the plan, which hold at least two-thirds of the value of the claims in the class, vote in favour or, for equity interests, if two- thirds in amount of interests vote in favour.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315C79E6" w14:textId="4A6DCAAA" w:rsidR="00AC40D5" w:rsidRDefault="00AC40D5" w:rsidP="00AC40D5">
      <w:pPr>
        <w:ind w:hanging="11"/>
        <w:jc w:val="both"/>
        <w:rPr>
          <w:rFonts w:ascii="Arial" w:hAnsi="Arial" w:cs="Arial"/>
          <w:sz w:val="22"/>
          <w:szCs w:val="22"/>
          <w:lang w:val="en-GB"/>
        </w:rPr>
      </w:pPr>
      <w:r w:rsidRPr="00AC40D5">
        <w:rPr>
          <w:rFonts w:ascii="Arial" w:hAnsi="Arial" w:cs="Arial"/>
          <w:sz w:val="22"/>
          <w:szCs w:val="22"/>
          <w:lang w:val="en-GB"/>
        </w:rPr>
        <w:t xml:space="preserve">One of the key points of Chapter 11 is that the voluntary petition is opened immediately, imposing a </w:t>
      </w:r>
      <w:r>
        <w:rPr>
          <w:rFonts w:ascii="Arial" w:hAnsi="Arial" w:cs="Arial"/>
          <w:sz w:val="22"/>
          <w:szCs w:val="22"/>
          <w:lang w:val="en-GB"/>
        </w:rPr>
        <w:t xml:space="preserve">statutory </w:t>
      </w:r>
      <w:r w:rsidRPr="00AC40D5">
        <w:rPr>
          <w:rFonts w:ascii="Arial" w:hAnsi="Arial" w:cs="Arial"/>
          <w:sz w:val="22"/>
          <w:szCs w:val="22"/>
          <w:lang w:val="en-GB"/>
        </w:rPr>
        <w:t xml:space="preserve">automatic </w:t>
      </w:r>
      <w:r>
        <w:rPr>
          <w:rFonts w:ascii="Arial" w:hAnsi="Arial" w:cs="Arial"/>
          <w:sz w:val="22"/>
          <w:szCs w:val="22"/>
          <w:lang w:val="en-GB"/>
        </w:rPr>
        <w:t>stay</w:t>
      </w:r>
      <w:r w:rsidRPr="00AC40D5">
        <w:rPr>
          <w:rFonts w:ascii="Arial" w:hAnsi="Arial" w:cs="Arial"/>
          <w:sz w:val="22"/>
          <w:szCs w:val="22"/>
          <w:lang w:val="en-GB"/>
        </w:rPr>
        <w:t xml:space="preserve"> for creditors.</w:t>
      </w:r>
    </w:p>
    <w:p w14:paraId="2E2E55FE" w14:textId="77777777" w:rsidR="00AC40D5" w:rsidRDefault="00AC40D5" w:rsidP="00AC40D5">
      <w:pPr>
        <w:ind w:hanging="11"/>
        <w:jc w:val="both"/>
        <w:rPr>
          <w:rFonts w:ascii="Arial" w:hAnsi="Arial" w:cs="Arial"/>
          <w:sz w:val="22"/>
          <w:szCs w:val="22"/>
          <w:lang w:val="en-GB"/>
        </w:rPr>
      </w:pPr>
    </w:p>
    <w:p w14:paraId="7CB2AED9" w14:textId="54754171" w:rsidR="00AC40D5" w:rsidRPr="00AC40D5" w:rsidRDefault="00AC40D5" w:rsidP="00AC40D5">
      <w:pPr>
        <w:ind w:hanging="11"/>
        <w:jc w:val="both"/>
        <w:rPr>
          <w:rFonts w:ascii="Arial" w:hAnsi="Arial" w:cs="Arial"/>
          <w:sz w:val="22"/>
          <w:szCs w:val="22"/>
          <w:lang w:val="en-GB"/>
        </w:rPr>
      </w:pPr>
      <w:r w:rsidRPr="00AC40D5">
        <w:rPr>
          <w:rFonts w:ascii="Arial" w:hAnsi="Arial" w:cs="Arial"/>
          <w:sz w:val="22"/>
          <w:szCs w:val="22"/>
          <w:lang w:val="en-GB"/>
        </w:rPr>
        <w:t>However, in a case under chapter 15, a filing of the petition itself does not automatically imply a stay of the creditor's action</w:t>
      </w:r>
      <w:r>
        <w:rPr>
          <w:rFonts w:ascii="Arial" w:hAnsi="Arial" w:cs="Arial"/>
          <w:sz w:val="22"/>
          <w:szCs w:val="22"/>
          <w:lang w:val="en-GB"/>
        </w:rPr>
        <w:t>. As it is explained in the Guidance text, under this chapter, t</w:t>
      </w:r>
      <w:r w:rsidRPr="00AC40D5">
        <w:rPr>
          <w:rFonts w:ascii="Arial" w:hAnsi="Arial" w:cs="Arial"/>
          <w:sz w:val="22"/>
          <w:szCs w:val="22"/>
          <w:lang w:val="en-GB"/>
        </w:rPr>
        <w:t xml:space="preserve">he stay arises only upon </w:t>
      </w:r>
      <w:r>
        <w:rPr>
          <w:rFonts w:ascii="Arial" w:hAnsi="Arial" w:cs="Arial"/>
          <w:sz w:val="22"/>
          <w:szCs w:val="22"/>
          <w:lang w:val="en-GB"/>
        </w:rPr>
        <w:t>petition</w:t>
      </w:r>
      <w:r w:rsidRPr="00AC40D5">
        <w:rPr>
          <w:rFonts w:ascii="Arial" w:hAnsi="Arial" w:cs="Arial"/>
          <w:sz w:val="22"/>
          <w:szCs w:val="22"/>
          <w:lang w:val="en-GB"/>
        </w:rPr>
        <w:t xml:space="preserve"> for recognition of the grant of a foreign main</w:t>
      </w:r>
      <w:r>
        <w:rPr>
          <w:rFonts w:ascii="Arial" w:hAnsi="Arial" w:cs="Arial"/>
          <w:sz w:val="22"/>
          <w:szCs w:val="22"/>
          <w:lang w:val="en-GB"/>
        </w:rPr>
        <w:t xml:space="preserve"> proceeding </w:t>
      </w:r>
      <w:r w:rsidRPr="00AC40D5">
        <w:rPr>
          <w:rFonts w:ascii="Arial" w:hAnsi="Arial" w:cs="Arial"/>
          <w:sz w:val="22"/>
          <w:szCs w:val="22"/>
          <w:lang w:val="en-GB"/>
        </w:rPr>
        <w:t xml:space="preserve">and </w:t>
      </w:r>
      <w:r>
        <w:rPr>
          <w:rFonts w:ascii="Arial" w:hAnsi="Arial" w:cs="Arial"/>
          <w:sz w:val="22"/>
          <w:szCs w:val="22"/>
          <w:lang w:val="en-GB"/>
        </w:rPr>
        <w:t xml:space="preserve">it </w:t>
      </w:r>
      <w:r w:rsidRPr="00AC40D5">
        <w:rPr>
          <w:rFonts w:ascii="Arial" w:hAnsi="Arial" w:cs="Arial"/>
          <w:sz w:val="22"/>
          <w:szCs w:val="22"/>
          <w:lang w:val="en-GB"/>
        </w:rPr>
        <w:t>is limited to the debtor's property within the territorial jurisdiction of the United States.</w:t>
      </w:r>
      <w:r>
        <w:rPr>
          <w:rFonts w:ascii="Arial" w:hAnsi="Arial" w:cs="Arial"/>
          <w:sz w:val="22"/>
          <w:szCs w:val="22"/>
          <w:lang w:val="en-GB"/>
        </w:rPr>
        <w:t xml:space="preserve"> </w:t>
      </w:r>
      <w:r w:rsidRPr="00AC40D5">
        <w:rPr>
          <w:rFonts w:ascii="Arial" w:hAnsi="Arial" w:cs="Arial"/>
          <w:sz w:val="22"/>
          <w:szCs w:val="22"/>
          <w:lang w:val="en-GB"/>
        </w:rPr>
        <w:t>The Bankruptcy Court may grant a stay or other</w:t>
      </w:r>
      <w:r>
        <w:rPr>
          <w:rFonts w:ascii="Arial" w:hAnsi="Arial" w:cs="Arial"/>
          <w:sz w:val="22"/>
          <w:szCs w:val="22"/>
          <w:lang w:val="en-GB"/>
        </w:rPr>
        <w:t xml:space="preserve"> </w:t>
      </w:r>
      <w:r w:rsidRPr="00AC40D5">
        <w:rPr>
          <w:rFonts w:ascii="Arial" w:hAnsi="Arial" w:cs="Arial"/>
          <w:sz w:val="22"/>
          <w:szCs w:val="22"/>
          <w:lang w:val="en-GB"/>
        </w:rPr>
        <w:t>or other relief on an interim basis pending recognition or upon recognition of a non-main proceeding.</w:t>
      </w:r>
    </w:p>
    <w:p w14:paraId="5ECBB466" w14:textId="77777777" w:rsidR="00AC40D5" w:rsidRPr="00AC40D5" w:rsidRDefault="00AC40D5" w:rsidP="00AC40D5">
      <w:pPr>
        <w:ind w:left="720" w:hanging="720"/>
        <w:jc w:val="both"/>
        <w:rPr>
          <w:rFonts w:ascii="Arial" w:hAnsi="Arial" w:cs="Arial"/>
          <w:sz w:val="22"/>
          <w:szCs w:val="22"/>
          <w:lang w:val="en-GB"/>
        </w:rPr>
      </w:pPr>
    </w:p>
    <w:p w14:paraId="0E8ACFC6" w14:textId="19718DBF" w:rsidR="00DE5357" w:rsidRDefault="00AC40D5" w:rsidP="00AC40D5">
      <w:pPr>
        <w:ind w:hanging="11"/>
        <w:jc w:val="both"/>
        <w:rPr>
          <w:rFonts w:ascii="Arial" w:hAnsi="Arial" w:cs="Arial"/>
          <w:sz w:val="22"/>
          <w:szCs w:val="22"/>
          <w:lang w:val="en-GB"/>
        </w:rPr>
      </w:pPr>
      <w:r w:rsidRPr="00AC40D5">
        <w:rPr>
          <w:rFonts w:ascii="Arial" w:hAnsi="Arial" w:cs="Arial"/>
          <w:sz w:val="22"/>
          <w:szCs w:val="22"/>
          <w:lang w:val="en-GB"/>
        </w:rPr>
        <w:t>The requirements for determining whether or not to grant</w:t>
      </w:r>
      <w:r>
        <w:rPr>
          <w:rFonts w:ascii="Arial" w:hAnsi="Arial" w:cs="Arial"/>
          <w:sz w:val="22"/>
          <w:szCs w:val="22"/>
          <w:lang w:val="en-GB"/>
        </w:rPr>
        <w:t xml:space="preserve"> interim relief are the same as those applicable to request for an injunction. These are: </w:t>
      </w:r>
    </w:p>
    <w:p w14:paraId="3457A065" w14:textId="13282EA1" w:rsidR="00AC40D5" w:rsidRPr="00AC40D5" w:rsidRDefault="00AC40D5" w:rsidP="00A16034">
      <w:pPr>
        <w:pStyle w:val="ListParagraph"/>
        <w:numPr>
          <w:ilvl w:val="0"/>
          <w:numId w:val="13"/>
        </w:numPr>
        <w:jc w:val="both"/>
        <w:rPr>
          <w:rFonts w:ascii="Arial" w:hAnsi="Arial" w:cs="Arial"/>
          <w:sz w:val="22"/>
          <w:szCs w:val="22"/>
          <w:lang w:val="en-GB"/>
        </w:rPr>
      </w:pPr>
      <w:r w:rsidRPr="00AC40D5">
        <w:rPr>
          <w:rFonts w:ascii="Arial" w:hAnsi="Arial" w:cs="Arial"/>
          <w:sz w:val="22"/>
          <w:szCs w:val="22"/>
          <w:lang w:val="en-GB"/>
        </w:rPr>
        <w:t xml:space="preserve">Likelihood of success on the merits. </w:t>
      </w:r>
    </w:p>
    <w:p w14:paraId="07918A6B" w14:textId="4B288431" w:rsidR="00AC40D5" w:rsidRPr="00AC40D5" w:rsidRDefault="00AC40D5" w:rsidP="00A16034">
      <w:pPr>
        <w:pStyle w:val="ListParagraph"/>
        <w:numPr>
          <w:ilvl w:val="0"/>
          <w:numId w:val="13"/>
        </w:numPr>
        <w:jc w:val="both"/>
        <w:rPr>
          <w:rFonts w:ascii="Arial" w:hAnsi="Arial" w:cs="Arial"/>
          <w:sz w:val="22"/>
          <w:szCs w:val="22"/>
          <w:lang w:val="en-GB"/>
        </w:rPr>
      </w:pPr>
      <w:r w:rsidRPr="00AC40D5">
        <w:rPr>
          <w:rFonts w:ascii="Arial" w:hAnsi="Arial" w:cs="Arial"/>
          <w:sz w:val="22"/>
          <w:szCs w:val="22"/>
          <w:lang w:val="en-GB"/>
        </w:rPr>
        <w:t xml:space="preserve">Risk of irreparable harm. </w:t>
      </w:r>
    </w:p>
    <w:p w14:paraId="6C642556" w14:textId="0C936492" w:rsidR="00AC40D5" w:rsidRPr="00AC40D5" w:rsidRDefault="00AC40D5" w:rsidP="00A16034">
      <w:pPr>
        <w:pStyle w:val="ListParagraph"/>
        <w:numPr>
          <w:ilvl w:val="0"/>
          <w:numId w:val="13"/>
        </w:numPr>
        <w:jc w:val="both"/>
        <w:rPr>
          <w:rFonts w:ascii="Arial" w:hAnsi="Arial" w:cs="Arial"/>
          <w:sz w:val="22"/>
          <w:szCs w:val="22"/>
          <w:lang w:val="en-GB"/>
        </w:rPr>
      </w:pPr>
      <w:r w:rsidRPr="00AC40D5">
        <w:rPr>
          <w:rFonts w:ascii="Arial" w:hAnsi="Arial" w:cs="Arial"/>
          <w:sz w:val="22"/>
          <w:szCs w:val="22"/>
          <w:lang w:val="en-GB"/>
        </w:rPr>
        <w:t xml:space="preserve">Balancing of the equities. </w:t>
      </w:r>
    </w:p>
    <w:p w14:paraId="0D85E825" w14:textId="7104AFC0" w:rsidR="00AC40D5" w:rsidRPr="00AC40D5" w:rsidRDefault="00AC40D5" w:rsidP="00A16034">
      <w:pPr>
        <w:pStyle w:val="ListParagraph"/>
        <w:numPr>
          <w:ilvl w:val="0"/>
          <w:numId w:val="13"/>
        </w:numPr>
        <w:jc w:val="both"/>
        <w:rPr>
          <w:rFonts w:ascii="Arial" w:hAnsi="Arial" w:cs="Arial"/>
          <w:color w:val="7B7B7B" w:themeColor="accent3" w:themeShade="BF"/>
          <w:sz w:val="22"/>
          <w:szCs w:val="22"/>
          <w:lang w:val="en-GB"/>
        </w:rPr>
      </w:pPr>
      <w:r w:rsidRPr="00AC40D5">
        <w:rPr>
          <w:rFonts w:ascii="Arial" w:hAnsi="Arial" w:cs="Arial"/>
          <w:sz w:val="22"/>
          <w:szCs w:val="22"/>
          <w:lang w:val="en-GB"/>
        </w:rPr>
        <w:t xml:space="preserve">Public interest. </w:t>
      </w:r>
    </w:p>
    <w:p w14:paraId="5BD74A57" w14:textId="77777777" w:rsidR="00AC40D5" w:rsidRPr="00AC40D5" w:rsidRDefault="00AC40D5" w:rsidP="00AC40D5">
      <w:pPr>
        <w:pStyle w:val="ListParagraph"/>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501ED8D6" w:rsidR="00544127" w:rsidRDefault="00544127" w:rsidP="002A37BB">
      <w:pPr>
        <w:jc w:val="both"/>
        <w:rPr>
          <w:rFonts w:ascii="Arial" w:hAnsi="Arial" w:cs="Arial"/>
          <w:color w:val="7B7B7B" w:themeColor="accent3" w:themeShade="BF"/>
          <w:sz w:val="22"/>
          <w:szCs w:val="22"/>
          <w:lang w:val="en-GB"/>
        </w:rPr>
      </w:pPr>
    </w:p>
    <w:p w14:paraId="4A715EA3" w14:textId="63AD9B84" w:rsidR="00580518" w:rsidRDefault="00580518" w:rsidP="002A37BB">
      <w:pPr>
        <w:jc w:val="both"/>
        <w:rPr>
          <w:rFonts w:ascii="Arial" w:hAnsi="Arial" w:cs="Arial"/>
          <w:sz w:val="22"/>
          <w:szCs w:val="22"/>
        </w:rPr>
      </w:pPr>
      <w:r w:rsidRPr="00580518">
        <w:rPr>
          <w:rFonts w:ascii="Arial" w:hAnsi="Arial" w:cs="Arial"/>
          <w:sz w:val="22"/>
          <w:szCs w:val="22"/>
        </w:rPr>
        <w:t>As referred to in the guide text,</w:t>
      </w:r>
      <w:r>
        <w:rPr>
          <w:rFonts w:ascii="Arial" w:hAnsi="Arial" w:cs="Arial"/>
          <w:sz w:val="22"/>
          <w:szCs w:val="22"/>
        </w:rPr>
        <w:t xml:space="preserve"> d</w:t>
      </w:r>
      <w:r w:rsidRPr="00580518">
        <w:rPr>
          <w:rFonts w:ascii="Arial" w:hAnsi="Arial" w:cs="Arial"/>
          <w:sz w:val="22"/>
          <w:szCs w:val="22"/>
        </w:rPr>
        <w:t>irector liability is a matter for state law of the state of incorporation</w:t>
      </w:r>
      <w:r>
        <w:rPr>
          <w:rFonts w:ascii="Arial" w:hAnsi="Arial" w:cs="Arial"/>
          <w:sz w:val="22"/>
          <w:szCs w:val="22"/>
        </w:rPr>
        <w:t xml:space="preserve">, with Delaware being the </w:t>
      </w:r>
      <w:r w:rsidRPr="00580518">
        <w:rPr>
          <w:rFonts w:ascii="Arial" w:hAnsi="Arial" w:cs="Arial"/>
          <w:sz w:val="22"/>
          <w:szCs w:val="22"/>
        </w:rPr>
        <w:t>preeminent US jurisdiction for corporate law</w:t>
      </w:r>
      <w:r>
        <w:rPr>
          <w:rFonts w:ascii="Arial" w:hAnsi="Arial" w:cs="Arial"/>
          <w:sz w:val="22"/>
          <w:szCs w:val="22"/>
        </w:rPr>
        <w:t xml:space="preserve">. </w:t>
      </w:r>
      <w:r w:rsidRPr="00580518">
        <w:rPr>
          <w:rFonts w:ascii="Arial" w:hAnsi="Arial" w:cs="Arial"/>
          <w:sz w:val="22"/>
          <w:szCs w:val="22"/>
        </w:rPr>
        <w:t>Under Delaware law, corporate directors have the following duties:</w:t>
      </w:r>
    </w:p>
    <w:p w14:paraId="1633F345" w14:textId="4717F8F8" w:rsidR="00580518" w:rsidRPr="00580518" w:rsidRDefault="00580518" w:rsidP="00A16034">
      <w:pPr>
        <w:pStyle w:val="ListParagraph"/>
        <w:numPr>
          <w:ilvl w:val="0"/>
          <w:numId w:val="14"/>
        </w:numPr>
        <w:jc w:val="both"/>
        <w:rPr>
          <w:rFonts w:ascii="Arial" w:hAnsi="Arial" w:cs="Arial"/>
          <w:sz w:val="22"/>
          <w:szCs w:val="22"/>
        </w:rPr>
      </w:pPr>
      <w:r w:rsidRPr="00580518">
        <w:rPr>
          <w:rFonts w:ascii="Arial" w:hAnsi="Arial" w:cs="Arial"/>
          <w:sz w:val="22"/>
          <w:szCs w:val="22"/>
        </w:rPr>
        <w:t xml:space="preserve">Fiduciary duty of loyalty to the corporation’s best interest. </w:t>
      </w:r>
    </w:p>
    <w:p w14:paraId="7DB70BE5" w14:textId="5BC1BE47" w:rsidR="00580518" w:rsidRPr="00580518" w:rsidRDefault="00580518" w:rsidP="00A16034">
      <w:pPr>
        <w:pStyle w:val="ListParagraph"/>
        <w:numPr>
          <w:ilvl w:val="0"/>
          <w:numId w:val="14"/>
        </w:numPr>
        <w:jc w:val="both"/>
        <w:rPr>
          <w:rFonts w:ascii="Arial" w:hAnsi="Arial" w:cs="Arial"/>
          <w:sz w:val="22"/>
          <w:szCs w:val="22"/>
        </w:rPr>
      </w:pPr>
      <w:r w:rsidRPr="00580518">
        <w:rPr>
          <w:rFonts w:ascii="Arial" w:hAnsi="Arial" w:cs="Arial"/>
          <w:sz w:val="22"/>
          <w:szCs w:val="22"/>
        </w:rPr>
        <w:t>Duty of care in educated decision-making.</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4F5A322C" w:rsidR="00E653A0" w:rsidRDefault="007E4DBC" w:rsidP="00455018">
      <w:pPr>
        <w:jc w:val="both"/>
        <w:rPr>
          <w:rFonts w:ascii="Arial" w:hAnsi="Arial" w:cs="Arial"/>
          <w:sz w:val="22"/>
          <w:szCs w:val="22"/>
        </w:rPr>
      </w:pPr>
      <w:r w:rsidRPr="00580518">
        <w:rPr>
          <w:rFonts w:ascii="Arial" w:hAnsi="Arial" w:cs="Arial"/>
          <w:sz w:val="22"/>
          <w:szCs w:val="22"/>
        </w:rPr>
        <w:t>These duties</w:t>
      </w:r>
      <w:r w:rsidR="00580518" w:rsidRPr="00580518">
        <w:rPr>
          <w:rFonts w:ascii="Arial" w:hAnsi="Arial" w:cs="Arial"/>
          <w:sz w:val="22"/>
          <w:szCs w:val="22"/>
        </w:rPr>
        <w:t xml:space="preserve"> are owed to the corporation and its shareholders</w:t>
      </w:r>
      <w:r w:rsidR="00580518">
        <w:rPr>
          <w:rFonts w:ascii="Arial" w:hAnsi="Arial" w:cs="Arial"/>
          <w:sz w:val="22"/>
          <w:szCs w:val="22"/>
        </w:rPr>
        <w:t xml:space="preserve">, but not to creditors, even </w:t>
      </w:r>
      <w:r>
        <w:rPr>
          <w:rFonts w:ascii="Arial" w:hAnsi="Arial" w:cs="Arial"/>
          <w:sz w:val="22"/>
          <w:szCs w:val="22"/>
        </w:rPr>
        <w:t xml:space="preserve">though where the corporation is potentially insolvent and, thus, the shareholders stand to receive nothing in bankruptcy. </w:t>
      </w:r>
    </w:p>
    <w:p w14:paraId="21D7DDB2" w14:textId="5243AC4F" w:rsidR="007E4DBC" w:rsidRDefault="007E4DBC" w:rsidP="00455018">
      <w:pPr>
        <w:jc w:val="both"/>
        <w:rPr>
          <w:rFonts w:ascii="Arial" w:hAnsi="Arial" w:cs="Arial"/>
          <w:sz w:val="22"/>
          <w:szCs w:val="22"/>
        </w:rPr>
      </w:pPr>
    </w:p>
    <w:p w14:paraId="43500CC5" w14:textId="77777777" w:rsidR="007E4DBC" w:rsidRDefault="007E4DBC" w:rsidP="00455018">
      <w:pPr>
        <w:jc w:val="both"/>
        <w:rPr>
          <w:rFonts w:ascii="Arial" w:hAnsi="Arial" w:cs="Arial"/>
          <w:sz w:val="22"/>
          <w:szCs w:val="22"/>
        </w:rPr>
      </w:pPr>
      <w:r w:rsidRPr="007E4DBC">
        <w:rPr>
          <w:rFonts w:ascii="Arial" w:hAnsi="Arial" w:cs="Arial"/>
          <w:sz w:val="22"/>
          <w:szCs w:val="22"/>
        </w:rPr>
        <w:t>The Delaware Supreme Court has settled any suggestion that directors have obligations to creditors when a company is operating "in the zone of insolvency",</w:t>
      </w:r>
      <w:r>
        <w:rPr>
          <w:rFonts w:ascii="Arial" w:hAnsi="Arial" w:cs="Arial"/>
          <w:sz w:val="22"/>
          <w:szCs w:val="22"/>
        </w:rPr>
        <w:t xml:space="preserve"> </w:t>
      </w:r>
      <w:r w:rsidRPr="007E4DBC">
        <w:rPr>
          <w:rFonts w:ascii="Arial" w:hAnsi="Arial" w:cs="Arial"/>
          <w:sz w:val="22"/>
          <w:szCs w:val="22"/>
        </w:rPr>
        <w:t>or is in fact insolvent.</w:t>
      </w:r>
      <w:r>
        <w:rPr>
          <w:rFonts w:ascii="Arial" w:hAnsi="Arial" w:cs="Arial"/>
          <w:sz w:val="22"/>
          <w:szCs w:val="22"/>
        </w:rPr>
        <w:t xml:space="preserve"> </w:t>
      </w:r>
    </w:p>
    <w:p w14:paraId="2B1C6D46" w14:textId="77777777" w:rsidR="007E4DBC" w:rsidRDefault="007E4DBC" w:rsidP="00455018">
      <w:pPr>
        <w:jc w:val="both"/>
        <w:rPr>
          <w:rFonts w:ascii="Arial" w:hAnsi="Arial" w:cs="Arial"/>
          <w:sz w:val="22"/>
          <w:szCs w:val="22"/>
        </w:rPr>
      </w:pPr>
    </w:p>
    <w:p w14:paraId="0B2BF0E7" w14:textId="11950258" w:rsidR="007E4DBC" w:rsidRDefault="007E4DBC" w:rsidP="00455018">
      <w:pPr>
        <w:jc w:val="both"/>
        <w:rPr>
          <w:rFonts w:ascii="Arial" w:hAnsi="Arial" w:cs="Arial"/>
          <w:sz w:val="22"/>
          <w:szCs w:val="22"/>
        </w:rPr>
      </w:pPr>
      <w:r w:rsidRPr="007E4DBC">
        <w:rPr>
          <w:rFonts w:ascii="Arial" w:hAnsi="Arial" w:cs="Arial"/>
          <w:sz w:val="22"/>
          <w:szCs w:val="22"/>
        </w:rPr>
        <w:t xml:space="preserve">Specifically, this issue was addressed in </w:t>
      </w:r>
      <w:r w:rsidRPr="007E4DBC">
        <w:rPr>
          <w:rFonts w:ascii="Arial" w:hAnsi="Arial" w:cs="Arial"/>
          <w:i/>
          <w:iCs/>
          <w:sz w:val="22"/>
          <w:szCs w:val="22"/>
        </w:rPr>
        <w:t xml:space="preserve">North Am Catholic Educational Programming Foundation, Inc v </w:t>
      </w:r>
      <w:proofErr w:type="spellStart"/>
      <w:r w:rsidRPr="007E4DBC">
        <w:rPr>
          <w:rFonts w:ascii="Arial" w:hAnsi="Arial" w:cs="Arial"/>
          <w:i/>
          <w:iCs/>
          <w:sz w:val="22"/>
          <w:szCs w:val="22"/>
        </w:rPr>
        <w:t>Gheewalla</w:t>
      </w:r>
      <w:proofErr w:type="spellEnd"/>
      <w:r w:rsidRPr="007E4DBC">
        <w:rPr>
          <w:rFonts w:ascii="Arial" w:hAnsi="Arial" w:cs="Arial"/>
          <w:i/>
          <w:iCs/>
          <w:sz w:val="22"/>
          <w:szCs w:val="22"/>
        </w:rPr>
        <w:t>, 930 A.2d 92, 103 (Del 2007)</w:t>
      </w:r>
      <w:r>
        <w:rPr>
          <w:rFonts w:ascii="Arial" w:hAnsi="Arial" w:cs="Arial"/>
          <w:sz w:val="22"/>
          <w:szCs w:val="22"/>
        </w:rPr>
        <w:t xml:space="preserve"> case, where the Delaware Supreme Court stated the following: </w:t>
      </w:r>
    </w:p>
    <w:p w14:paraId="1C87B234" w14:textId="1CCC2C44" w:rsidR="007E4DBC" w:rsidRDefault="007E4DBC" w:rsidP="00455018">
      <w:pPr>
        <w:jc w:val="both"/>
        <w:rPr>
          <w:rFonts w:ascii="Arial" w:hAnsi="Arial" w:cs="Arial"/>
          <w:sz w:val="22"/>
          <w:szCs w:val="22"/>
        </w:rPr>
      </w:pPr>
    </w:p>
    <w:p w14:paraId="5FCAE918" w14:textId="50242130" w:rsidR="007E4DBC" w:rsidRPr="00B75E42" w:rsidRDefault="00B75E42" w:rsidP="00B75E42">
      <w:pPr>
        <w:ind w:left="567" w:right="521"/>
        <w:jc w:val="both"/>
        <w:rPr>
          <w:rFonts w:ascii="Arial" w:hAnsi="Arial" w:cs="Arial"/>
          <w:i/>
          <w:iCs/>
          <w:sz w:val="22"/>
          <w:szCs w:val="22"/>
        </w:rPr>
      </w:pPr>
      <w:r w:rsidRPr="00B75E42">
        <w:rPr>
          <w:rFonts w:ascii="Arial" w:hAnsi="Arial" w:cs="Arial"/>
          <w:i/>
          <w:iCs/>
          <w:sz w:val="22"/>
          <w:szCs w:val="22"/>
        </w:rPr>
        <w:t>“[I]</w:t>
      </w:r>
      <w:proofErr w:type="spellStart"/>
      <w:r w:rsidRPr="00B75E42">
        <w:rPr>
          <w:rFonts w:ascii="Arial" w:hAnsi="Arial" w:cs="Arial"/>
          <w:i/>
          <w:iCs/>
          <w:sz w:val="22"/>
          <w:szCs w:val="22"/>
        </w:rPr>
        <w:t>ndividual</w:t>
      </w:r>
      <w:proofErr w:type="spellEnd"/>
      <w:r w:rsidRPr="00B75E42">
        <w:rPr>
          <w:rFonts w:ascii="Arial" w:hAnsi="Arial" w:cs="Arial"/>
          <w:i/>
          <w:iCs/>
          <w:sz w:val="22"/>
          <w:szCs w:val="22"/>
        </w:rPr>
        <w:t xml:space="preserve"> creditors of an insolvent corporation have no right to assert direct claims for breach of fiduciary duty against corporate directors. Creditors may nonetheless protect their interest by bringing derivative claims on behalf of the insolvent corporation or any other direct nonfiduciary claim....”</w:t>
      </w:r>
    </w:p>
    <w:p w14:paraId="27D1F2E3" w14:textId="5846E6A8" w:rsidR="007E4DBC" w:rsidRDefault="007E4DBC" w:rsidP="00455018">
      <w:pPr>
        <w:jc w:val="both"/>
        <w:rPr>
          <w:rFonts w:ascii="Arial" w:hAnsi="Arial" w:cs="Arial"/>
          <w:sz w:val="22"/>
          <w:szCs w:val="22"/>
        </w:rPr>
      </w:pPr>
    </w:p>
    <w:p w14:paraId="330B9D7D" w14:textId="43A4F096" w:rsidR="00B75E42" w:rsidRDefault="00B75E42" w:rsidP="00455018">
      <w:pPr>
        <w:jc w:val="both"/>
        <w:rPr>
          <w:rFonts w:ascii="Arial" w:hAnsi="Arial" w:cs="Arial"/>
          <w:sz w:val="22"/>
          <w:szCs w:val="22"/>
        </w:rPr>
      </w:pPr>
      <w:r>
        <w:rPr>
          <w:rFonts w:ascii="Arial" w:hAnsi="Arial" w:cs="Arial"/>
          <w:sz w:val="22"/>
          <w:szCs w:val="22"/>
        </w:rPr>
        <w:t xml:space="preserve">As a result, there is no equivalent under US law of the concept of wrongful trading or deepening insolvency. </w:t>
      </w:r>
    </w:p>
    <w:p w14:paraId="29AE8BE7" w14:textId="77777777" w:rsidR="00B75E42" w:rsidRPr="00580518" w:rsidRDefault="00B75E42" w:rsidP="00455018">
      <w:pPr>
        <w:jc w:val="both"/>
        <w:rPr>
          <w:rFonts w:ascii="Arial" w:hAnsi="Arial" w:cs="Arial"/>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2956FBEC" w14:textId="1575F28C" w:rsidR="00CB7BE7" w:rsidRDefault="00CB7BE7" w:rsidP="00A16034">
      <w:pPr>
        <w:pStyle w:val="ListParagraph"/>
        <w:numPr>
          <w:ilvl w:val="0"/>
          <w:numId w:val="15"/>
        </w:numPr>
        <w:jc w:val="both"/>
        <w:rPr>
          <w:rFonts w:ascii="Arial" w:hAnsi="Arial" w:cs="Arial"/>
          <w:b/>
          <w:bCs/>
          <w:sz w:val="22"/>
          <w:szCs w:val="22"/>
          <w:lang w:val="en-GB"/>
        </w:rPr>
      </w:pPr>
      <w:r w:rsidRPr="00CB7BE7">
        <w:rPr>
          <w:rFonts w:ascii="Arial" w:hAnsi="Arial" w:cs="Arial"/>
          <w:b/>
          <w:bCs/>
          <w:sz w:val="22"/>
          <w:szCs w:val="22"/>
          <w:lang w:val="en-GB"/>
        </w:rPr>
        <w:t>Circumstances in which a bankruptcy court may enter a final order</w:t>
      </w:r>
    </w:p>
    <w:p w14:paraId="68E6B182" w14:textId="77777777" w:rsidR="00CB7BE7" w:rsidRPr="00CB7BE7" w:rsidRDefault="00CB7BE7" w:rsidP="00CB7BE7">
      <w:pPr>
        <w:pStyle w:val="ListParagraph"/>
        <w:jc w:val="both"/>
        <w:rPr>
          <w:rFonts w:ascii="Arial" w:hAnsi="Arial" w:cs="Arial"/>
          <w:b/>
          <w:bCs/>
          <w:sz w:val="22"/>
          <w:szCs w:val="22"/>
          <w:lang w:val="en-GB"/>
        </w:rPr>
      </w:pPr>
    </w:p>
    <w:p w14:paraId="2AF4C48F" w14:textId="31E7EC0A" w:rsidR="003814BB" w:rsidRDefault="003814BB" w:rsidP="003814BB">
      <w:pPr>
        <w:jc w:val="both"/>
        <w:rPr>
          <w:rFonts w:ascii="Arial" w:hAnsi="Arial" w:cs="Arial"/>
          <w:sz w:val="22"/>
          <w:szCs w:val="22"/>
          <w:lang w:val="en-GB"/>
        </w:rPr>
      </w:pPr>
      <w:r w:rsidRPr="003814BB">
        <w:rPr>
          <w:rFonts w:ascii="Arial" w:hAnsi="Arial" w:cs="Arial"/>
          <w:sz w:val="22"/>
          <w:szCs w:val="22"/>
          <w:lang w:val="en-GB"/>
        </w:rPr>
        <w:t>The law establishes a distinction between "core" and "non-core" matters, with bankruptcy judges being able to hear and resolve only core proceedings. The statute contains a non-exhaustive list of core proceedings, which include the following:</w:t>
      </w:r>
    </w:p>
    <w:p w14:paraId="336080AB" w14:textId="1834FDA2" w:rsidR="003814BB" w:rsidRDefault="003814BB" w:rsidP="003814BB">
      <w:pPr>
        <w:jc w:val="both"/>
        <w:rPr>
          <w:rFonts w:ascii="Arial" w:hAnsi="Arial" w:cs="Arial"/>
          <w:sz w:val="22"/>
          <w:szCs w:val="22"/>
          <w:lang w:val="en-GB"/>
        </w:rPr>
      </w:pPr>
    </w:p>
    <w:p w14:paraId="4DD129CE" w14:textId="65C2160A"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“(A) matters concerning the administration of the estate;</w:t>
      </w:r>
    </w:p>
    <w:p w14:paraId="6C3DB4D3"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(B) allowance or disallowance of claims against the estate or exemptions from property of the estate, and</w:t>
      </w:r>
    </w:p>
    <w:p w14:paraId="164EFF90"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estimation of claims or interests for the purposes of confirming a plan under chapter 11, 12, or 13 of title</w:t>
      </w:r>
    </w:p>
    <w:p w14:paraId="6FAEE2FE"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11but not the liquidation or estimation of contingent or unliquidated personal injury tort or wrongful death</w:t>
      </w:r>
    </w:p>
    <w:p w14:paraId="23472682"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claims against the estate for purposes of distribution in a case under title 11;</w:t>
      </w:r>
    </w:p>
    <w:p w14:paraId="7B9D02FE"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(C) counterclaims by the estate against persons filing claims against the estate;</w:t>
      </w:r>
    </w:p>
    <w:p w14:paraId="5188CC33"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(D) orders in respect to obtaining credit;</w:t>
      </w:r>
    </w:p>
    <w:p w14:paraId="080E992C"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(E) orders to turn over property of the estate;</w:t>
      </w:r>
    </w:p>
    <w:p w14:paraId="3316DBE4"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lastRenderedPageBreak/>
        <w:t>(F) proceedings to determine, avoid, or recover preferences;</w:t>
      </w:r>
    </w:p>
    <w:p w14:paraId="0EFE886E"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(G) motions to terminate, annul, or modify the automatic stay;</w:t>
      </w:r>
    </w:p>
    <w:p w14:paraId="55C4AC31"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(H) proceedings to determine, avoid, or recover fraudulent conveyances;</w:t>
      </w:r>
    </w:p>
    <w:p w14:paraId="750EB188"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 xml:space="preserve">(I) determinations as to the </w:t>
      </w:r>
      <w:proofErr w:type="spellStart"/>
      <w:r w:rsidRPr="003814BB">
        <w:rPr>
          <w:rFonts w:ascii="Arial" w:hAnsi="Arial" w:cs="Arial"/>
          <w:i/>
          <w:iCs/>
          <w:sz w:val="22"/>
          <w:szCs w:val="22"/>
          <w:lang w:val="en-GB"/>
        </w:rPr>
        <w:t>dischargeability</w:t>
      </w:r>
      <w:proofErr w:type="spellEnd"/>
      <w:r w:rsidRPr="003814BB">
        <w:rPr>
          <w:rFonts w:ascii="Arial" w:hAnsi="Arial" w:cs="Arial"/>
          <w:i/>
          <w:iCs/>
          <w:sz w:val="22"/>
          <w:szCs w:val="22"/>
          <w:lang w:val="en-GB"/>
        </w:rPr>
        <w:t xml:space="preserve"> of particular debts;</w:t>
      </w:r>
    </w:p>
    <w:p w14:paraId="4FBDB786"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(J) objections to discharges;</w:t>
      </w:r>
    </w:p>
    <w:p w14:paraId="3C36791B"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(K) determinations of the validity, extent, or priority of liens;</w:t>
      </w:r>
    </w:p>
    <w:p w14:paraId="10D0CA17"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(L) confirmations of plans;</w:t>
      </w:r>
    </w:p>
    <w:p w14:paraId="34E5A08F"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(M) orders approving the use or lease of property, including the use of cash collateral;</w:t>
      </w:r>
    </w:p>
    <w:p w14:paraId="684D5D5F"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(N) orders approving the sale of property other than property resulting from claims brought by the estate</w:t>
      </w:r>
    </w:p>
    <w:p w14:paraId="7B03F407"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against persons who have not filed claims against the estate;</w:t>
      </w:r>
    </w:p>
    <w:p w14:paraId="61B5ADAC"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 xml:space="preserve">(O) other proceedings affecting the liquidation of the assets of the estate or the adjustment of the </w:t>
      </w:r>
      <w:proofErr w:type="spellStart"/>
      <w:r w:rsidRPr="003814BB">
        <w:rPr>
          <w:rFonts w:ascii="Arial" w:hAnsi="Arial" w:cs="Arial"/>
          <w:i/>
          <w:iCs/>
          <w:sz w:val="22"/>
          <w:szCs w:val="22"/>
          <w:lang w:val="en-GB"/>
        </w:rPr>
        <w:t>debtorcreditor</w:t>
      </w:r>
      <w:proofErr w:type="spellEnd"/>
    </w:p>
    <w:p w14:paraId="11D48684"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or the equity security holder relationship, except personal injury tort or wrongful death claims;</w:t>
      </w:r>
    </w:p>
    <w:p w14:paraId="21392011" w14:textId="77777777"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and</w:t>
      </w:r>
    </w:p>
    <w:p w14:paraId="43F2FDB4" w14:textId="37E13A61" w:rsidR="003814BB" w:rsidRPr="003814BB" w:rsidRDefault="003814BB" w:rsidP="003814BB">
      <w:pPr>
        <w:ind w:left="567" w:right="521"/>
        <w:jc w:val="both"/>
        <w:rPr>
          <w:rFonts w:ascii="Arial" w:hAnsi="Arial" w:cs="Arial"/>
          <w:i/>
          <w:iCs/>
          <w:sz w:val="22"/>
          <w:szCs w:val="22"/>
          <w:lang w:val="en-GB"/>
        </w:rPr>
      </w:pPr>
      <w:r w:rsidRPr="003814BB">
        <w:rPr>
          <w:rFonts w:ascii="Arial" w:hAnsi="Arial" w:cs="Arial"/>
          <w:i/>
          <w:iCs/>
          <w:sz w:val="22"/>
          <w:szCs w:val="22"/>
          <w:lang w:val="en-GB"/>
        </w:rPr>
        <w:t>(P) recognition of foreign proceedings and other matters under chapter 15 of title 11.”</w:t>
      </w:r>
    </w:p>
    <w:p w14:paraId="341413B5" w14:textId="77777777" w:rsidR="003814BB" w:rsidRDefault="003814BB" w:rsidP="003814BB">
      <w:pPr>
        <w:jc w:val="both"/>
        <w:rPr>
          <w:rFonts w:ascii="Arial" w:hAnsi="Arial" w:cs="Arial"/>
          <w:sz w:val="22"/>
          <w:szCs w:val="22"/>
          <w:lang w:val="en-GB"/>
        </w:rPr>
      </w:pPr>
    </w:p>
    <w:p w14:paraId="56EFEB80" w14:textId="77777777" w:rsidR="003814BB" w:rsidRDefault="003814BB" w:rsidP="003814BB">
      <w:pPr>
        <w:jc w:val="both"/>
        <w:rPr>
          <w:rFonts w:ascii="Arial" w:hAnsi="Arial" w:cs="Arial"/>
          <w:sz w:val="22"/>
          <w:szCs w:val="22"/>
          <w:lang w:val="en-GB"/>
        </w:rPr>
      </w:pPr>
      <w:r w:rsidRPr="003814BB">
        <w:rPr>
          <w:rFonts w:ascii="Arial" w:hAnsi="Arial" w:cs="Arial"/>
          <w:sz w:val="22"/>
          <w:szCs w:val="22"/>
          <w:lang w:val="en-GB"/>
        </w:rPr>
        <w:t>With respect to non-</w:t>
      </w:r>
      <w:r>
        <w:rPr>
          <w:rFonts w:ascii="Arial" w:hAnsi="Arial" w:cs="Arial"/>
          <w:sz w:val="22"/>
          <w:szCs w:val="22"/>
          <w:lang w:val="en-GB"/>
        </w:rPr>
        <w:t>core</w:t>
      </w:r>
      <w:r w:rsidRPr="003814BB">
        <w:rPr>
          <w:rFonts w:ascii="Arial" w:hAnsi="Arial" w:cs="Arial"/>
          <w:sz w:val="22"/>
          <w:szCs w:val="22"/>
          <w:lang w:val="en-GB"/>
        </w:rPr>
        <w:t xml:space="preserve"> proceedings, the bankruptcy court may hear these if they are sufficiently related to a bankruptcy proceeding, but it cannot make a final decision</w:t>
      </w:r>
      <w:r>
        <w:rPr>
          <w:rFonts w:ascii="Arial" w:hAnsi="Arial" w:cs="Arial"/>
          <w:sz w:val="22"/>
          <w:szCs w:val="22"/>
          <w:lang w:val="en-GB"/>
        </w:rPr>
        <w:t>.</w:t>
      </w:r>
      <w:r w:rsidRPr="003814BB">
        <w:rPr>
          <w:rFonts w:ascii="Arial" w:hAnsi="Arial" w:cs="Arial"/>
          <w:sz w:val="22"/>
          <w:szCs w:val="22"/>
          <w:lang w:val="en-GB"/>
        </w:rPr>
        <w:t xml:space="preserve"> </w:t>
      </w:r>
    </w:p>
    <w:p w14:paraId="6F274223" w14:textId="77777777" w:rsidR="003814BB" w:rsidRDefault="003814BB" w:rsidP="003814BB">
      <w:pPr>
        <w:jc w:val="both"/>
        <w:rPr>
          <w:rFonts w:ascii="Arial" w:hAnsi="Arial" w:cs="Arial"/>
          <w:sz w:val="22"/>
          <w:szCs w:val="22"/>
          <w:lang w:val="en-GB"/>
        </w:rPr>
      </w:pPr>
    </w:p>
    <w:p w14:paraId="2283CD86" w14:textId="4D2A69BC" w:rsidR="003814BB" w:rsidRPr="003814BB" w:rsidRDefault="003814BB" w:rsidP="003814BB">
      <w:pPr>
        <w:jc w:val="both"/>
        <w:rPr>
          <w:rFonts w:ascii="Arial" w:hAnsi="Arial" w:cs="Arial"/>
          <w:sz w:val="22"/>
          <w:szCs w:val="22"/>
          <w:lang w:val="en-GB"/>
        </w:rPr>
      </w:pPr>
      <w:r>
        <w:rPr>
          <w:rFonts w:ascii="Arial" w:hAnsi="Arial" w:cs="Arial"/>
          <w:sz w:val="22"/>
          <w:szCs w:val="22"/>
          <w:lang w:val="en-GB"/>
        </w:rPr>
        <w:t>Rather</w:t>
      </w:r>
      <w:r w:rsidRPr="003814BB">
        <w:rPr>
          <w:rFonts w:ascii="Arial" w:hAnsi="Arial" w:cs="Arial"/>
          <w:sz w:val="22"/>
          <w:szCs w:val="22"/>
          <w:lang w:val="en-GB"/>
        </w:rPr>
        <w:t xml:space="preserve">, it submits proposed findings of fact and conclusions of law to the district court, to which interested parties may object, for final decision by the district court. At the beginning of each motion or pleading, the parties must indicate whether or not the matter at issue is material so that the bankruptcy court can determine the scope of its jurisdiction and its power to enter a final order or judgment. </w:t>
      </w:r>
    </w:p>
    <w:p w14:paraId="050B7D02" w14:textId="0F9C96A3" w:rsidR="00D17FDC" w:rsidRDefault="00D17FDC" w:rsidP="00455018">
      <w:pPr>
        <w:jc w:val="both"/>
        <w:rPr>
          <w:rFonts w:ascii="Arial" w:hAnsi="Arial" w:cs="Arial"/>
          <w:sz w:val="22"/>
          <w:szCs w:val="22"/>
          <w:lang w:val="en-GB"/>
        </w:rPr>
      </w:pPr>
    </w:p>
    <w:p w14:paraId="054BB27A" w14:textId="22BFA1EA" w:rsidR="00CB7BE7" w:rsidRDefault="00CB7BE7" w:rsidP="00CB7BE7">
      <w:pPr>
        <w:jc w:val="both"/>
        <w:rPr>
          <w:rFonts w:ascii="Arial" w:hAnsi="Arial" w:cs="Arial"/>
          <w:sz w:val="22"/>
          <w:szCs w:val="22"/>
          <w:lang w:val="en-GB"/>
        </w:rPr>
      </w:pPr>
      <w:r>
        <w:rPr>
          <w:rFonts w:ascii="Arial" w:hAnsi="Arial" w:cs="Arial"/>
          <w:sz w:val="22"/>
          <w:szCs w:val="22"/>
          <w:lang w:val="en-GB"/>
        </w:rPr>
        <w:t xml:space="preserve">Besides, as explained in the Guidance text, the </w:t>
      </w:r>
      <w:r w:rsidRPr="00CB7BE7">
        <w:rPr>
          <w:rFonts w:ascii="Arial" w:hAnsi="Arial" w:cs="Arial"/>
          <w:sz w:val="22"/>
          <w:szCs w:val="22"/>
          <w:lang w:val="en-GB"/>
        </w:rPr>
        <w:t>referral statute also provides a procedure by which a district court may withdraw</w:t>
      </w:r>
      <w:r>
        <w:rPr>
          <w:rFonts w:ascii="Arial" w:hAnsi="Arial" w:cs="Arial"/>
          <w:sz w:val="22"/>
          <w:szCs w:val="22"/>
          <w:lang w:val="en-GB"/>
        </w:rPr>
        <w:t xml:space="preserve"> </w:t>
      </w:r>
      <w:r w:rsidRPr="00CB7BE7">
        <w:rPr>
          <w:rFonts w:ascii="Arial" w:hAnsi="Arial" w:cs="Arial"/>
          <w:sz w:val="22"/>
          <w:szCs w:val="22"/>
          <w:lang w:val="en-GB"/>
        </w:rPr>
        <w:t>the reference of its jurisdiction to bankruptcy court at its discretion.</w:t>
      </w:r>
      <w:r>
        <w:rPr>
          <w:rFonts w:ascii="Arial" w:hAnsi="Arial" w:cs="Arial"/>
          <w:sz w:val="22"/>
          <w:szCs w:val="22"/>
          <w:lang w:val="en-GB"/>
        </w:rPr>
        <w:t xml:space="preserve"> Therefore, this </w:t>
      </w:r>
      <w:r w:rsidRPr="00CB7BE7">
        <w:rPr>
          <w:rFonts w:ascii="Arial" w:hAnsi="Arial" w:cs="Arial"/>
          <w:sz w:val="22"/>
          <w:szCs w:val="22"/>
          <w:lang w:val="en-GB"/>
        </w:rPr>
        <w:t>permits matters that have been automatically referred to the bankruptcy court under a general order of reference to be returned to and heard by the district court.</w:t>
      </w:r>
      <w:r>
        <w:rPr>
          <w:rFonts w:ascii="Arial" w:hAnsi="Arial" w:cs="Arial"/>
          <w:sz w:val="22"/>
          <w:szCs w:val="22"/>
          <w:lang w:val="en-GB"/>
        </w:rPr>
        <w:t xml:space="preserve"> </w:t>
      </w:r>
      <w:r w:rsidRPr="00CB7BE7">
        <w:rPr>
          <w:rFonts w:ascii="Arial" w:hAnsi="Arial" w:cs="Arial"/>
          <w:sz w:val="22"/>
          <w:szCs w:val="22"/>
          <w:lang w:val="en-GB"/>
        </w:rPr>
        <w:t xml:space="preserve">If the action raises </w:t>
      </w:r>
      <w:r>
        <w:rPr>
          <w:rFonts w:ascii="Arial" w:hAnsi="Arial" w:cs="Arial"/>
          <w:sz w:val="22"/>
          <w:szCs w:val="22"/>
          <w:lang w:val="en-GB"/>
        </w:rPr>
        <w:t>substantial</w:t>
      </w:r>
      <w:r w:rsidRPr="00CB7BE7">
        <w:rPr>
          <w:rFonts w:ascii="Arial" w:hAnsi="Arial" w:cs="Arial"/>
          <w:sz w:val="22"/>
          <w:szCs w:val="22"/>
          <w:lang w:val="en-GB"/>
        </w:rPr>
        <w:t xml:space="preserve"> questions under federal law other than the Bankruptcy Code, the referral must be withdrawn.</w:t>
      </w:r>
    </w:p>
    <w:p w14:paraId="2CB36261" w14:textId="78D1EAF1" w:rsidR="00CB7BE7" w:rsidRDefault="00CB7BE7" w:rsidP="00CB7BE7">
      <w:pPr>
        <w:jc w:val="both"/>
        <w:rPr>
          <w:rFonts w:ascii="Arial" w:hAnsi="Arial" w:cs="Arial"/>
          <w:sz w:val="22"/>
          <w:szCs w:val="22"/>
          <w:lang w:val="en-GB"/>
        </w:rPr>
      </w:pPr>
    </w:p>
    <w:p w14:paraId="282F193C" w14:textId="62EA6222" w:rsidR="00CB7BE7" w:rsidRDefault="00F2001D" w:rsidP="00CB7BE7">
      <w:pPr>
        <w:jc w:val="both"/>
        <w:rPr>
          <w:rFonts w:ascii="Arial" w:hAnsi="Arial" w:cs="Arial"/>
          <w:sz w:val="22"/>
          <w:szCs w:val="22"/>
          <w:lang w:val="en-GB"/>
        </w:rPr>
      </w:pPr>
      <w:r w:rsidRPr="00F2001D">
        <w:rPr>
          <w:rFonts w:ascii="Arial" w:hAnsi="Arial" w:cs="Arial"/>
          <w:sz w:val="22"/>
          <w:szCs w:val="22"/>
          <w:lang w:val="en-GB"/>
        </w:rPr>
        <w:t>The courts have ruled on several occasions on the competence of the bankruptcy courts.</w:t>
      </w:r>
    </w:p>
    <w:p w14:paraId="54C3A7E7" w14:textId="710D399C" w:rsidR="00F2001D" w:rsidRDefault="00F2001D" w:rsidP="00CB7BE7">
      <w:pPr>
        <w:jc w:val="both"/>
        <w:rPr>
          <w:rFonts w:ascii="Arial" w:hAnsi="Arial" w:cs="Arial"/>
          <w:sz w:val="22"/>
          <w:szCs w:val="22"/>
          <w:lang w:val="en-GB"/>
        </w:rPr>
      </w:pPr>
    </w:p>
    <w:p w14:paraId="2367F6B5" w14:textId="0711F603" w:rsidR="00F2001D" w:rsidRDefault="00F2001D" w:rsidP="00CB7BE7">
      <w:pPr>
        <w:jc w:val="both"/>
        <w:rPr>
          <w:rFonts w:ascii="Arial" w:hAnsi="Arial" w:cs="Arial"/>
          <w:sz w:val="22"/>
          <w:szCs w:val="22"/>
          <w:lang w:val="en-GB"/>
        </w:rPr>
      </w:pPr>
      <w:r>
        <w:rPr>
          <w:rFonts w:ascii="Arial" w:hAnsi="Arial" w:cs="Arial"/>
          <w:sz w:val="22"/>
          <w:szCs w:val="22"/>
          <w:lang w:val="en-GB"/>
        </w:rPr>
        <w:t xml:space="preserve">Specifically, in </w:t>
      </w:r>
      <w:r w:rsidRPr="00F2001D">
        <w:rPr>
          <w:rFonts w:ascii="Arial" w:hAnsi="Arial" w:cs="Arial"/>
          <w:i/>
          <w:iCs/>
          <w:sz w:val="22"/>
          <w:szCs w:val="22"/>
          <w:lang w:val="en-GB"/>
        </w:rPr>
        <w:t>Stern v Marshall</w:t>
      </w:r>
      <w:r>
        <w:rPr>
          <w:rFonts w:ascii="Arial" w:hAnsi="Arial" w:cs="Arial"/>
          <w:sz w:val="22"/>
          <w:szCs w:val="22"/>
          <w:lang w:val="en-GB"/>
        </w:rPr>
        <w:t xml:space="preserve"> case the US Supreme Court hold that a bankruptcy court cannot invade Article III jurisdiction even in core proceedings (this case referred to the bankruptcy court’s exercise of final judgment power over a state law claim, which was decided to be unconstitutional under Article III). </w:t>
      </w:r>
    </w:p>
    <w:p w14:paraId="57179413" w14:textId="77777777" w:rsidR="00F2001D" w:rsidRDefault="00F2001D" w:rsidP="00CB7BE7">
      <w:pPr>
        <w:jc w:val="both"/>
        <w:rPr>
          <w:rFonts w:ascii="Arial" w:hAnsi="Arial" w:cs="Arial"/>
          <w:sz w:val="22"/>
          <w:szCs w:val="22"/>
          <w:lang w:val="en-GB"/>
        </w:rPr>
      </w:pPr>
    </w:p>
    <w:p w14:paraId="66DE4A05" w14:textId="78CA883E" w:rsidR="00F2001D" w:rsidRDefault="00F2001D" w:rsidP="00CB7BE7">
      <w:pPr>
        <w:jc w:val="both"/>
        <w:rPr>
          <w:rFonts w:ascii="Arial" w:hAnsi="Arial" w:cs="Arial"/>
          <w:sz w:val="22"/>
          <w:szCs w:val="22"/>
          <w:lang w:val="en-GB"/>
        </w:rPr>
      </w:pPr>
    </w:p>
    <w:p w14:paraId="0CD997FB" w14:textId="39BD24BF" w:rsidR="00F2001D" w:rsidRDefault="00F2001D" w:rsidP="00A16034">
      <w:pPr>
        <w:pStyle w:val="ListParagraph"/>
        <w:numPr>
          <w:ilvl w:val="0"/>
          <w:numId w:val="15"/>
        </w:numPr>
        <w:jc w:val="both"/>
        <w:rPr>
          <w:rFonts w:ascii="Arial" w:hAnsi="Arial" w:cs="Arial"/>
          <w:b/>
          <w:bCs/>
          <w:sz w:val="22"/>
          <w:szCs w:val="22"/>
          <w:lang w:val="en-GB"/>
        </w:rPr>
      </w:pPr>
      <w:r w:rsidRPr="00F2001D">
        <w:rPr>
          <w:rFonts w:ascii="Arial" w:hAnsi="Arial" w:cs="Arial"/>
          <w:b/>
          <w:bCs/>
          <w:sz w:val="22"/>
          <w:szCs w:val="22"/>
          <w:lang w:val="en-GB"/>
        </w:rPr>
        <w:t>Appeals</w:t>
      </w:r>
    </w:p>
    <w:p w14:paraId="28F00C61" w14:textId="77777777" w:rsidR="00723EA7" w:rsidRDefault="00723EA7" w:rsidP="006B7F8B">
      <w:pPr>
        <w:jc w:val="both"/>
        <w:rPr>
          <w:rFonts w:ascii="Arial" w:hAnsi="Arial" w:cs="Arial"/>
          <w:b/>
          <w:bCs/>
          <w:sz w:val="22"/>
          <w:szCs w:val="22"/>
          <w:lang w:val="en-GB"/>
        </w:rPr>
      </w:pPr>
    </w:p>
    <w:p w14:paraId="2837946C" w14:textId="64816A93" w:rsidR="006B7F8B" w:rsidRDefault="00C848C8" w:rsidP="006B7F8B">
      <w:pPr>
        <w:jc w:val="both"/>
        <w:rPr>
          <w:rFonts w:ascii="Arial" w:hAnsi="Arial" w:cs="Arial"/>
          <w:sz w:val="22"/>
          <w:szCs w:val="22"/>
          <w:lang w:val="en-GB"/>
        </w:rPr>
      </w:pPr>
      <w:r w:rsidRPr="002D2D9F">
        <w:rPr>
          <w:rFonts w:ascii="Arial" w:hAnsi="Arial" w:cs="Arial"/>
          <w:sz w:val="22"/>
          <w:szCs w:val="22"/>
          <w:lang w:val="en-GB"/>
        </w:rPr>
        <w:t xml:space="preserve">The orders that </w:t>
      </w:r>
      <w:r w:rsidR="002D2D9F" w:rsidRPr="002D2D9F">
        <w:rPr>
          <w:rFonts w:ascii="Arial" w:hAnsi="Arial" w:cs="Arial"/>
          <w:sz w:val="22"/>
          <w:szCs w:val="22"/>
          <w:lang w:val="en-GB"/>
        </w:rPr>
        <w:t>can be appealed</w:t>
      </w:r>
      <w:r w:rsidR="002D2D9F">
        <w:rPr>
          <w:rFonts w:ascii="Arial" w:hAnsi="Arial" w:cs="Arial"/>
          <w:sz w:val="22"/>
          <w:szCs w:val="22"/>
          <w:lang w:val="en-GB"/>
        </w:rPr>
        <w:t xml:space="preserve"> are final orders (those that dispose of all issues) and interlocutory orders (those that resolve only dome ussies or claims). Final orders can be appeal as of rights, while interlocutory order may be appealed only with leave of the appellate court. </w:t>
      </w:r>
      <w:r w:rsidR="002D2D9F" w:rsidRPr="002D2D9F">
        <w:rPr>
          <w:rFonts w:ascii="Arial" w:hAnsi="Arial" w:cs="Arial"/>
          <w:sz w:val="22"/>
          <w:szCs w:val="22"/>
          <w:lang w:val="en-GB"/>
        </w:rPr>
        <w:t xml:space="preserve">The framework </w:t>
      </w:r>
      <w:r w:rsidR="002D2D9F">
        <w:rPr>
          <w:rFonts w:ascii="Arial" w:hAnsi="Arial" w:cs="Arial"/>
          <w:sz w:val="22"/>
          <w:szCs w:val="22"/>
          <w:lang w:val="en-GB"/>
        </w:rPr>
        <w:t xml:space="preserve">also </w:t>
      </w:r>
      <w:r w:rsidR="002D2D9F" w:rsidRPr="002D2D9F">
        <w:rPr>
          <w:rFonts w:ascii="Arial" w:hAnsi="Arial" w:cs="Arial"/>
          <w:sz w:val="22"/>
          <w:szCs w:val="22"/>
          <w:lang w:val="en-GB"/>
        </w:rPr>
        <w:t>applies with regard to insolvency proceedings.</w:t>
      </w:r>
    </w:p>
    <w:p w14:paraId="53E288B4" w14:textId="34A35289" w:rsidR="00FA3D82" w:rsidRDefault="00FA3D82" w:rsidP="006B7F8B">
      <w:pPr>
        <w:jc w:val="both"/>
        <w:rPr>
          <w:rFonts w:ascii="Arial" w:hAnsi="Arial" w:cs="Arial"/>
          <w:sz w:val="22"/>
          <w:szCs w:val="22"/>
          <w:lang w:val="en-GB"/>
        </w:rPr>
      </w:pPr>
    </w:p>
    <w:p w14:paraId="78A20FE2" w14:textId="387D1094" w:rsidR="00FA3D82" w:rsidRDefault="00FA3D82" w:rsidP="00FA3D82">
      <w:pPr>
        <w:jc w:val="both"/>
        <w:rPr>
          <w:rFonts w:ascii="Arial" w:hAnsi="Arial" w:cs="Arial"/>
          <w:sz w:val="22"/>
          <w:szCs w:val="22"/>
          <w:lang w:val="en-GB"/>
        </w:rPr>
      </w:pPr>
      <w:r w:rsidRPr="00FA3D82">
        <w:rPr>
          <w:rFonts w:ascii="Arial" w:hAnsi="Arial" w:cs="Arial"/>
          <w:sz w:val="22"/>
          <w:szCs w:val="22"/>
          <w:lang w:val="en-GB"/>
        </w:rPr>
        <w:t>Generally speaking, appeals from bankruptcy court decisions are heard by the</w:t>
      </w:r>
      <w:r>
        <w:rPr>
          <w:rFonts w:ascii="Arial" w:hAnsi="Arial" w:cs="Arial"/>
          <w:sz w:val="22"/>
          <w:szCs w:val="22"/>
          <w:lang w:val="en-GB"/>
        </w:rPr>
        <w:t xml:space="preserve"> </w:t>
      </w:r>
      <w:r w:rsidRPr="00FA3D82">
        <w:rPr>
          <w:rFonts w:ascii="Arial" w:hAnsi="Arial" w:cs="Arial"/>
          <w:sz w:val="22"/>
          <w:szCs w:val="22"/>
          <w:lang w:val="en-GB"/>
        </w:rPr>
        <w:t>District Court in their area.</w:t>
      </w:r>
      <w:r>
        <w:rPr>
          <w:rFonts w:ascii="Arial" w:hAnsi="Arial" w:cs="Arial"/>
          <w:sz w:val="22"/>
          <w:szCs w:val="22"/>
          <w:lang w:val="en-GB"/>
        </w:rPr>
        <w:t xml:space="preserve"> </w:t>
      </w:r>
      <w:r w:rsidRPr="00FA3D82">
        <w:rPr>
          <w:rFonts w:ascii="Arial" w:hAnsi="Arial" w:cs="Arial"/>
          <w:sz w:val="22"/>
          <w:szCs w:val="22"/>
          <w:lang w:val="en-GB"/>
        </w:rPr>
        <w:t>In this way, the first appeal of a bankruptcy case will be given to a randomly appointed judge, who will generally hear all future appeals of these bankruptcy proceedings.</w:t>
      </w:r>
    </w:p>
    <w:p w14:paraId="30F1DDD3" w14:textId="49D7BC3F" w:rsidR="00FA3D82" w:rsidRDefault="00FA3D82" w:rsidP="00FA3D82">
      <w:pPr>
        <w:jc w:val="both"/>
        <w:rPr>
          <w:rFonts w:ascii="Arial" w:hAnsi="Arial" w:cs="Arial"/>
          <w:sz w:val="22"/>
          <w:szCs w:val="22"/>
          <w:lang w:val="en-GB"/>
        </w:rPr>
      </w:pPr>
    </w:p>
    <w:p w14:paraId="745D997F" w14:textId="6C5702A3" w:rsidR="00FA3D82" w:rsidRDefault="00FA3D82" w:rsidP="00FA3D82">
      <w:pPr>
        <w:jc w:val="both"/>
        <w:rPr>
          <w:rFonts w:ascii="Arial" w:hAnsi="Arial" w:cs="Arial"/>
          <w:sz w:val="22"/>
          <w:szCs w:val="22"/>
          <w:lang w:val="en-GB"/>
        </w:rPr>
      </w:pPr>
      <w:r w:rsidRPr="00FA3D82">
        <w:rPr>
          <w:rFonts w:ascii="Arial" w:hAnsi="Arial" w:cs="Arial"/>
          <w:sz w:val="22"/>
          <w:szCs w:val="22"/>
          <w:lang w:val="en-GB"/>
        </w:rPr>
        <w:lastRenderedPageBreak/>
        <w:t xml:space="preserve">However, in some circuit courts, bankruptcy appeals are heard by the Bankruptcy Appeals Panel (BAP), which is convened by bankruptcy court judges in the circuit courts. In these </w:t>
      </w:r>
      <w:r>
        <w:rPr>
          <w:rFonts w:ascii="Arial" w:hAnsi="Arial" w:cs="Arial"/>
          <w:sz w:val="22"/>
          <w:szCs w:val="22"/>
          <w:lang w:val="en-GB"/>
        </w:rPr>
        <w:t>circuits</w:t>
      </w:r>
      <w:r w:rsidRPr="00FA3D82">
        <w:rPr>
          <w:rFonts w:ascii="Arial" w:hAnsi="Arial" w:cs="Arial"/>
          <w:sz w:val="22"/>
          <w:szCs w:val="22"/>
          <w:lang w:val="en-GB"/>
        </w:rPr>
        <w:t xml:space="preserve">, one of the parties may choose to request that the be heard by the District Court. From the District Court or BAP, </w:t>
      </w:r>
      <w:r>
        <w:rPr>
          <w:rFonts w:ascii="Arial" w:hAnsi="Arial" w:cs="Arial"/>
          <w:sz w:val="22"/>
          <w:szCs w:val="22"/>
          <w:lang w:val="en-GB"/>
        </w:rPr>
        <w:t xml:space="preserve">there is a further </w:t>
      </w:r>
      <w:r w:rsidRPr="00FA3D82">
        <w:rPr>
          <w:rFonts w:ascii="Arial" w:hAnsi="Arial" w:cs="Arial"/>
          <w:sz w:val="22"/>
          <w:szCs w:val="22"/>
          <w:lang w:val="en-GB"/>
        </w:rPr>
        <w:t>appeal of rights (assuming the original order is an available order to appeal rights).</w:t>
      </w:r>
    </w:p>
    <w:p w14:paraId="610D1AAD" w14:textId="4EC55B9A" w:rsidR="00FA3D82" w:rsidRDefault="00FA3D82" w:rsidP="00FA3D82">
      <w:pPr>
        <w:jc w:val="both"/>
        <w:rPr>
          <w:rFonts w:ascii="Arial" w:hAnsi="Arial" w:cs="Arial"/>
          <w:sz w:val="22"/>
          <w:szCs w:val="22"/>
          <w:lang w:val="en-GB"/>
        </w:rPr>
      </w:pPr>
    </w:p>
    <w:p w14:paraId="248C90AF" w14:textId="0E3FC142" w:rsidR="00FA3D82" w:rsidRPr="00FA3D82" w:rsidRDefault="00FA3D82" w:rsidP="00FA3D82">
      <w:pPr>
        <w:jc w:val="both"/>
        <w:rPr>
          <w:rFonts w:ascii="Arial" w:hAnsi="Arial" w:cs="Arial"/>
          <w:sz w:val="22"/>
          <w:szCs w:val="22"/>
          <w:lang w:val="en-GB"/>
        </w:rPr>
      </w:pPr>
      <w:r w:rsidRPr="00FA3D82">
        <w:rPr>
          <w:rFonts w:ascii="Arial" w:hAnsi="Arial" w:cs="Arial"/>
          <w:sz w:val="22"/>
          <w:szCs w:val="22"/>
          <w:lang w:val="en-GB"/>
        </w:rPr>
        <w:t xml:space="preserve">In rare cases, appeals from the bankruptcy court can be directly submitted to the </w:t>
      </w:r>
    </w:p>
    <w:p w14:paraId="2963B000" w14:textId="1D99196F" w:rsidR="00FA3D82" w:rsidRDefault="00FA3D82" w:rsidP="00FA3D82">
      <w:pPr>
        <w:jc w:val="both"/>
        <w:rPr>
          <w:rFonts w:ascii="Arial" w:hAnsi="Arial" w:cs="Arial"/>
          <w:sz w:val="22"/>
          <w:szCs w:val="22"/>
          <w:lang w:val="en-GB"/>
        </w:rPr>
      </w:pPr>
      <w:r w:rsidRPr="00FA3D82">
        <w:rPr>
          <w:rFonts w:ascii="Arial" w:hAnsi="Arial" w:cs="Arial"/>
          <w:sz w:val="22"/>
          <w:szCs w:val="22"/>
          <w:lang w:val="en-GB"/>
        </w:rPr>
        <w:t xml:space="preserve"> Court</w:t>
      </w:r>
      <w:r>
        <w:rPr>
          <w:rFonts w:ascii="Arial" w:hAnsi="Arial" w:cs="Arial"/>
          <w:sz w:val="22"/>
          <w:szCs w:val="22"/>
          <w:lang w:val="en-GB"/>
        </w:rPr>
        <w:t xml:space="preserve"> of </w:t>
      </w:r>
      <w:proofErr w:type="spellStart"/>
      <w:r>
        <w:rPr>
          <w:rFonts w:ascii="Arial" w:hAnsi="Arial" w:cs="Arial"/>
          <w:sz w:val="22"/>
          <w:szCs w:val="22"/>
          <w:lang w:val="en-GB"/>
        </w:rPr>
        <w:t>appelas</w:t>
      </w:r>
      <w:proofErr w:type="spellEnd"/>
      <w:r w:rsidRPr="00FA3D82">
        <w:rPr>
          <w:rFonts w:ascii="Arial" w:hAnsi="Arial" w:cs="Arial"/>
          <w:sz w:val="22"/>
          <w:szCs w:val="22"/>
          <w:lang w:val="en-GB"/>
        </w:rPr>
        <w:t>, where the bankruptcy court or the district court proves</w:t>
      </w:r>
      <w:r>
        <w:rPr>
          <w:rFonts w:ascii="Arial" w:hAnsi="Arial" w:cs="Arial"/>
          <w:sz w:val="22"/>
          <w:szCs w:val="22"/>
          <w:lang w:val="en-GB"/>
        </w:rPr>
        <w:t xml:space="preserve"> the following: </w:t>
      </w:r>
    </w:p>
    <w:p w14:paraId="15717E95" w14:textId="77777777" w:rsidR="00FA3D82" w:rsidRDefault="00FA3D82" w:rsidP="00FA3D82">
      <w:pPr>
        <w:jc w:val="both"/>
        <w:rPr>
          <w:rFonts w:ascii="Arial" w:hAnsi="Arial" w:cs="Arial"/>
          <w:sz w:val="22"/>
          <w:szCs w:val="22"/>
          <w:lang w:val="en-GB"/>
        </w:rPr>
      </w:pPr>
    </w:p>
    <w:p w14:paraId="58263AEB" w14:textId="254727BC" w:rsidR="00FA3D82" w:rsidRPr="00FA3D82" w:rsidRDefault="00FA3D82" w:rsidP="00A16034">
      <w:pPr>
        <w:pStyle w:val="ListParagraph"/>
        <w:numPr>
          <w:ilvl w:val="0"/>
          <w:numId w:val="16"/>
        </w:numPr>
        <w:jc w:val="both"/>
        <w:rPr>
          <w:rFonts w:ascii="Arial" w:hAnsi="Arial" w:cs="Arial"/>
          <w:sz w:val="22"/>
          <w:szCs w:val="22"/>
          <w:lang w:val="en-GB"/>
        </w:rPr>
      </w:pPr>
      <w:r w:rsidRPr="00FA3D82">
        <w:rPr>
          <w:rFonts w:ascii="Arial" w:hAnsi="Arial" w:cs="Arial"/>
          <w:sz w:val="22"/>
          <w:szCs w:val="22"/>
          <w:lang w:val="en-GB"/>
        </w:rPr>
        <w:t xml:space="preserve">the appeal raises a question of law as to which there is no controlling decision of the circuit or the US Supreme Court, or requires resolving conflicting controlling decisions, or </w:t>
      </w:r>
    </w:p>
    <w:p w14:paraId="6903FC59" w14:textId="68FD4420" w:rsidR="00FA3D82" w:rsidRPr="00FA3D82" w:rsidRDefault="00FA3D82" w:rsidP="00A16034">
      <w:pPr>
        <w:pStyle w:val="ListParagraph"/>
        <w:numPr>
          <w:ilvl w:val="0"/>
          <w:numId w:val="16"/>
        </w:numPr>
        <w:jc w:val="both"/>
        <w:rPr>
          <w:rFonts w:ascii="Arial" w:hAnsi="Arial" w:cs="Arial"/>
          <w:sz w:val="22"/>
          <w:szCs w:val="22"/>
          <w:lang w:val="en-GB"/>
        </w:rPr>
      </w:pPr>
      <w:r w:rsidRPr="00FA3D82">
        <w:rPr>
          <w:rFonts w:ascii="Arial" w:hAnsi="Arial" w:cs="Arial"/>
          <w:sz w:val="22"/>
          <w:szCs w:val="22"/>
          <w:lang w:val="en-GB"/>
        </w:rPr>
        <w:t>immediate appeal may materially advance the progress of the case.</w:t>
      </w:r>
    </w:p>
    <w:p w14:paraId="77BBDF7A" w14:textId="7D79363D" w:rsidR="00FA3D82" w:rsidRDefault="00FA3D82" w:rsidP="00FA3D82">
      <w:pPr>
        <w:jc w:val="both"/>
        <w:rPr>
          <w:rFonts w:ascii="Arial" w:hAnsi="Arial" w:cs="Arial"/>
          <w:sz w:val="22"/>
          <w:szCs w:val="22"/>
          <w:lang w:val="en-GB"/>
        </w:rPr>
      </w:pPr>
    </w:p>
    <w:p w14:paraId="2E22CA28" w14:textId="4BB19420" w:rsidR="00FA3D82" w:rsidRPr="00FA3D82" w:rsidRDefault="00FA3D82" w:rsidP="00FA3D82">
      <w:pPr>
        <w:jc w:val="both"/>
        <w:rPr>
          <w:rFonts w:ascii="Arial" w:hAnsi="Arial" w:cs="Arial"/>
          <w:sz w:val="22"/>
          <w:szCs w:val="22"/>
          <w:lang w:val="en-GB"/>
        </w:rPr>
      </w:pPr>
      <w:r>
        <w:rPr>
          <w:rFonts w:ascii="Arial" w:hAnsi="Arial" w:cs="Arial"/>
          <w:sz w:val="22"/>
          <w:szCs w:val="22"/>
          <w:lang w:val="en-GB"/>
        </w:rPr>
        <w:t>In these cases the</w:t>
      </w:r>
      <w:r w:rsidRPr="00FA3D82">
        <w:rPr>
          <w:rFonts w:ascii="Arial" w:hAnsi="Arial" w:cs="Arial"/>
          <w:sz w:val="22"/>
          <w:szCs w:val="22"/>
          <w:lang w:val="en-GB"/>
        </w:rPr>
        <w:t xml:space="preserve"> court of</w:t>
      </w:r>
      <w:r>
        <w:rPr>
          <w:rFonts w:ascii="Arial" w:hAnsi="Arial" w:cs="Arial"/>
          <w:sz w:val="22"/>
          <w:szCs w:val="22"/>
          <w:lang w:val="en-GB"/>
        </w:rPr>
        <w:t xml:space="preserve"> </w:t>
      </w:r>
      <w:r w:rsidRPr="00FA3D82">
        <w:rPr>
          <w:rFonts w:ascii="Arial" w:hAnsi="Arial" w:cs="Arial"/>
          <w:sz w:val="22"/>
          <w:szCs w:val="22"/>
          <w:lang w:val="en-GB"/>
        </w:rPr>
        <w:t xml:space="preserve">appeals has discretion whether to accept </w:t>
      </w:r>
      <w:r>
        <w:rPr>
          <w:rFonts w:ascii="Arial" w:hAnsi="Arial" w:cs="Arial"/>
          <w:sz w:val="22"/>
          <w:szCs w:val="22"/>
          <w:lang w:val="en-GB"/>
        </w:rPr>
        <w:t xml:space="preserve">it or not. </w:t>
      </w: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6945899D" w14:textId="77777777" w:rsidR="00FC7140" w:rsidRDefault="00FC7140" w:rsidP="002A37BB">
      <w:pPr>
        <w:ind w:left="720" w:hanging="720"/>
        <w:jc w:val="both"/>
        <w:rPr>
          <w:rFonts w:ascii="Arial" w:hAnsi="Arial" w:cs="Arial"/>
          <w:b/>
          <w:bCs/>
          <w:sz w:val="22"/>
          <w:szCs w:val="22"/>
          <w:shd w:val="clear" w:color="auto" w:fill="FFFFFF"/>
        </w:rPr>
      </w:pPr>
    </w:p>
    <w:p w14:paraId="4B3595C7" w14:textId="01E27F98"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3CA27B36" w14:textId="6CA86C10" w:rsidR="003F2246" w:rsidRDefault="003F2246" w:rsidP="00A16034">
      <w:pPr>
        <w:pStyle w:val="ListParagraph"/>
        <w:numPr>
          <w:ilvl w:val="0"/>
          <w:numId w:val="17"/>
        </w:numPr>
        <w:jc w:val="both"/>
        <w:rPr>
          <w:rFonts w:ascii="Arial" w:hAnsi="Arial" w:cs="Arial"/>
          <w:b/>
          <w:bCs/>
          <w:sz w:val="22"/>
          <w:szCs w:val="22"/>
          <w:lang w:val="en-GB"/>
        </w:rPr>
      </w:pPr>
      <w:r w:rsidRPr="003F2246">
        <w:rPr>
          <w:rFonts w:ascii="Arial" w:hAnsi="Arial" w:cs="Arial"/>
          <w:b/>
          <w:bCs/>
          <w:sz w:val="22"/>
          <w:szCs w:val="22"/>
          <w:lang w:val="en-GB"/>
        </w:rPr>
        <w:t>Preferences</w:t>
      </w:r>
    </w:p>
    <w:p w14:paraId="14469116" w14:textId="77777777" w:rsidR="003F2246" w:rsidRPr="003F2246" w:rsidRDefault="003F2246" w:rsidP="003F2246">
      <w:pPr>
        <w:pStyle w:val="ListParagraph"/>
        <w:jc w:val="both"/>
        <w:rPr>
          <w:rFonts w:ascii="Arial" w:hAnsi="Arial" w:cs="Arial"/>
          <w:b/>
          <w:bCs/>
          <w:sz w:val="22"/>
          <w:szCs w:val="22"/>
          <w:lang w:val="en-GB"/>
        </w:rPr>
      </w:pPr>
    </w:p>
    <w:p w14:paraId="4E83D7AF" w14:textId="24CF37F5" w:rsidR="00DF75F8" w:rsidRDefault="003F2246" w:rsidP="002A37BB">
      <w:pPr>
        <w:jc w:val="both"/>
        <w:rPr>
          <w:rFonts w:ascii="Arial" w:hAnsi="Arial" w:cs="Arial"/>
          <w:sz w:val="22"/>
          <w:szCs w:val="22"/>
          <w:lang w:val="en-GB"/>
        </w:rPr>
      </w:pPr>
      <w:r w:rsidRPr="003F2246">
        <w:rPr>
          <w:rFonts w:ascii="Arial" w:hAnsi="Arial" w:cs="Arial"/>
          <w:sz w:val="22"/>
          <w:szCs w:val="22"/>
          <w:lang w:val="en-GB"/>
        </w:rPr>
        <w:t>The Guidance text provides the following definition of “preferences”:</w:t>
      </w:r>
    </w:p>
    <w:p w14:paraId="035DB532" w14:textId="3CFCE335" w:rsidR="003F2246" w:rsidRDefault="003F2246" w:rsidP="002A37BB">
      <w:pPr>
        <w:jc w:val="both"/>
        <w:rPr>
          <w:rFonts w:ascii="Arial" w:hAnsi="Arial" w:cs="Arial"/>
          <w:sz w:val="22"/>
          <w:szCs w:val="22"/>
          <w:lang w:val="en-GB"/>
        </w:rPr>
      </w:pPr>
    </w:p>
    <w:p w14:paraId="0CFF1AF1" w14:textId="1BA8C0DB" w:rsidR="003F2246" w:rsidRPr="003F2246" w:rsidRDefault="003F2246" w:rsidP="003F2246">
      <w:pPr>
        <w:ind w:left="567" w:right="521"/>
        <w:jc w:val="both"/>
        <w:rPr>
          <w:rFonts w:ascii="Arial" w:hAnsi="Arial" w:cs="Arial"/>
          <w:i/>
          <w:iCs/>
          <w:sz w:val="22"/>
          <w:szCs w:val="22"/>
          <w:lang w:val="en-GB"/>
        </w:rPr>
      </w:pPr>
      <w:r w:rsidRPr="003F2246">
        <w:rPr>
          <w:rFonts w:ascii="Arial" w:hAnsi="Arial" w:cs="Arial"/>
          <w:i/>
          <w:iCs/>
          <w:sz w:val="22"/>
          <w:szCs w:val="22"/>
          <w:lang w:val="en-GB"/>
        </w:rPr>
        <w:t>“A preference is a transfer of the debtor’s property made in a suspect period before</w:t>
      </w:r>
    </w:p>
    <w:p w14:paraId="31B9420E" w14:textId="77777777" w:rsidR="003F2246" w:rsidRPr="003F2246" w:rsidRDefault="003F2246" w:rsidP="003F2246">
      <w:pPr>
        <w:ind w:left="567" w:right="521"/>
        <w:jc w:val="both"/>
        <w:rPr>
          <w:rFonts w:ascii="Arial" w:hAnsi="Arial" w:cs="Arial"/>
          <w:i/>
          <w:iCs/>
          <w:sz w:val="22"/>
          <w:szCs w:val="22"/>
          <w:lang w:val="en-GB"/>
        </w:rPr>
      </w:pPr>
      <w:r w:rsidRPr="003F2246">
        <w:rPr>
          <w:rFonts w:ascii="Arial" w:hAnsi="Arial" w:cs="Arial"/>
          <w:i/>
          <w:iCs/>
          <w:sz w:val="22"/>
          <w:szCs w:val="22"/>
          <w:lang w:val="en-GB"/>
        </w:rPr>
        <w:t>the petition date that must be returned to the estate if it exceeds the amount the</w:t>
      </w:r>
    </w:p>
    <w:p w14:paraId="2B27D6E6" w14:textId="77777777" w:rsidR="003F2246" w:rsidRPr="003F2246" w:rsidRDefault="003F2246" w:rsidP="003F2246">
      <w:pPr>
        <w:ind w:left="567" w:right="521"/>
        <w:jc w:val="both"/>
        <w:rPr>
          <w:rFonts w:ascii="Arial" w:hAnsi="Arial" w:cs="Arial"/>
          <w:i/>
          <w:iCs/>
          <w:sz w:val="22"/>
          <w:szCs w:val="22"/>
          <w:lang w:val="en-GB"/>
        </w:rPr>
      </w:pPr>
      <w:r w:rsidRPr="003F2246">
        <w:rPr>
          <w:rFonts w:ascii="Arial" w:hAnsi="Arial" w:cs="Arial"/>
          <w:i/>
          <w:iCs/>
          <w:sz w:val="22"/>
          <w:szCs w:val="22"/>
          <w:lang w:val="en-GB"/>
        </w:rPr>
        <w:t>recipient would have received in a chapter 7 liquidation had the transfer not been</w:t>
      </w:r>
    </w:p>
    <w:p w14:paraId="4CA529E4" w14:textId="6951D3DA" w:rsidR="003F2246" w:rsidRPr="003F2246" w:rsidRDefault="003F2246" w:rsidP="003F2246">
      <w:pPr>
        <w:ind w:left="567" w:right="521"/>
        <w:jc w:val="both"/>
        <w:rPr>
          <w:rFonts w:ascii="Arial" w:hAnsi="Arial" w:cs="Arial"/>
          <w:i/>
          <w:iCs/>
          <w:sz w:val="22"/>
          <w:szCs w:val="22"/>
          <w:lang w:val="en-GB"/>
        </w:rPr>
      </w:pPr>
      <w:r w:rsidRPr="003F2246">
        <w:rPr>
          <w:rFonts w:ascii="Arial" w:hAnsi="Arial" w:cs="Arial"/>
          <w:i/>
          <w:iCs/>
          <w:sz w:val="22"/>
          <w:szCs w:val="22"/>
          <w:lang w:val="en-GB"/>
        </w:rPr>
        <w:t>made”.</w:t>
      </w:r>
    </w:p>
    <w:p w14:paraId="066587D7" w14:textId="77777777" w:rsidR="003F2246" w:rsidRPr="002A37BB" w:rsidRDefault="003F2246" w:rsidP="002A37BB">
      <w:pPr>
        <w:jc w:val="both"/>
        <w:rPr>
          <w:rFonts w:ascii="Arial" w:hAnsi="Arial" w:cs="Arial"/>
          <w:sz w:val="22"/>
          <w:szCs w:val="22"/>
          <w:lang w:val="en-GB"/>
        </w:rPr>
      </w:pPr>
    </w:p>
    <w:p w14:paraId="6407022F" w14:textId="11756CBD" w:rsidR="00C87E0A" w:rsidRDefault="003F2246" w:rsidP="00455018">
      <w:pPr>
        <w:jc w:val="both"/>
        <w:rPr>
          <w:rFonts w:ascii="Arial" w:hAnsi="Arial" w:cs="Arial"/>
          <w:sz w:val="22"/>
          <w:szCs w:val="22"/>
          <w:lang w:val="en-GB"/>
        </w:rPr>
      </w:pPr>
      <w:r w:rsidRPr="003F2246">
        <w:rPr>
          <w:rFonts w:ascii="Arial" w:hAnsi="Arial" w:cs="Arial"/>
          <w:sz w:val="22"/>
          <w:szCs w:val="22"/>
          <w:lang w:val="en-GB"/>
        </w:rPr>
        <w:t>The avoidance of this figure aims to treat in a similar way those creditors that are situated in a similar range or position, as well as disincentivize a race to collect from a debtor experiencing economic hardship.</w:t>
      </w:r>
    </w:p>
    <w:p w14:paraId="60D95AC9" w14:textId="0D7CBFD8" w:rsidR="003F2246" w:rsidRDefault="003F2246" w:rsidP="00455018">
      <w:pPr>
        <w:jc w:val="both"/>
        <w:rPr>
          <w:rFonts w:ascii="Arial" w:hAnsi="Arial" w:cs="Arial"/>
          <w:sz w:val="22"/>
          <w:szCs w:val="22"/>
          <w:lang w:val="en-GB"/>
        </w:rPr>
      </w:pPr>
    </w:p>
    <w:p w14:paraId="05D86763" w14:textId="7162A3E3" w:rsidR="003F2246" w:rsidRDefault="003F2246" w:rsidP="00455018">
      <w:pPr>
        <w:jc w:val="both"/>
        <w:rPr>
          <w:rFonts w:ascii="Arial" w:hAnsi="Arial" w:cs="Arial"/>
          <w:sz w:val="22"/>
          <w:szCs w:val="22"/>
          <w:lang w:val="en-GB"/>
        </w:rPr>
      </w:pPr>
      <w:r>
        <w:rPr>
          <w:rFonts w:ascii="Arial" w:hAnsi="Arial" w:cs="Arial"/>
          <w:sz w:val="22"/>
          <w:szCs w:val="22"/>
          <w:lang w:val="en-GB"/>
        </w:rPr>
        <w:t xml:space="preserve">The elements of preferences claims are the following: </w:t>
      </w:r>
    </w:p>
    <w:p w14:paraId="70362E41" w14:textId="77777777" w:rsidR="003F2246" w:rsidRDefault="003F2246" w:rsidP="00455018">
      <w:pPr>
        <w:jc w:val="both"/>
        <w:rPr>
          <w:rFonts w:ascii="Arial" w:hAnsi="Arial" w:cs="Arial"/>
          <w:sz w:val="22"/>
          <w:szCs w:val="22"/>
          <w:lang w:val="en-GB"/>
        </w:rPr>
      </w:pPr>
    </w:p>
    <w:p w14:paraId="01BC1A99" w14:textId="75B9AC67" w:rsidR="003F2246" w:rsidRDefault="003F2246" w:rsidP="00A16034">
      <w:pPr>
        <w:pStyle w:val="ListParagraph"/>
        <w:numPr>
          <w:ilvl w:val="0"/>
          <w:numId w:val="18"/>
        </w:numPr>
        <w:jc w:val="both"/>
        <w:rPr>
          <w:rFonts w:ascii="Arial" w:hAnsi="Arial" w:cs="Arial"/>
          <w:sz w:val="22"/>
          <w:szCs w:val="22"/>
          <w:lang w:val="en-GB"/>
        </w:rPr>
      </w:pPr>
      <w:r w:rsidRPr="003F2246">
        <w:rPr>
          <w:rFonts w:ascii="Arial" w:hAnsi="Arial" w:cs="Arial"/>
          <w:sz w:val="22"/>
          <w:szCs w:val="22"/>
          <w:lang w:val="en-GB"/>
        </w:rPr>
        <w:t>A transfer if an interest of the debtor in property</w:t>
      </w:r>
      <w:r>
        <w:rPr>
          <w:rFonts w:ascii="Arial" w:hAnsi="Arial" w:cs="Arial"/>
          <w:sz w:val="22"/>
          <w:szCs w:val="22"/>
          <w:lang w:val="en-GB"/>
        </w:rPr>
        <w:t>.</w:t>
      </w:r>
    </w:p>
    <w:p w14:paraId="6F17F3B6" w14:textId="408932E8" w:rsidR="003F2246" w:rsidRDefault="003F2246" w:rsidP="00A160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To or for the benefit of a creditor. </w:t>
      </w:r>
    </w:p>
    <w:p w14:paraId="6A72CF16" w14:textId="79827536" w:rsidR="003F2246" w:rsidRDefault="003F2246" w:rsidP="00A160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For or on account of an antecedent debt owed by the debtor before such transfer was made. </w:t>
      </w:r>
    </w:p>
    <w:p w14:paraId="1CD7A0B1" w14:textId="1FB7D357" w:rsidR="003F2246" w:rsidRDefault="003F2246" w:rsidP="00A160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Made while the debtor was insolvent. </w:t>
      </w:r>
    </w:p>
    <w:p w14:paraId="3EC425F1" w14:textId="20676582" w:rsidR="003F2246" w:rsidRDefault="003F2246" w:rsidP="00A16034">
      <w:pPr>
        <w:pStyle w:val="ListParagraph"/>
        <w:numPr>
          <w:ilvl w:val="0"/>
          <w:numId w:val="18"/>
        </w:numPr>
        <w:jc w:val="both"/>
        <w:rPr>
          <w:rFonts w:ascii="Arial" w:hAnsi="Arial" w:cs="Arial"/>
          <w:sz w:val="22"/>
          <w:szCs w:val="22"/>
          <w:lang w:val="en-GB"/>
        </w:rPr>
      </w:pPr>
      <w:r>
        <w:rPr>
          <w:rFonts w:ascii="Arial" w:hAnsi="Arial" w:cs="Arial"/>
          <w:sz w:val="22"/>
          <w:szCs w:val="22"/>
          <w:lang w:val="en-GB"/>
        </w:rPr>
        <w:t>Made during the suspect period.</w:t>
      </w:r>
    </w:p>
    <w:p w14:paraId="69436E44" w14:textId="77777777" w:rsidR="003F2246" w:rsidRDefault="003F2246" w:rsidP="00A16034">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Third parties: 90 days prior to the petition date. </w:t>
      </w:r>
    </w:p>
    <w:p w14:paraId="6A3373F7" w14:textId="5FB85D57" w:rsidR="003F2246" w:rsidRDefault="003F2246" w:rsidP="00A16034">
      <w:pPr>
        <w:pStyle w:val="ListParagraph"/>
        <w:numPr>
          <w:ilvl w:val="0"/>
          <w:numId w:val="19"/>
        </w:numPr>
        <w:jc w:val="both"/>
        <w:rPr>
          <w:rFonts w:ascii="Arial" w:hAnsi="Arial" w:cs="Arial"/>
          <w:sz w:val="22"/>
          <w:szCs w:val="22"/>
          <w:lang w:val="en-GB"/>
        </w:rPr>
      </w:pPr>
      <w:r>
        <w:rPr>
          <w:rFonts w:ascii="Arial" w:hAnsi="Arial" w:cs="Arial"/>
          <w:sz w:val="22"/>
          <w:szCs w:val="22"/>
          <w:lang w:val="en-GB"/>
        </w:rPr>
        <w:t>Insiders: one year prior to the petition date.</w:t>
      </w:r>
    </w:p>
    <w:p w14:paraId="3EE1B31D" w14:textId="37CACAB5" w:rsidR="003F2246" w:rsidRPr="003F2246" w:rsidRDefault="003F2246" w:rsidP="00A16034">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That enables the creditor to receive more than it would have in a chapter 7 liquidation. </w:t>
      </w:r>
    </w:p>
    <w:p w14:paraId="6BF4AE4A" w14:textId="7155C298" w:rsidR="003F2246" w:rsidRDefault="003F2246" w:rsidP="00455018">
      <w:pPr>
        <w:jc w:val="both"/>
        <w:rPr>
          <w:rFonts w:ascii="Arial" w:hAnsi="Arial" w:cs="Arial"/>
          <w:sz w:val="22"/>
          <w:szCs w:val="22"/>
          <w:lang w:val="en-GB"/>
        </w:rPr>
      </w:pPr>
    </w:p>
    <w:p w14:paraId="02173D3B" w14:textId="77777777" w:rsidR="003F2246" w:rsidRPr="003F2246" w:rsidRDefault="003F2246" w:rsidP="00455018">
      <w:pPr>
        <w:jc w:val="both"/>
        <w:rPr>
          <w:rFonts w:ascii="Arial" w:hAnsi="Arial" w:cs="Arial"/>
          <w:sz w:val="22"/>
          <w:szCs w:val="22"/>
          <w:lang w:val="en-GB"/>
        </w:rPr>
      </w:pPr>
    </w:p>
    <w:p w14:paraId="3FA0825B" w14:textId="71935CAA" w:rsidR="00E653A0" w:rsidRDefault="003F2246" w:rsidP="00A16034">
      <w:pPr>
        <w:pStyle w:val="ListParagraph"/>
        <w:numPr>
          <w:ilvl w:val="0"/>
          <w:numId w:val="17"/>
        </w:numPr>
        <w:jc w:val="both"/>
        <w:rPr>
          <w:rFonts w:ascii="Arial" w:hAnsi="Arial" w:cs="Arial"/>
          <w:b/>
          <w:bCs/>
          <w:sz w:val="22"/>
          <w:szCs w:val="22"/>
          <w:lang w:val="en-GB"/>
        </w:rPr>
      </w:pPr>
      <w:r w:rsidRPr="003F2246">
        <w:rPr>
          <w:rFonts w:ascii="Arial" w:hAnsi="Arial" w:cs="Arial"/>
          <w:b/>
          <w:bCs/>
          <w:sz w:val="22"/>
          <w:szCs w:val="22"/>
          <w:lang w:val="en-GB"/>
        </w:rPr>
        <w:t xml:space="preserve">Fraudulent </w:t>
      </w:r>
      <w:proofErr w:type="spellStart"/>
      <w:r w:rsidRPr="003F2246">
        <w:rPr>
          <w:rFonts w:ascii="Arial" w:hAnsi="Arial" w:cs="Arial"/>
          <w:b/>
          <w:bCs/>
          <w:sz w:val="22"/>
          <w:szCs w:val="22"/>
          <w:lang w:val="en-GB"/>
        </w:rPr>
        <w:t>coveyances</w:t>
      </w:r>
      <w:proofErr w:type="spellEnd"/>
    </w:p>
    <w:p w14:paraId="194D9ADC" w14:textId="77777777" w:rsidR="006C7393" w:rsidRDefault="006C7393" w:rsidP="003F2246">
      <w:pPr>
        <w:jc w:val="both"/>
        <w:rPr>
          <w:rFonts w:ascii="Arial" w:hAnsi="Arial" w:cs="Arial"/>
          <w:sz w:val="22"/>
          <w:szCs w:val="22"/>
          <w:lang w:val="en-GB"/>
        </w:rPr>
      </w:pPr>
    </w:p>
    <w:p w14:paraId="0BB52D2F" w14:textId="67515E81" w:rsidR="006C7393" w:rsidRDefault="006C7393" w:rsidP="003F2246">
      <w:pPr>
        <w:jc w:val="both"/>
        <w:rPr>
          <w:rFonts w:ascii="Arial" w:hAnsi="Arial" w:cs="Arial"/>
          <w:sz w:val="22"/>
          <w:szCs w:val="22"/>
          <w:lang w:val="en-GB"/>
        </w:rPr>
      </w:pPr>
      <w:r w:rsidRPr="006C7393">
        <w:rPr>
          <w:rFonts w:ascii="Arial" w:hAnsi="Arial" w:cs="Arial"/>
          <w:sz w:val="22"/>
          <w:szCs w:val="22"/>
          <w:lang w:val="en-GB"/>
        </w:rPr>
        <w:t xml:space="preserve">The main difference between preferences and fraudulent conveyance is that a preference is aimed largely at transactions immediately prior to bankruptcy, while fraudulent </w:t>
      </w:r>
      <w:proofErr w:type="spellStart"/>
      <w:r w:rsidRPr="006C7393">
        <w:rPr>
          <w:rFonts w:ascii="Arial" w:hAnsi="Arial" w:cs="Arial"/>
          <w:sz w:val="22"/>
          <w:szCs w:val="22"/>
          <w:lang w:val="en-GB"/>
        </w:rPr>
        <w:t>coveyances</w:t>
      </w:r>
      <w:proofErr w:type="spellEnd"/>
      <w:r w:rsidRPr="006C7393">
        <w:rPr>
          <w:rFonts w:ascii="Arial" w:hAnsi="Arial" w:cs="Arial"/>
          <w:sz w:val="22"/>
          <w:szCs w:val="22"/>
          <w:lang w:val="en-GB"/>
        </w:rPr>
        <w:t xml:space="preserve"> is made within two years before the filing of the bankruptcy petition.</w:t>
      </w:r>
      <w:r>
        <w:rPr>
          <w:rFonts w:ascii="Arial" w:hAnsi="Arial" w:cs="Arial"/>
          <w:sz w:val="22"/>
          <w:szCs w:val="22"/>
          <w:lang w:val="en-GB"/>
        </w:rPr>
        <w:t xml:space="preserve"> We can find two types of fraudulent </w:t>
      </w:r>
      <w:proofErr w:type="spellStart"/>
      <w:r>
        <w:rPr>
          <w:rFonts w:ascii="Arial" w:hAnsi="Arial" w:cs="Arial"/>
          <w:sz w:val="22"/>
          <w:szCs w:val="22"/>
          <w:lang w:val="en-GB"/>
        </w:rPr>
        <w:t>coveyances</w:t>
      </w:r>
      <w:proofErr w:type="spellEnd"/>
      <w:r>
        <w:rPr>
          <w:rFonts w:ascii="Arial" w:hAnsi="Arial" w:cs="Arial"/>
          <w:sz w:val="22"/>
          <w:szCs w:val="22"/>
          <w:lang w:val="en-GB"/>
        </w:rPr>
        <w:t>:</w:t>
      </w:r>
    </w:p>
    <w:p w14:paraId="37A35C92" w14:textId="1123217D" w:rsidR="006C7393" w:rsidRDefault="006C7393" w:rsidP="003F2246">
      <w:pPr>
        <w:jc w:val="both"/>
        <w:rPr>
          <w:rFonts w:ascii="Arial" w:hAnsi="Arial" w:cs="Arial"/>
          <w:sz w:val="22"/>
          <w:szCs w:val="22"/>
          <w:lang w:val="en-GB"/>
        </w:rPr>
      </w:pPr>
    </w:p>
    <w:p w14:paraId="0BC860BA" w14:textId="27189EC0" w:rsidR="006C7393" w:rsidRDefault="006C7393" w:rsidP="00A16034">
      <w:pPr>
        <w:pStyle w:val="ListParagraph"/>
        <w:numPr>
          <w:ilvl w:val="0"/>
          <w:numId w:val="20"/>
        </w:numPr>
        <w:jc w:val="both"/>
        <w:rPr>
          <w:rFonts w:ascii="Arial" w:hAnsi="Arial" w:cs="Arial"/>
          <w:sz w:val="22"/>
          <w:szCs w:val="22"/>
          <w:u w:val="single"/>
          <w:lang w:val="en-GB"/>
        </w:rPr>
      </w:pPr>
      <w:r w:rsidRPr="006C7393">
        <w:rPr>
          <w:rFonts w:ascii="Arial" w:hAnsi="Arial" w:cs="Arial"/>
          <w:sz w:val="22"/>
          <w:szCs w:val="22"/>
          <w:u w:val="single"/>
          <w:lang w:val="en-GB"/>
        </w:rPr>
        <w:lastRenderedPageBreak/>
        <w:t xml:space="preserve">Actual fraudulent </w:t>
      </w:r>
      <w:proofErr w:type="spellStart"/>
      <w:r w:rsidRPr="006C7393">
        <w:rPr>
          <w:rFonts w:ascii="Arial" w:hAnsi="Arial" w:cs="Arial"/>
          <w:sz w:val="22"/>
          <w:szCs w:val="22"/>
          <w:u w:val="single"/>
          <w:lang w:val="en-GB"/>
        </w:rPr>
        <w:t>coveyances</w:t>
      </w:r>
      <w:proofErr w:type="spellEnd"/>
    </w:p>
    <w:p w14:paraId="17B305C5" w14:textId="77777777" w:rsidR="006C7393" w:rsidRDefault="006C7393" w:rsidP="006C7393">
      <w:pPr>
        <w:jc w:val="both"/>
        <w:rPr>
          <w:rFonts w:ascii="Arial" w:hAnsi="Arial" w:cs="Arial"/>
          <w:sz w:val="22"/>
          <w:szCs w:val="22"/>
          <w:u w:val="single"/>
          <w:lang w:val="en-GB"/>
        </w:rPr>
      </w:pPr>
    </w:p>
    <w:p w14:paraId="768EE225" w14:textId="06637E20" w:rsidR="006C7393" w:rsidRPr="006C7393" w:rsidRDefault="006C7393" w:rsidP="006C7393">
      <w:pPr>
        <w:jc w:val="both"/>
        <w:rPr>
          <w:rFonts w:ascii="Arial" w:hAnsi="Arial" w:cs="Arial"/>
          <w:sz w:val="22"/>
          <w:szCs w:val="22"/>
          <w:lang w:val="en-GB"/>
        </w:rPr>
      </w:pPr>
      <w:r w:rsidRPr="006C7393">
        <w:rPr>
          <w:rFonts w:ascii="Arial" w:hAnsi="Arial" w:cs="Arial"/>
          <w:sz w:val="22"/>
          <w:szCs w:val="22"/>
          <w:lang w:val="en-GB"/>
        </w:rPr>
        <w:t xml:space="preserve">The Guidance text provides that: </w:t>
      </w:r>
    </w:p>
    <w:p w14:paraId="31EA39F0" w14:textId="01BD7B64" w:rsidR="006C7393" w:rsidRDefault="006C7393" w:rsidP="006C7393">
      <w:pPr>
        <w:jc w:val="both"/>
        <w:rPr>
          <w:rFonts w:ascii="Arial" w:hAnsi="Arial" w:cs="Arial"/>
          <w:sz w:val="22"/>
          <w:szCs w:val="22"/>
          <w:u w:val="single"/>
          <w:lang w:val="en-GB"/>
        </w:rPr>
      </w:pPr>
    </w:p>
    <w:p w14:paraId="5410E93A" w14:textId="77777777" w:rsidR="006C7393" w:rsidRPr="006C7393" w:rsidRDefault="006C7393" w:rsidP="006C7393">
      <w:pPr>
        <w:autoSpaceDE w:val="0"/>
        <w:autoSpaceDN w:val="0"/>
        <w:adjustRightInd w:val="0"/>
        <w:ind w:left="567" w:right="521"/>
        <w:jc w:val="both"/>
        <w:rPr>
          <w:rFonts w:ascii="ArialMT" w:eastAsia="MS Mincho" w:hAnsi="ArialMT" w:cs="ArialMT"/>
          <w:i/>
          <w:iCs/>
          <w:sz w:val="22"/>
          <w:szCs w:val="22"/>
          <w:lang w:val="es-ES"/>
        </w:rPr>
      </w:pPr>
      <w:proofErr w:type="spellStart"/>
      <w:r w:rsidRPr="006C7393">
        <w:rPr>
          <w:rFonts w:ascii="ArialMT" w:eastAsia="MS Mincho" w:hAnsi="ArialMT" w:cs="ArialMT"/>
          <w:i/>
          <w:iCs/>
          <w:sz w:val="22"/>
          <w:szCs w:val="22"/>
          <w:lang w:val="es-ES"/>
        </w:rPr>
        <w:t>An</w:t>
      </w:r>
      <w:proofErr w:type="spellEnd"/>
      <w:r w:rsidRPr="006C7393">
        <w:rPr>
          <w:rFonts w:ascii="ArialMT" w:eastAsia="MS Mincho" w:hAnsi="ArialMT" w:cs="ArialMT"/>
          <w:i/>
          <w:iCs/>
          <w:sz w:val="22"/>
          <w:szCs w:val="22"/>
          <w:lang w:val="es-ES"/>
        </w:rPr>
        <w:t xml:space="preserve"> </w:t>
      </w:r>
      <w:r w:rsidRPr="006C7393">
        <w:rPr>
          <w:rFonts w:ascii="Arial-BoldMT" w:eastAsia="MS Mincho" w:hAnsi="Arial-BoldMT" w:cs="Arial-BoldMT"/>
          <w:i/>
          <w:iCs/>
          <w:sz w:val="22"/>
          <w:szCs w:val="22"/>
          <w:lang w:val="es-ES"/>
        </w:rPr>
        <w:t xml:space="preserve">actual </w:t>
      </w:r>
      <w:proofErr w:type="spellStart"/>
      <w:r w:rsidRPr="006C7393">
        <w:rPr>
          <w:rFonts w:ascii="Arial-BoldMT" w:eastAsia="MS Mincho" w:hAnsi="Arial-BoldMT" w:cs="Arial-BoldMT"/>
          <w:i/>
          <w:iCs/>
          <w:sz w:val="22"/>
          <w:szCs w:val="22"/>
          <w:lang w:val="es-ES"/>
        </w:rPr>
        <w:t>fraudulent</w:t>
      </w:r>
      <w:proofErr w:type="spellEnd"/>
      <w:r w:rsidRPr="006C7393">
        <w:rPr>
          <w:rFonts w:ascii="Arial-BoldMT" w:eastAsia="MS Mincho" w:hAnsi="Arial-BoldMT" w:cs="Arial-BoldMT"/>
          <w:i/>
          <w:iCs/>
          <w:sz w:val="22"/>
          <w:szCs w:val="22"/>
          <w:lang w:val="es-ES"/>
        </w:rPr>
        <w:t xml:space="preserve"> </w:t>
      </w:r>
      <w:proofErr w:type="spellStart"/>
      <w:r w:rsidRPr="006C7393">
        <w:rPr>
          <w:rFonts w:ascii="Arial-BoldMT" w:eastAsia="MS Mincho" w:hAnsi="Arial-BoldMT" w:cs="Arial-BoldMT"/>
          <w:i/>
          <w:iCs/>
          <w:sz w:val="22"/>
          <w:szCs w:val="22"/>
          <w:lang w:val="es-ES"/>
        </w:rPr>
        <w:t>conveyance</w:t>
      </w:r>
      <w:proofErr w:type="spellEnd"/>
      <w:r w:rsidRPr="006C7393">
        <w:rPr>
          <w:rFonts w:ascii="Arial-BoldMT" w:eastAsia="MS Mincho" w:hAnsi="Arial-BoldMT" w:cs="Arial-BoldMT"/>
          <w:b/>
          <w:bCs/>
          <w:i/>
          <w:iCs/>
          <w:sz w:val="22"/>
          <w:szCs w:val="22"/>
          <w:lang w:val="es-ES"/>
        </w:rPr>
        <w:t xml:space="preserve"> </w:t>
      </w:r>
      <w:proofErr w:type="spellStart"/>
      <w:r w:rsidRPr="006C7393">
        <w:rPr>
          <w:rFonts w:ascii="ArialMT" w:eastAsia="MS Mincho" w:hAnsi="ArialMT" w:cs="ArialMT"/>
          <w:i/>
          <w:iCs/>
          <w:sz w:val="22"/>
          <w:szCs w:val="22"/>
          <w:lang w:val="es-ES"/>
        </w:rPr>
        <w:t>is</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proven</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by</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showing</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that</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the</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debtor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made</w:t>
      </w:r>
      <w:proofErr w:type="spellEnd"/>
      <w:r w:rsidRPr="006C7393">
        <w:rPr>
          <w:rFonts w:ascii="ArialMT" w:eastAsia="MS Mincho" w:hAnsi="ArialMT" w:cs="ArialMT"/>
          <w:i/>
          <w:iCs/>
          <w:sz w:val="22"/>
          <w:szCs w:val="22"/>
          <w:lang w:val="es-ES"/>
        </w:rPr>
        <w:t xml:space="preserve"> a</w:t>
      </w:r>
    </w:p>
    <w:p w14:paraId="5D335E94" w14:textId="00C74995" w:rsidR="006C7393" w:rsidRPr="006C7393" w:rsidRDefault="006C7393" w:rsidP="006C7393">
      <w:pPr>
        <w:autoSpaceDE w:val="0"/>
        <w:autoSpaceDN w:val="0"/>
        <w:adjustRightInd w:val="0"/>
        <w:ind w:left="567" w:right="521"/>
        <w:jc w:val="both"/>
        <w:rPr>
          <w:rFonts w:ascii="ArialMT" w:eastAsia="MS Mincho" w:hAnsi="ArialMT" w:cs="ArialMT"/>
          <w:i/>
          <w:iCs/>
          <w:sz w:val="22"/>
          <w:szCs w:val="22"/>
          <w:lang w:val="es-ES"/>
        </w:rPr>
      </w:pPr>
      <w:r w:rsidRPr="006C7393">
        <w:rPr>
          <w:rFonts w:ascii="ArialMT" w:eastAsia="MS Mincho" w:hAnsi="ArialMT" w:cs="ArialMT"/>
          <w:i/>
          <w:iCs/>
          <w:sz w:val="22"/>
          <w:szCs w:val="22"/>
          <w:lang w:val="es-ES"/>
        </w:rPr>
        <w:t xml:space="preserve">transfer </w:t>
      </w:r>
      <w:proofErr w:type="spellStart"/>
      <w:r w:rsidRPr="006C7393">
        <w:rPr>
          <w:rFonts w:ascii="ArialMT" w:eastAsia="MS Mincho" w:hAnsi="ArialMT" w:cs="ArialMT"/>
          <w:i/>
          <w:iCs/>
          <w:sz w:val="22"/>
          <w:szCs w:val="22"/>
          <w:lang w:val="es-ES"/>
        </w:rPr>
        <w:t>or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incurred</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an</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obligation</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with</w:t>
      </w:r>
      <w:proofErr w:type="spellEnd"/>
      <w:r w:rsidRPr="006C7393">
        <w:rPr>
          <w:rFonts w:ascii="ArialMT" w:eastAsia="MS Mincho" w:hAnsi="ArialMT" w:cs="ArialMT"/>
          <w:i/>
          <w:iCs/>
          <w:sz w:val="22"/>
          <w:szCs w:val="22"/>
          <w:lang w:val="es-ES"/>
        </w:rPr>
        <w:t xml:space="preserve"> actual </w:t>
      </w:r>
      <w:proofErr w:type="spellStart"/>
      <w:r w:rsidRPr="006C7393">
        <w:rPr>
          <w:rFonts w:ascii="ArialMT" w:eastAsia="MS Mincho" w:hAnsi="ArialMT" w:cs="ArialMT"/>
          <w:b/>
          <w:bCs/>
          <w:i/>
          <w:iCs/>
          <w:sz w:val="22"/>
          <w:szCs w:val="22"/>
          <w:lang w:val="es-ES"/>
        </w:rPr>
        <w:t>intent</w:t>
      </w:r>
      <w:proofErr w:type="spellEnd"/>
      <w:r w:rsidRPr="006C7393">
        <w:rPr>
          <w:rFonts w:ascii="ArialMT" w:eastAsia="MS Mincho" w:hAnsi="ArialMT" w:cs="ArialMT"/>
          <w:i/>
          <w:iCs/>
          <w:sz w:val="22"/>
          <w:szCs w:val="22"/>
          <w:lang w:val="es-ES"/>
        </w:rPr>
        <w:t xml:space="preserve"> to </w:t>
      </w:r>
      <w:proofErr w:type="spellStart"/>
      <w:r w:rsidRPr="006C7393">
        <w:rPr>
          <w:rFonts w:ascii="ArialMT" w:eastAsia="MS Mincho" w:hAnsi="ArialMT" w:cs="ArialMT"/>
          <w:i/>
          <w:iCs/>
          <w:sz w:val="22"/>
          <w:szCs w:val="22"/>
          <w:lang w:val="es-ES"/>
        </w:rPr>
        <w:t>hinder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delay</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or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defraud</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any</w:t>
      </w:r>
      <w:proofErr w:type="spellEnd"/>
      <w:r>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entity</w:t>
      </w:r>
      <w:proofErr w:type="spellEnd"/>
      <w:r w:rsidRPr="006C7393">
        <w:rPr>
          <w:rFonts w:ascii="ArialMT" w:eastAsia="MS Mincho" w:hAnsi="ArialMT" w:cs="ArialMT"/>
          <w:i/>
          <w:iCs/>
          <w:sz w:val="22"/>
          <w:szCs w:val="22"/>
          <w:lang w:val="es-ES"/>
        </w:rPr>
        <w:t xml:space="preserve"> to </w:t>
      </w:r>
      <w:proofErr w:type="spellStart"/>
      <w:r w:rsidRPr="006C7393">
        <w:rPr>
          <w:rFonts w:ascii="ArialMT" w:eastAsia="MS Mincho" w:hAnsi="ArialMT" w:cs="ArialMT"/>
          <w:i/>
          <w:iCs/>
          <w:sz w:val="22"/>
          <w:szCs w:val="22"/>
          <w:lang w:val="es-ES"/>
        </w:rPr>
        <w:t>which</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the</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debtor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was</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or</w:t>
      </w:r>
      <w:proofErr w:type="spellEnd"/>
      <w:r w:rsidRPr="006C7393">
        <w:rPr>
          <w:rFonts w:ascii="ArialMT" w:eastAsia="MS Mincho" w:hAnsi="ArialMT" w:cs="ArialMT"/>
          <w:i/>
          <w:iCs/>
          <w:sz w:val="22"/>
          <w:szCs w:val="22"/>
          <w:lang w:val="es-ES"/>
        </w:rPr>
        <w:t xml:space="preserve"> </w:t>
      </w:r>
      <w:proofErr w:type="spellStart"/>
      <w:r w:rsidRPr="006C7393">
        <w:rPr>
          <w:rFonts w:ascii="ArialMT" w:eastAsia="MS Mincho" w:hAnsi="ArialMT" w:cs="ArialMT"/>
          <w:i/>
          <w:iCs/>
          <w:sz w:val="22"/>
          <w:szCs w:val="22"/>
          <w:lang w:val="es-ES"/>
        </w:rPr>
        <w:t>became</w:t>
      </w:r>
      <w:proofErr w:type="spellEnd"/>
      <w:r w:rsidRPr="006C7393">
        <w:rPr>
          <w:rFonts w:ascii="ArialMT" w:eastAsia="MS Mincho" w:hAnsi="ArialMT" w:cs="ArialMT"/>
          <w:i/>
          <w:iCs/>
          <w:sz w:val="22"/>
          <w:szCs w:val="22"/>
          <w:lang w:val="es-ES"/>
        </w:rPr>
        <w:t xml:space="preserve"> . . . </w:t>
      </w:r>
      <w:proofErr w:type="spellStart"/>
      <w:r w:rsidRPr="006C7393">
        <w:rPr>
          <w:rFonts w:ascii="ArialMT" w:eastAsia="MS Mincho" w:hAnsi="ArialMT" w:cs="ArialMT"/>
          <w:b/>
          <w:bCs/>
          <w:i/>
          <w:iCs/>
          <w:sz w:val="22"/>
          <w:szCs w:val="22"/>
          <w:lang w:val="es-ES"/>
        </w:rPr>
        <w:t>indebted</w:t>
      </w:r>
      <w:proofErr w:type="spellEnd"/>
      <w:r w:rsidRPr="006C7393">
        <w:rPr>
          <w:rFonts w:ascii="ArialMT" w:eastAsia="MS Mincho" w:hAnsi="ArialMT" w:cs="ArialMT"/>
          <w:i/>
          <w:iCs/>
          <w:sz w:val="22"/>
          <w:szCs w:val="22"/>
          <w:lang w:val="es-ES"/>
        </w:rPr>
        <w:t>.”</w:t>
      </w:r>
    </w:p>
    <w:p w14:paraId="340978A5" w14:textId="77777777" w:rsidR="009176E8" w:rsidRDefault="009176E8" w:rsidP="003F2246">
      <w:pPr>
        <w:jc w:val="both"/>
        <w:rPr>
          <w:rFonts w:ascii="Arial" w:hAnsi="Arial" w:cs="Arial"/>
          <w:sz w:val="22"/>
          <w:szCs w:val="22"/>
          <w:lang w:val="en-GB"/>
        </w:rPr>
      </w:pPr>
    </w:p>
    <w:p w14:paraId="718C00DC" w14:textId="6A66196C" w:rsidR="003F2246" w:rsidRDefault="006C7393" w:rsidP="003F2246">
      <w:pPr>
        <w:jc w:val="both"/>
        <w:rPr>
          <w:rFonts w:ascii="Arial" w:hAnsi="Arial" w:cs="Arial"/>
          <w:sz w:val="22"/>
          <w:szCs w:val="22"/>
          <w:lang w:val="en-GB"/>
        </w:rPr>
      </w:pPr>
      <w:r w:rsidRPr="009176E8">
        <w:rPr>
          <w:rFonts w:ascii="Arial" w:hAnsi="Arial" w:cs="Arial"/>
          <w:sz w:val="22"/>
          <w:szCs w:val="22"/>
          <w:lang w:val="en-GB"/>
        </w:rPr>
        <w:t xml:space="preserve">The two main elements to pay attention two in this case are the </w:t>
      </w:r>
      <w:r w:rsidR="009176E8" w:rsidRPr="009176E8">
        <w:rPr>
          <w:rFonts w:ascii="Arial" w:hAnsi="Arial" w:cs="Arial"/>
          <w:sz w:val="22"/>
          <w:szCs w:val="22"/>
          <w:lang w:val="en-GB"/>
        </w:rPr>
        <w:t>“</w:t>
      </w:r>
      <w:r w:rsidRPr="009176E8">
        <w:rPr>
          <w:rFonts w:ascii="Arial" w:hAnsi="Arial" w:cs="Arial"/>
          <w:i/>
          <w:iCs/>
          <w:sz w:val="22"/>
          <w:szCs w:val="22"/>
          <w:lang w:val="en-GB"/>
        </w:rPr>
        <w:t>actual intent</w:t>
      </w:r>
      <w:r w:rsidR="009176E8" w:rsidRPr="009176E8">
        <w:rPr>
          <w:rFonts w:ascii="Arial" w:hAnsi="Arial" w:cs="Arial"/>
          <w:sz w:val="22"/>
          <w:szCs w:val="22"/>
          <w:lang w:val="en-GB"/>
        </w:rPr>
        <w:t xml:space="preserve">” and the indebtedness. </w:t>
      </w:r>
    </w:p>
    <w:p w14:paraId="69EA2903" w14:textId="57343DB1" w:rsidR="009176E8" w:rsidRDefault="009176E8" w:rsidP="003F2246">
      <w:pPr>
        <w:jc w:val="both"/>
        <w:rPr>
          <w:rFonts w:ascii="Arial" w:hAnsi="Arial" w:cs="Arial"/>
          <w:sz w:val="22"/>
          <w:szCs w:val="22"/>
          <w:lang w:val="en-GB"/>
        </w:rPr>
      </w:pPr>
    </w:p>
    <w:p w14:paraId="0A2F94D5" w14:textId="73480DAA" w:rsidR="009176E8" w:rsidRDefault="009176E8" w:rsidP="009176E8">
      <w:pPr>
        <w:jc w:val="both"/>
        <w:rPr>
          <w:rFonts w:ascii="Arial" w:hAnsi="Arial" w:cs="Arial"/>
          <w:sz w:val="22"/>
          <w:szCs w:val="22"/>
          <w:lang w:val="en-GB"/>
        </w:rPr>
      </w:pPr>
      <w:r>
        <w:rPr>
          <w:rFonts w:ascii="Arial" w:hAnsi="Arial" w:cs="Arial"/>
          <w:sz w:val="22"/>
          <w:szCs w:val="22"/>
          <w:lang w:val="en-GB"/>
        </w:rPr>
        <w:t>For the above purposes, a</w:t>
      </w:r>
      <w:r w:rsidRPr="009176E8">
        <w:rPr>
          <w:rFonts w:ascii="Arial" w:hAnsi="Arial" w:cs="Arial"/>
          <w:sz w:val="22"/>
          <w:szCs w:val="22"/>
          <w:lang w:val="en-GB"/>
        </w:rPr>
        <w:t xml:space="preserve"> debtor may expect to</w:t>
      </w:r>
      <w:r>
        <w:rPr>
          <w:rFonts w:ascii="Arial" w:hAnsi="Arial" w:cs="Arial"/>
          <w:sz w:val="22"/>
          <w:szCs w:val="22"/>
          <w:lang w:val="en-GB"/>
        </w:rPr>
        <w:t xml:space="preserve"> </w:t>
      </w:r>
      <w:r w:rsidRPr="009176E8">
        <w:rPr>
          <w:rFonts w:ascii="Arial" w:hAnsi="Arial" w:cs="Arial"/>
          <w:sz w:val="22"/>
          <w:szCs w:val="22"/>
          <w:lang w:val="en-GB"/>
        </w:rPr>
        <w:t>become “</w:t>
      </w:r>
      <w:r w:rsidRPr="009176E8">
        <w:rPr>
          <w:rFonts w:ascii="Arial" w:hAnsi="Arial" w:cs="Arial"/>
          <w:b/>
          <w:bCs/>
          <w:sz w:val="22"/>
          <w:szCs w:val="22"/>
          <w:lang w:val="en-GB"/>
        </w:rPr>
        <w:t>indebted</w:t>
      </w:r>
      <w:r w:rsidRPr="009176E8">
        <w:rPr>
          <w:rFonts w:ascii="Arial" w:hAnsi="Arial" w:cs="Arial"/>
          <w:sz w:val="22"/>
          <w:szCs w:val="22"/>
          <w:lang w:val="en-GB"/>
        </w:rPr>
        <w:t>”, when it anticipates liability under a</w:t>
      </w:r>
      <w:r>
        <w:rPr>
          <w:rFonts w:ascii="Arial" w:hAnsi="Arial" w:cs="Arial"/>
          <w:sz w:val="22"/>
          <w:szCs w:val="22"/>
          <w:lang w:val="en-GB"/>
        </w:rPr>
        <w:t xml:space="preserve"> </w:t>
      </w:r>
      <w:r w:rsidRPr="009176E8">
        <w:rPr>
          <w:rFonts w:ascii="Arial" w:hAnsi="Arial" w:cs="Arial"/>
          <w:sz w:val="22"/>
          <w:szCs w:val="22"/>
          <w:lang w:val="en-GB"/>
        </w:rPr>
        <w:t>money judgment, settlement, penalty or similar obligation arising from violation of</w:t>
      </w:r>
      <w:r>
        <w:rPr>
          <w:rFonts w:ascii="Arial" w:hAnsi="Arial" w:cs="Arial"/>
          <w:sz w:val="22"/>
          <w:szCs w:val="22"/>
          <w:lang w:val="en-GB"/>
        </w:rPr>
        <w:t xml:space="preserve"> </w:t>
      </w:r>
      <w:r w:rsidRPr="009176E8">
        <w:rPr>
          <w:rFonts w:ascii="Arial" w:hAnsi="Arial" w:cs="Arial"/>
          <w:sz w:val="22"/>
          <w:szCs w:val="22"/>
          <w:lang w:val="en-GB"/>
        </w:rPr>
        <w:t>state or federal securities laws or fraud, deceit, or manipulation in the sale of a</w:t>
      </w:r>
      <w:r>
        <w:rPr>
          <w:rFonts w:ascii="Arial" w:hAnsi="Arial" w:cs="Arial"/>
          <w:sz w:val="22"/>
          <w:szCs w:val="22"/>
          <w:lang w:val="en-GB"/>
        </w:rPr>
        <w:t xml:space="preserve"> </w:t>
      </w:r>
      <w:r w:rsidRPr="009176E8">
        <w:rPr>
          <w:rFonts w:ascii="Arial" w:hAnsi="Arial" w:cs="Arial"/>
          <w:sz w:val="22"/>
          <w:szCs w:val="22"/>
          <w:lang w:val="en-GB"/>
        </w:rPr>
        <w:t>registered security.</w:t>
      </w:r>
    </w:p>
    <w:p w14:paraId="2E413822" w14:textId="1713301E" w:rsidR="009176E8" w:rsidRDefault="009176E8" w:rsidP="009176E8">
      <w:pPr>
        <w:jc w:val="both"/>
        <w:rPr>
          <w:rFonts w:ascii="Arial" w:hAnsi="Arial" w:cs="Arial"/>
          <w:sz w:val="22"/>
          <w:szCs w:val="22"/>
          <w:lang w:val="en-GB"/>
        </w:rPr>
      </w:pPr>
    </w:p>
    <w:p w14:paraId="5629B87A" w14:textId="33531485" w:rsidR="009176E8" w:rsidRDefault="009176E8" w:rsidP="009176E8">
      <w:pPr>
        <w:jc w:val="both"/>
        <w:rPr>
          <w:rFonts w:ascii="Arial" w:hAnsi="Arial" w:cs="Arial"/>
          <w:sz w:val="22"/>
          <w:szCs w:val="22"/>
          <w:lang w:val="en-GB"/>
        </w:rPr>
      </w:pPr>
      <w:r w:rsidRPr="009176E8">
        <w:rPr>
          <w:rFonts w:ascii="Arial" w:hAnsi="Arial" w:cs="Arial"/>
          <w:sz w:val="22"/>
          <w:szCs w:val="22"/>
          <w:lang w:val="en-GB"/>
        </w:rPr>
        <w:t>Intent may be proven circumstantially, by reference to “badges</w:t>
      </w:r>
      <w:r>
        <w:rPr>
          <w:rFonts w:ascii="Arial" w:hAnsi="Arial" w:cs="Arial"/>
          <w:sz w:val="22"/>
          <w:szCs w:val="22"/>
          <w:lang w:val="en-GB"/>
        </w:rPr>
        <w:t xml:space="preserve"> </w:t>
      </w:r>
      <w:r w:rsidRPr="009176E8">
        <w:rPr>
          <w:rFonts w:ascii="Arial" w:hAnsi="Arial" w:cs="Arial"/>
          <w:sz w:val="22"/>
          <w:szCs w:val="22"/>
          <w:lang w:val="en-GB"/>
        </w:rPr>
        <w:t>of fraud” developed in state fraudulent transfer law</w:t>
      </w:r>
      <w:r>
        <w:rPr>
          <w:rFonts w:ascii="Arial" w:hAnsi="Arial" w:cs="Arial"/>
          <w:sz w:val="22"/>
          <w:szCs w:val="22"/>
          <w:lang w:val="en-GB"/>
        </w:rPr>
        <w:t xml:space="preserve">, which are the following: </w:t>
      </w:r>
    </w:p>
    <w:p w14:paraId="15470F4E" w14:textId="6222E6C5" w:rsidR="009176E8" w:rsidRDefault="009176E8" w:rsidP="009176E8">
      <w:pPr>
        <w:jc w:val="both"/>
        <w:rPr>
          <w:rFonts w:ascii="Arial" w:hAnsi="Arial" w:cs="Arial"/>
          <w:sz w:val="22"/>
          <w:szCs w:val="22"/>
          <w:lang w:val="en-GB"/>
        </w:rPr>
      </w:pPr>
    </w:p>
    <w:p w14:paraId="57B489EA" w14:textId="5745F078"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transfer or obligation was to an insider;</w:t>
      </w:r>
    </w:p>
    <w:p w14:paraId="7968F922" w14:textId="7C31371D"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debtor retained possession or control of the property transferred after the transfer;</w:t>
      </w:r>
    </w:p>
    <w:p w14:paraId="4B2A865C" w14:textId="2AE5B7FF"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transfer or obligation was disclosed or concealed;</w:t>
      </w:r>
    </w:p>
    <w:p w14:paraId="4D4CB1BC" w14:textId="78C972D1"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before the transfer was made or obligation was incurred, the debtor had been sued or threatened with suit;</w:t>
      </w:r>
    </w:p>
    <w:p w14:paraId="124B45CD" w14:textId="7866E727"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transfer was of substantially all the debtor’s assets;</w:t>
      </w:r>
    </w:p>
    <w:p w14:paraId="6CC18E67" w14:textId="40371ACE"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debtor absconded;</w:t>
      </w:r>
    </w:p>
    <w:p w14:paraId="588109D1" w14:textId="5AB17908"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debtor removed or concealed assets;</w:t>
      </w:r>
    </w:p>
    <w:p w14:paraId="1A1B84F4" w14:textId="1A9B42B2"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value of the consideration received by the debtor was not reasonably equivalent to the value of the asset transferred or the amount of the obligation incurred;</w:t>
      </w:r>
    </w:p>
    <w:p w14:paraId="1B0075B4" w14:textId="636F5B10"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debtor was insolvent or became insolvent shortly after the transfer was made or the obligation was incurred;</w:t>
      </w:r>
    </w:p>
    <w:p w14:paraId="3382D0CD" w14:textId="239D4ED0"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transfer occurred shortly before or shortly after a substantial debt was incurred; and</w:t>
      </w:r>
    </w:p>
    <w:p w14:paraId="6FFBFFAF" w14:textId="29F26C6E" w:rsidR="009176E8" w:rsidRPr="009176E8" w:rsidRDefault="009176E8" w:rsidP="00A16034">
      <w:pPr>
        <w:pStyle w:val="ListParagraph"/>
        <w:numPr>
          <w:ilvl w:val="1"/>
          <w:numId w:val="21"/>
        </w:numPr>
        <w:jc w:val="both"/>
        <w:rPr>
          <w:rFonts w:ascii="Arial" w:hAnsi="Arial" w:cs="Arial"/>
          <w:i/>
          <w:iCs/>
          <w:sz w:val="22"/>
          <w:szCs w:val="22"/>
          <w:lang w:val="en-GB"/>
        </w:rPr>
      </w:pPr>
      <w:r w:rsidRPr="009176E8">
        <w:rPr>
          <w:rFonts w:ascii="Arial" w:hAnsi="Arial" w:cs="Arial"/>
          <w:i/>
          <w:iCs/>
          <w:sz w:val="22"/>
          <w:szCs w:val="22"/>
          <w:lang w:val="en-GB"/>
        </w:rPr>
        <w:t>the debtor transferred the essential assets of the business to a lienor that transferred the assets to an insider of the debtor.</w:t>
      </w:r>
    </w:p>
    <w:p w14:paraId="7B57BEBE" w14:textId="77777777" w:rsidR="009176E8" w:rsidRDefault="009176E8" w:rsidP="009176E8">
      <w:pPr>
        <w:jc w:val="both"/>
        <w:rPr>
          <w:rFonts w:ascii="Arial" w:hAnsi="Arial" w:cs="Arial"/>
          <w:sz w:val="22"/>
          <w:szCs w:val="22"/>
          <w:lang w:val="en-GB"/>
        </w:rPr>
      </w:pPr>
    </w:p>
    <w:p w14:paraId="48E4240E" w14:textId="4C5DC2F7" w:rsidR="009176E8" w:rsidRDefault="009176E8" w:rsidP="00A16034">
      <w:pPr>
        <w:pStyle w:val="ListParagraph"/>
        <w:numPr>
          <w:ilvl w:val="0"/>
          <w:numId w:val="22"/>
        </w:numPr>
        <w:jc w:val="both"/>
        <w:rPr>
          <w:rFonts w:ascii="Arial" w:hAnsi="Arial" w:cs="Arial"/>
          <w:sz w:val="22"/>
          <w:szCs w:val="22"/>
          <w:u w:val="single"/>
          <w:lang w:val="en-GB"/>
        </w:rPr>
      </w:pPr>
      <w:r w:rsidRPr="009176E8">
        <w:rPr>
          <w:rFonts w:ascii="Arial" w:hAnsi="Arial" w:cs="Arial"/>
          <w:sz w:val="22"/>
          <w:szCs w:val="22"/>
          <w:u w:val="single"/>
          <w:lang w:val="en-GB"/>
        </w:rPr>
        <w:t xml:space="preserve">Constructive fraudulent </w:t>
      </w:r>
      <w:r>
        <w:rPr>
          <w:rFonts w:ascii="Arial" w:hAnsi="Arial" w:cs="Arial"/>
          <w:sz w:val="22"/>
          <w:szCs w:val="22"/>
          <w:u w:val="single"/>
          <w:lang w:val="en-GB"/>
        </w:rPr>
        <w:t>conveyance</w:t>
      </w:r>
    </w:p>
    <w:p w14:paraId="440D6CD9" w14:textId="77777777" w:rsidR="009176E8" w:rsidRDefault="009176E8" w:rsidP="009176E8">
      <w:pPr>
        <w:pStyle w:val="ListParagraph"/>
        <w:jc w:val="both"/>
        <w:rPr>
          <w:rFonts w:ascii="Arial" w:hAnsi="Arial" w:cs="Arial"/>
          <w:sz w:val="22"/>
          <w:szCs w:val="22"/>
          <w:u w:val="single"/>
          <w:lang w:val="en-GB"/>
        </w:rPr>
      </w:pPr>
    </w:p>
    <w:p w14:paraId="4B082344" w14:textId="44D8FB0A" w:rsidR="009176E8" w:rsidRDefault="009176E8" w:rsidP="009176E8">
      <w:pPr>
        <w:jc w:val="both"/>
        <w:rPr>
          <w:rFonts w:ascii="Arial" w:hAnsi="Arial" w:cs="Arial"/>
          <w:sz w:val="22"/>
          <w:szCs w:val="22"/>
          <w:lang w:val="en-GB"/>
        </w:rPr>
      </w:pPr>
      <w:r w:rsidRPr="009176E8">
        <w:rPr>
          <w:rFonts w:ascii="Arial" w:hAnsi="Arial" w:cs="Arial"/>
          <w:sz w:val="22"/>
          <w:szCs w:val="22"/>
          <w:lang w:val="en-GB"/>
        </w:rPr>
        <w:t xml:space="preserve">While the actual fraudulent conveyance involves the intent to defraud creditors, the constructive fraudulent conveyance involves a transfer, which is made in exchange for </w:t>
      </w:r>
      <w:proofErr w:type="spellStart"/>
      <w:r w:rsidRPr="009176E8">
        <w:rPr>
          <w:rFonts w:ascii="Arial" w:hAnsi="Arial" w:cs="Arial"/>
          <w:sz w:val="22"/>
          <w:szCs w:val="22"/>
          <w:lang w:val="en-GB"/>
        </w:rPr>
        <w:t>manifiestly</w:t>
      </w:r>
      <w:proofErr w:type="spellEnd"/>
      <w:r w:rsidRPr="009176E8">
        <w:rPr>
          <w:rFonts w:ascii="Arial" w:hAnsi="Arial" w:cs="Arial"/>
          <w:sz w:val="22"/>
          <w:szCs w:val="22"/>
          <w:lang w:val="en-GB"/>
        </w:rPr>
        <w:t xml:space="preserve"> inadequate consideration.</w:t>
      </w:r>
    </w:p>
    <w:p w14:paraId="532377B0" w14:textId="12B3789A" w:rsidR="009176E8" w:rsidRDefault="009176E8" w:rsidP="009176E8">
      <w:pPr>
        <w:jc w:val="both"/>
        <w:rPr>
          <w:rFonts w:ascii="Arial" w:hAnsi="Arial" w:cs="Arial"/>
          <w:sz w:val="22"/>
          <w:szCs w:val="22"/>
          <w:lang w:val="en-GB"/>
        </w:rPr>
      </w:pPr>
    </w:p>
    <w:p w14:paraId="00C67827" w14:textId="2EBC4F54" w:rsidR="009176E8" w:rsidRPr="009176E8" w:rsidRDefault="009176E8" w:rsidP="009176E8">
      <w:pPr>
        <w:jc w:val="both"/>
        <w:rPr>
          <w:rFonts w:ascii="Arial" w:hAnsi="Arial" w:cs="Arial"/>
          <w:sz w:val="22"/>
          <w:szCs w:val="22"/>
          <w:lang w:val="en-GB"/>
        </w:rPr>
      </w:pPr>
      <w:r>
        <w:rPr>
          <w:rFonts w:ascii="Arial" w:hAnsi="Arial" w:cs="Arial"/>
          <w:sz w:val="22"/>
          <w:szCs w:val="22"/>
          <w:lang w:val="en-GB"/>
        </w:rPr>
        <w:t>I</w:t>
      </w:r>
      <w:r w:rsidRPr="009176E8">
        <w:rPr>
          <w:rFonts w:ascii="Arial" w:hAnsi="Arial" w:cs="Arial"/>
          <w:sz w:val="22"/>
          <w:szCs w:val="22"/>
          <w:lang w:val="en-GB"/>
        </w:rPr>
        <w:t>n accordance with the above,</w:t>
      </w:r>
      <w:r>
        <w:rPr>
          <w:rFonts w:ascii="Arial" w:hAnsi="Arial" w:cs="Arial"/>
          <w:sz w:val="22"/>
          <w:szCs w:val="22"/>
          <w:lang w:val="en-GB"/>
        </w:rPr>
        <w:t xml:space="preserve"> a</w:t>
      </w:r>
      <w:r w:rsidRPr="009176E8">
        <w:rPr>
          <w:rFonts w:ascii="Arial" w:hAnsi="Arial" w:cs="Arial"/>
          <w:sz w:val="22"/>
          <w:szCs w:val="22"/>
          <w:lang w:val="en-GB"/>
        </w:rPr>
        <w:t xml:space="preserve"> constructive fraudulent conveyance is proven by showing that the debtor</w:t>
      </w:r>
      <w:r>
        <w:rPr>
          <w:rFonts w:ascii="Arial" w:hAnsi="Arial" w:cs="Arial"/>
          <w:sz w:val="22"/>
          <w:szCs w:val="22"/>
          <w:lang w:val="en-GB"/>
        </w:rPr>
        <w:t xml:space="preserve"> </w:t>
      </w:r>
      <w:r w:rsidRPr="009176E8">
        <w:rPr>
          <w:rFonts w:ascii="Arial" w:hAnsi="Arial" w:cs="Arial"/>
          <w:sz w:val="22"/>
          <w:szCs w:val="22"/>
          <w:lang w:val="en-GB"/>
        </w:rPr>
        <w:t>received less than reasonably equivalent value in exchange for a transfer or</w:t>
      </w:r>
    </w:p>
    <w:p w14:paraId="58FC2524" w14:textId="6EE8C509" w:rsidR="009176E8" w:rsidRPr="009176E8" w:rsidRDefault="009176E8" w:rsidP="009176E8">
      <w:pPr>
        <w:jc w:val="both"/>
        <w:rPr>
          <w:rFonts w:ascii="Arial" w:hAnsi="Arial" w:cs="Arial"/>
          <w:sz w:val="22"/>
          <w:szCs w:val="22"/>
          <w:lang w:val="en-GB"/>
        </w:rPr>
      </w:pPr>
      <w:r w:rsidRPr="009176E8">
        <w:rPr>
          <w:rFonts w:ascii="Arial" w:hAnsi="Arial" w:cs="Arial"/>
          <w:sz w:val="22"/>
          <w:szCs w:val="22"/>
          <w:lang w:val="en-GB"/>
        </w:rPr>
        <w:t>incurrence of obligation</w:t>
      </w:r>
      <w:r>
        <w:rPr>
          <w:rFonts w:ascii="Arial" w:hAnsi="Arial" w:cs="Arial"/>
          <w:sz w:val="22"/>
          <w:szCs w:val="22"/>
          <w:lang w:val="en-GB"/>
        </w:rPr>
        <w:t xml:space="preserve">. In addition, </w:t>
      </w:r>
      <w:r w:rsidRPr="009176E8">
        <w:rPr>
          <w:rFonts w:ascii="Arial" w:hAnsi="Arial" w:cs="Arial"/>
          <w:sz w:val="22"/>
          <w:szCs w:val="22"/>
          <w:lang w:val="en-GB"/>
        </w:rPr>
        <w:t>one of the following additional factors was present:</w:t>
      </w:r>
    </w:p>
    <w:p w14:paraId="48B8ABB4" w14:textId="351A2F04" w:rsidR="009176E8" w:rsidRPr="009176E8" w:rsidRDefault="009176E8" w:rsidP="00A16034">
      <w:pPr>
        <w:pStyle w:val="ListParagraph"/>
        <w:numPr>
          <w:ilvl w:val="2"/>
          <w:numId w:val="23"/>
        </w:numPr>
        <w:jc w:val="both"/>
        <w:rPr>
          <w:rFonts w:ascii="Arial" w:hAnsi="Arial" w:cs="Arial"/>
          <w:sz w:val="22"/>
          <w:szCs w:val="22"/>
          <w:lang w:val="en-GB"/>
        </w:rPr>
      </w:pPr>
      <w:r w:rsidRPr="009176E8">
        <w:rPr>
          <w:rFonts w:ascii="Arial" w:hAnsi="Arial" w:cs="Arial"/>
          <w:sz w:val="22"/>
          <w:szCs w:val="22"/>
          <w:lang w:val="en-GB"/>
        </w:rPr>
        <w:t>the debtor was insolvent at the time of or became insolvent as a result of the transaction;</w:t>
      </w:r>
    </w:p>
    <w:p w14:paraId="644AE80E" w14:textId="0BB6AE47" w:rsidR="009176E8" w:rsidRPr="009176E8" w:rsidRDefault="009176E8" w:rsidP="00A16034">
      <w:pPr>
        <w:pStyle w:val="ListParagraph"/>
        <w:numPr>
          <w:ilvl w:val="2"/>
          <w:numId w:val="23"/>
        </w:numPr>
        <w:jc w:val="both"/>
        <w:rPr>
          <w:rFonts w:ascii="Arial" w:hAnsi="Arial" w:cs="Arial"/>
          <w:sz w:val="22"/>
          <w:szCs w:val="22"/>
          <w:lang w:val="en-GB"/>
        </w:rPr>
      </w:pPr>
      <w:r w:rsidRPr="009176E8">
        <w:rPr>
          <w:rFonts w:ascii="Arial" w:hAnsi="Arial" w:cs="Arial"/>
          <w:sz w:val="22"/>
          <w:szCs w:val="22"/>
          <w:lang w:val="en-GB"/>
        </w:rPr>
        <w:t>the debtor was unreasonably undercapitalized for the business or transactions it was engaged in or planned to engage in;</w:t>
      </w:r>
    </w:p>
    <w:p w14:paraId="4DE14DE7" w14:textId="5A3B3CE4" w:rsidR="009176E8" w:rsidRPr="009176E8" w:rsidRDefault="009176E8" w:rsidP="00A16034">
      <w:pPr>
        <w:pStyle w:val="ListParagraph"/>
        <w:numPr>
          <w:ilvl w:val="2"/>
          <w:numId w:val="23"/>
        </w:numPr>
        <w:jc w:val="both"/>
        <w:rPr>
          <w:rFonts w:ascii="Arial" w:hAnsi="Arial" w:cs="Arial"/>
          <w:sz w:val="22"/>
          <w:szCs w:val="22"/>
          <w:lang w:val="en-GB"/>
        </w:rPr>
      </w:pPr>
      <w:r w:rsidRPr="009176E8">
        <w:rPr>
          <w:rFonts w:ascii="Arial" w:hAnsi="Arial" w:cs="Arial"/>
          <w:sz w:val="22"/>
          <w:szCs w:val="22"/>
          <w:lang w:val="en-GB"/>
        </w:rPr>
        <w:t>the debtor intended to or believe it would incur debts beyond its ability to pay on maturity; or</w:t>
      </w:r>
    </w:p>
    <w:p w14:paraId="0A26615F" w14:textId="2A86A236" w:rsidR="009176E8" w:rsidRPr="009176E8" w:rsidRDefault="009176E8" w:rsidP="00A16034">
      <w:pPr>
        <w:pStyle w:val="ListParagraph"/>
        <w:numPr>
          <w:ilvl w:val="2"/>
          <w:numId w:val="23"/>
        </w:numPr>
        <w:jc w:val="both"/>
        <w:rPr>
          <w:rFonts w:ascii="Arial" w:hAnsi="Arial" w:cs="Arial"/>
          <w:sz w:val="22"/>
          <w:szCs w:val="22"/>
          <w:lang w:val="en-GB"/>
        </w:rPr>
      </w:pPr>
      <w:r w:rsidRPr="009176E8">
        <w:rPr>
          <w:rFonts w:ascii="Arial" w:hAnsi="Arial" w:cs="Arial"/>
          <w:sz w:val="22"/>
          <w:szCs w:val="22"/>
          <w:lang w:val="en-GB"/>
        </w:rPr>
        <w:t>the transfer was made to or for the benefit of an insider, or the debtor incurred an obligation under an employment contract with an insider outside the ordinary course of business.</w:t>
      </w: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lastRenderedPageBreak/>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23CE8EAD" w:rsidR="005E6076" w:rsidRDefault="00922998" w:rsidP="005E6076">
      <w:pPr>
        <w:jc w:val="both"/>
        <w:rPr>
          <w:rFonts w:ascii="Arial" w:hAnsi="Arial" w:cs="Arial"/>
          <w:sz w:val="22"/>
          <w:szCs w:val="22"/>
          <w:lang w:val="en-GB"/>
        </w:rPr>
      </w:pPr>
      <w:r w:rsidRPr="00922998">
        <w:rPr>
          <w:rFonts w:ascii="Arial" w:hAnsi="Arial" w:cs="Arial"/>
          <w:sz w:val="22"/>
          <w:szCs w:val="22"/>
          <w:lang w:val="en-GB"/>
        </w:rPr>
        <w:t xml:space="preserve">Whether a proceeding is a main or non-main under Chapter 15 is determined by where the company's centre of main interests </w:t>
      </w:r>
      <w:r>
        <w:rPr>
          <w:rFonts w:ascii="Arial" w:hAnsi="Arial" w:cs="Arial"/>
          <w:sz w:val="22"/>
          <w:szCs w:val="22"/>
          <w:lang w:val="en-GB"/>
        </w:rPr>
        <w:t>ins based.</w:t>
      </w:r>
    </w:p>
    <w:p w14:paraId="46443AD2" w14:textId="42915811" w:rsidR="00922998" w:rsidRDefault="00922998" w:rsidP="005E6076">
      <w:pPr>
        <w:jc w:val="both"/>
        <w:rPr>
          <w:rFonts w:ascii="Arial" w:hAnsi="Arial" w:cs="Arial"/>
          <w:sz w:val="22"/>
          <w:szCs w:val="22"/>
          <w:lang w:val="en-GB"/>
        </w:rPr>
      </w:pPr>
    </w:p>
    <w:p w14:paraId="5CEC4C7B" w14:textId="3DA9B16D" w:rsidR="00922998" w:rsidRDefault="00922998" w:rsidP="00922998">
      <w:pPr>
        <w:jc w:val="both"/>
        <w:rPr>
          <w:rFonts w:ascii="Arial" w:hAnsi="Arial" w:cs="Arial"/>
          <w:sz w:val="22"/>
          <w:szCs w:val="22"/>
          <w:lang w:val="en-GB"/>
        </w:rPr>
      </w:pPr>
      <w:r>
        <w:rPr>
          <w:rFonts w:ascii="Arial" w:hAnsi="Arial" w:cs="Arial"/>
          <w:sz w:val="22"/>
          <w:szCs w:val="22"/>
          <w:lang w:val="en-GB"/>
        </w:rPr>
        <w:t>To these effects, f</w:t>
      </w:r>
      <w:r w:rsidRPr="00922998">
        <w:rPr>
          <w:rFonts w:ascii="Arial" w:hAnsi="Arial" w:cs="Arial"/>
          <w:sz w:val="22"/>
          <w:szCs w:val="22"/>
          <w:lang w:val="en-GB"/>
        </w:rPr>
        <w:t xml:space="preserve">oreign main proceedings </w:t>
      </w:r>
      <w:r>
        <w:rPr>
          <w:rFonts w:ascii="Arial" w:hAnsi="Arial" w:cs="Arial"/>
          <w:sz w:val="22"/>
          <w:szCs w:val="22"/>
          <w:lang w:val="en-GB"/>
        </w:rPr>
        <w:t>will be</w:t>
      </w:r>
      <w:r w:rsidRPr="00922998">
        <w:rPr>
          <w:rFonts w:ascii="Arial" w:hAnsi="Arial" w:cs="Arial"/>
          <w:sz w:val="22"/>
          <w:szCs w:val="22"/>
          <w:lang w:val="en-GB"/>
        </w:rPr>
        <w:t xml:space="preserve"> those that are commenced in the debtor’s </w:t>
      </w:r>
      <w:proofErr w:type="spellStart"/>
      <w:r w:rsidRPr="00922998">
        <w:rPr>
          <w:rFonts w:ascii="Arial" w:hAnsi="Arial" w:cs="Arial"/>
          <w:sz w:val="22"/>
          <w:szCs w:val="22"/>
          <w:lang w:val="en-GB"/>
        </w:rPr>
        <w:t>center</w:t>
      </w:r>
      <w:proofErr w:type="spellEnd"/>
      <w:r w:rsidRPr="00922998">
        <w:rPr>
          <w:rFonts w:ascii="Arial" w:hAnsi="Arial" w:cs="Arial"/>
          <w:sz w:val="22"/>
          <w:szCs w:val="22"/>
          <w:lang w:val="en-GB"/>
        </w:rPr>
        <w:t xml:space="preserve"> of</w:t>
      </w:r>
      <w:r>
        <w:rPr>
          <w:rFonts w:ascii="Arial" w:hAnsi="Arial" w:cs="Arial"/>
          <w:sz w:val="22"/>
          <w:szCs w:val="22"/>
          <w:lang w:val="en-GB"/>
        </w:rPr>
        <w:t xml:space="preserve"> </w:t>
      </w:r>
      <w:r w:rsidRPr="00922998">
        <w:rPr>
          <w:rFonts w:ascii="Arial" w:hAnsi="Arial" w:cs="Arial"/>
          <w:sz w:val="22"/>
          <w:szCs w:val="22"/>
          <w:lang w:val="en-GB"/>
        </w:rPr>
        <w:t>main interests (COMI)</w:t>
      </w:r>
      <w:r>
        <w:rPr>
          <w:rFonts w:ascii="Arial" w:hAnsi="Arial" w:cs="Arial"/>
          <w:sz w:val="22"/>
          <w:szCs w:val="22"/>
          <w:lang w:val="en-GB"/>
        </w:rPr>
        <w:t>.</w:t>
      </w:r>
    </w:p>
    <w:p w14:paraId="32086D27" w14:textId="085040BF" w:rsidR="00922998" w:rsidRDefault="00922998" w:rsidP="00922998">
      <w:pPr>
        <w:jc w:val="both"/>
        <w:rPr>
          <w:rFonts w:ascii="Arial" w:hAnsi="Arial" w:cs="Arial"/>
          <w:sz w:val="22"/>
          <w:szCs w:val="22"/>
          <w:lang w:val="en-GB"/>
        </w:rPr>
      </w:pPr>
    </w:p>
    <w:p w14:paraId="41840D2C" w14:textId="77777777" w:rsidR="00FB5AB7" w:rsidRDefault="00922998" w:rsidP="00922998">
      <w:pPr>
        <w:jc w:val="both"/>
        <w:rPr>
          <w:rFonts w:ascii="Arial" w:hAnsi="Arial" w:cs="Arial"/>
          <w:sz w:val="22"/>
          <w:szCs w:val="22"/>
          <w:lang w:val="en-GB"/>
        </w:rPr>
      </w:pPr>
      <w:r>
        <w:rPr>
          <w:rFonts w:ascii="Arial" w:hAnsi="Arial" w:cs="Arial"/>
          <w:sz w:val="22"/>
          <w:szCs w:val="22"/>
          <w:lang w:val="en-GB"/>
        </w:rPr>
        <w:t xml:space="preserve">As it is explained in the Guidance Text, </w:t>
      </w:r>
      <w:r w:rsidRPr="00922998">
        <w:rPr>
          <w:rFonts w:ascii="Arial" w:hAnsi="Arial" w:cs="Arial"/>
          <w:sz w:val="22"/>
          <w:szCs w:val="22"/>
          <w:lang w:val="en-GB"/>
        </w:rPr>
        <w:t xml:space="preserve">COMI is a concept foreign to US law, which as </w:t>
      </w:r>
      <w:r>
        <w:rPr>
          <w:rFonts w:ascii="Arial" w:hAnsi="Arial" w:cs="Arial"/>
          <w:sz w:val="22"/>
          <w:szCs w:val="22"/>
          <w:lang w:val="en-GB"/>
        </w:rPr>
        <w:t xml:space="preserve"> usua</w:t>
      </w:r>
      <w:r w:rsidRPr="00922998">
        <w:rPr>
          <w:rFonts w:ascii="Arial" w:hAnsi="Arial" w:cs="Arial"/>
          <w:sz w:val="22"/>
          <w:szCs w:val="22"/>
          <w:lang w:val="en-GB"/>
        </w:rPr>
        <w:t>lly uses the concepts of domicile, principal place of business, and</w:t>
      </w:r>
      <w:r>
        <w:rPr>
          <w:rFonts w:ascii="Arial" w:hAnsi="Arial" w:cs="Arial"/>
          <w:sz w:val="22"/>
          <w:szCs w:val="22"/>
          <w:lang w:val="en-GB"/>
        </w:rPr>
        <w:t xml:space="preserve"> </w:t>
      </w:r>
      <w:r w:rsidRPr="00922998">
        <w:rPr>
          <w:rFonts w:ascii="Arial" w:hAnsi="Arial" w:cs="Arial"/>
          <w:sz w:val="22"/>
          <w:szCs w:val="22"/>
          <w:lang w:val="en-GB"/>
        </w:rPr>
        <w:t>location of assets in determining jurisdiction and venue.</w:t>
      </w:r>
      <w:r>
        <w:rPr>
          <w:rFonts w:ascii="Arial" w:hAnsi="Arial" w:cs="Arial"/>
          <w:sz w:val="22"/>
          <w:szCs w:val="22"/>
          <w:lang w:val="en-GB"/>
        </w:rPr>
        <w:t xml:space="preserve"> </w:t>
      </w:r>
    </w:p>
    <w:p w14:paraId="77353C35" w14:textId="77777777" w:rsidR="00FB5AB7" w:rsidRDefault="00FB5AB7" w:rsidP="00922998">
      <w:pPr>
        <w:jc w:val="both"/>
        <w:rPr>
          <w:rFonts w:ascii="Arial" w:hAnsi="Arial" w:cs="Arial"/>
          <w:sz w:val="22"/>
          <w:szCs w:val="22"/>
          <w:lang w:val="en-GB"/>
        </w:rPr>
      </w:pPr>
    </w:p>
    <w:p w14:paraId="35679379" w14:textId="11DE51AA" w:rsidR="00FB5AB7" w:rsidRDefault="00FB5AB7" w:rsidP="00922998">
      <w:pPr>
        <w:jc w:val="both"/>
        <w:rPr>
          <w:rFonts w:ascii="Arial" w:hAnsi="Arial" w:cs="Arial"/>
          <w:sz w:val="22"/>
          <w:szCs w:val="22"/>
          <w:lang w:val="en-GB"/>
        </w:rPr>
      </w:pPr>
      <w:r w:rsidRPr="00FB5AB7">
        <w:rPr>
          <w:rFonts w:ascii="Arial" w:hAnsi="Arial" w:cs="Arial"/>
          <w:sz w:val="22"/>
          <w:szCs w:val="22"/>
          <w:lang w:val="en-GB"/>
        </w:rPr>
        <w:t>In relation to the foregoing, the court has ruled in</w:t>
      </w:r>
      <w:r>
        <w:rPr>
          <w:rFonts w:ascii="Arial" w:hAnsi="Arial" w:cs="Arial"/>
          <w:sz w:val="22"/>
          <w:szCs w:val="22"/>
          <w:lang w:val="en-GB"/>
        </w:rPr>
        <w:t xml:space="preserve"> </w:t>
      </w:r>
      <w:r w:rsidRPr="00FB5AB7">
        <w:rPr>
          <w:rFonts w:ascii="Arial" w:hAnsi="Arial" w:cs="Arial"/>
          <w:sz w:val="22"/>
          <w:szCs w:val="22"/>
          <w:lang w:val="en-GB"/>
        </w:rPr>
        <w:t xml:space="preserve">Morning Mist Holdings Ltd v </w:t>
      </w:r>
      <w:proofErr w:type="spellStart"/>
      <w:r w:rsidRPr="00FB5AB7">
        <w:rPr>
          <w:rFonts w:ascii="Arial" w:hAnsi="Arial" w:cs="Arial"/>
          <w:sz w:val="22"/>
          <w:szCs w:val="22"/>
          <w:lang w:val="en-GB"/>
        </w:rPr>
        <w:t>Krys</w:t>
      </w:r>
      <w:proofErr w:type="spellEnd"/>
      <w:r>
        <w:rPr>
          <w:rFonts w:ascii="Arial" w:hAnsi="Arial" w:cs="Arial"/>
          <w:sz w:val="22"/>
          <w:szCs w:val="22"/>
          <w:lang w:val="en-GB"/>
        </w:rPr>
        <w:t xml:space="preserve"> case, stating the following: </w:t>
      </w:r>
    </w:p>
    <w:p w14:paraId="08C932B5" w14:textId="29AAFB0F" w:rsidR="00FB5AB7" w:rsidRDefault="00FB5AB7" w:rsidP="00922998">
      <w:pPr>
        <w:jc w:val="both"/>
        <w:rPr>
          <w:rFonts w:ascii="Arial" w:hAnsi="Arial" w:cs="Arial"/>
          <w:sz w:val="22"/>
          <w:szCs w:val="22"/>
          <w:lang w:val="en-GB"/>
        </w:rPr>
      </w:pPr>
    </w:p>
    <w:p w14:paraId="1F6E35DC" w14:textId="0A1D053D" w:rsidR="00FB5AB7" w:rsidRDefault="00FB5AB7" w:rsidP="00FB5AB7">
      <w:pPr>
        <w:ind w:left="567" w:right="521"/>
        <w:jc w:val="both"/>
        <w:rPr>
          <w:rFonts w:ascii="Arial" w:hAnsi="Arial" w:cs="Arial"/>
          <w:sz w:val="22"/>
          <w:szCs w:val="22"/>
          <w:lang w:val="en-GB"/>
        </w:rPr>
      </w:pPr>
      <w:r>
        <w:rPr>
          <w:rFonts w:ascii="Arial" w:hAnsi="Arial" w:cs="Arial"/>
          <w:sz w:val="22"/>
          <w:szCs w:val="22"/>
          <w:lang w:val="en-GB"/>
        </w:rPr>
        <w:t>“</w:t>
      </w:r>
      <w:r w:rsidRPr="00FB5AB7">
        <w:rPr>
          <w:rFonts w:ascii="Arial" w:hAnsi="Arial" w:cs="Arial"/>
          <w:i/>
          <w:iCs/>
          <w:sz w:val="22"/>
          <w:szCs w:val="22"/>
          <w:lang w:val="en-GB"/>
        </w:rPr>
        <w:t xml:space="preserve">In a nutshell: for a proceeding to be recognized as a “foreign main proceeding,” it must be “pending in the country where the debtor has the </w:t>
      </w:r>
      <w:proofErr w:type="spellStart"/>
      <w:r w:rsidRPr="00FB5AB7">
        <w:rPr>
          <w:rFonts w:ascii="Arial" w:hAnsi="Arial" w:cs="Arial"/>
          <w:i/>
          <w:iCs/>
          <w:sz w:val="22"/>
          <w:szCs w:val="22"/>
          <w:lang w:val="en-GB"/>
        </w:rPr>
        <w:t>center</w:t>
      </w:r>
      <w:proofErr w:type="spellEnd"/>
      <w:r w:rsidRPr="00FB5AB7">
        <w:rPr>
          <w:rFonts w:ascii="Arial" w:hAnsi="Arial" w:cs="Arial"/>
          <w:i/>
          <w:iCs/>
          <w:sz w:val="22"/>
          <w:szCs w:val="22"/>
          <w:lang w:val="en-GB"/>
        </w:rPr>
        <w:t xml:space="preserve"> of its main interests.” 11 U.S.C. § 1517(b)(1). That determination is based on a debtor’s COMI at the time the Chapter 15 petition is filed. A court may look at the period between the commencement of the foreign proceeding and the filing of the Chapter 15 petition to ensure that a debtor has not manipulated its COMI in bad faith, but there is no support for Morning Mist’s contention that a debtor’s entire operational history should be considered. The factors that a court may consider in this analysis are not limited and may include the debtor’s liquidation activities.”</w:t>
      </w:r>
    </w:p>
    <w:p w14:paraId="165E99E1" w14:textId="77777777" w:rsidR="00FB5AB7" w:rsidRDefault="00FB5AB7" w:rsidP="00FB5AB7">
      <w:pPr>
        <w:jc w:val="both"/>
        <w:rPr>
          <w:rFonts w:ascii="Arial" w:hAnsi="Arial" w:cs="Arial"/>
          <w:sz w:val="22"/>
          <w:szCs w:val="22"/>
          <w:lang w:val="en-GB"/>
        </w:rPr>
      </w:pPr>
    </w:p>
    <w:p w14:paraId="5AB56C8F" w14:textId="3A2E614A" w:rsidR="00922998" w:rsidRPr="00922998" w:rsidRDefault="00FB5AB7" w:rsidP="00922998">
      <w:pPr>
        <w:jc w:val="both"/>
        <w:rPr>
          <w:rFonts w:ascii="Arial" w:hAnsi="Arial" w:cs="Arial"/>
          <w:sz w:val="22"/>
          <w:szCs w:val="22"/>
          <w:lang w:val="en-GB"/>
        </w:rPr>
      </w:pPr>
      <w:r>
        <w:rPr>
          <w:rFonts w:ascii="Arial" w:hAnsi="Arial" w:cs="Arial"/>
          <w:sz w:val="22"/>
          <w:szCs w:val="22"/>
          <w:lang w:val="en-GB"/>
        </w:rPr>
        <w:t>Thus, a</w:t>
      </w:r>
      <w:r w:rsidR="00922998" w:rsidRPr="00922998">
        <w:rPr>
          <w:rFonts w:ascii="Arial" w:hAnsi="Arial" w:cs="Arial"/>
          <w:sz w:val="22"/>
          <w:szCs w:val="22"/>
          <w:lang w:val="en-GB"/>
        </w:rPr>
        <w:t xml:space="preserve"> debtor’s COMI is</w:t>
      </w:r>
      <w:r w:rsidR="00922998">
        <w:rPr>
          <w:rFonts w:ascii="Arial" w:hAnsi="Arial" w:cs="Arial"/>
          <w:sz w:val="22"/>
          <w:szCs w:val="22"/>
          <w:lang w:val="en-GB"/>
        </w:rPr>
        <w:t xml:space="preserve"> </w:t>
      </w:r>
      <w:r w:rsidR="00922998" w:rsidRPr="00922998">
        <w:rPr>
          <w:rFonts w:ascii="Arial" w:hAnsi="Arial" w:cs="Arial"/>
          <w:sz w:val="22"/>
          <w:szCs w:val="22"/>
          <w:lang w:val="en-GB"/>
        </w:rPr>
        <w:t>presumed to be its place of incorporation, but this is rebuttable.</w:t>
      </w:r>
      <w:r w:rsidR="00922998">
        <w:rPr>
          <w:rFonts w:ascii="Arial" w:hAnsi="Arial" w:cs="Arial"/>
          <w:sz w:val="22"/>
          <w:szCs w:val="22"/>
          <w:lang w:val="en-GB"/>
        </w:rPr>
        <w:t xml:space="preserve"> The most r</w:t>
      </w:r>
      <w:r w:rsidR="00922998" w:rsidRPr="00922998">
        <w:rPr>
          <w:rFonts w:ascii="Arial" w:hAnsi="Arial" w:cs="Arial"/>
          <w:sz w:val="22"/>
          <w:szCs w:val="22"/>
          <w:lang w:val="en-GB"/>
        </w:rPr>
        <w:t>elevant factors in</w:t>
      </w:r>
      <w:r w:rsidR="00922998">
        <w:rPr>
          <w:rFonts w:ascii="Arial" w:hAnsi="Arial" w:cs="Arial"/>
          <w:sz w:val="22"/>
          <w:szCs w:val="22"/>
          <w:lang w:val="en-GB"/>
        </w:rPr>
        <w:t xml:space="preserve"> </w:t>
      </w:r>
      <w:r w:rsidR="00922998" w:rsidRPr="00922998">
        <w:rPr>
          <w:rFonts w:ascii="Arial" w:hAnsi="Arial" w:cs="Arial"/>
          <w:sz w:val="22"/>
          <w:szCs w:val="22"/>
          <w:lang w:val="en-GB"/>
        </w:rPr>
        <w:t xml:space="preserve">the COMI analysis </w:t>
      </w:r>
      <w:r w:rsidR="00922998">
        <w:rPr>
          <w:rFonts w:ascii="Arial" w:hAnsi="Arial" w:cs="Arial"/>
          <w:sz w:val="22"/>
          <w:szCs w:val="22"/>
          <w:lang w:val="en-GB"/>
        </w:rPr>
        <w:t>are</w:t>
      </w:r>
      <w:r w:rsidR="00922998" w:rsidRPr="00922998">
        <w:rPr>
          <w:rFonts w:ascii="Arial" w:hAnsi="Arial" w:cs="Arial"/>
          <w:sz w:val="22"/>
          <w:szCs w:val="22"/>
          <w:lang w:val="en-GB"/>
        </w:rPr>
        <w:t>:</w:t>
      </w:r>
    </w:p>
    <w:p w14:paraId="7D128A9A" w14:textId="71694EBB"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location of headquarters;</w:t>
      </w:r>
    </w:p>
    <w:p w14:paraId="52AFB494" w14:textId="77777777"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location of management;</w:t>
      </w:r>
    </w:p>
    <w:p w14:paraId="2D67CC9A" w14:textId="39AF7EC9"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location of primary assets;</w:t>
      </w:r>
    </w:p>
    <w:p w14:paraId="022100DF" w14:textId="39105C95"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location of a majority of debtor’s creditors or a majority of the creditors that will</w:t>
      </w:r>
    </w:p>
    <w:p w14:paraId="55A9A1EC" w14:textId="77777777"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be affected by the relief requested by the foreign representative; and</w:t>
      </w:r>
    </w:p>
    <w:p w14:paraId="09D08F1F" w14:textId="67B5C282" w:rsidR="00922998" w:rsidRPr="00922998" w:rsidRDefault="00922998" w:rsidP="00A16034">
      <w:pPr>
        <w:pStyle w:val="ListParagraph"/>
        <w:numPr>
          <w:ilvl w:val="0"/>
          <w:numId w:val="24"/>
        </w:numPr>
        <w:jc w:val="both"/>
        <w:rPr>
          <w:rFonts w:ascii="Arial" w:hAnsi="Arial" w:cs="Arial"/>
          <w:sz w:val="22"/>
          <w:szCs w:val="22"/>
          <w:lang w:val="en-GB"/>
        </w:rPr>
      </w:pPr>
      <w:r w:rsidRPr="00922998">
        <w:rPr>
          <w:rFonts w:ascii="Arial" w:hAnsi="Arial" w:cs="Arial"/>
          <w:sz w:val="22"/>
          <w:szCs w:val="22"/>
          <w:lang w:val="en-GB"/>
        </w:rPr>
        <w:t>jurisdiction whose law will apply to most disputes.</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63CFF1AE" w14:textId="25A63446" w:rsidR="00FB5AB7" w:rsidRPr="00EE7735" w:rsidRDefault="00FB5AB7" w:rsidP="00FB5AB7">
      <w:pPr>
        <w:autoSpaceDE w:val="0"/>
        <w:autoSpaceDN w:val="0"/>
        <w:adjustRightInd w:val="0"/>
        <w:jc w:val="both"/>
        <w:rPr>
          <w:rFonts w:ascii="ArialMT" w:eastAsia="MS Mincho" w:hAnsi="ArialMT" w:cs="ArialMT"/>
          <w:sz w:val="22"/>
          <w:szCs w:val="22"/>
          <w:lang w:val="es-ES"/>
        </w:rPr>
      </w:pPr>
      <w:r>
        <w:rPr>
          <w:rFonts w:ascii="ArialMT" w:eastAsia="MS Mincho" w:hAnsi="ArialMT" w:cs="ArialMT"/>
          <w:sz w:val="22"/>
          <w:szCs w:val="22"/>
          <w:lang w:val="es-ES"/>
        </w:rPr>
        <w:t xml:space="preserve">A </w:t>
      </w:r>
      <w:proofErr w:type="spellStart"/>
      <w:r>
        <w:rPr>
          <w:rFonts w:ascii="ArialMT" w:eastAsia="MS Mincho" w:hAnsi="ArialMT" w:cs="ArialMT"/>
          <w:sz w:val="22"/>
          <w:szCs w:val="22"/>
          <w:lang w:val="es-ES"/>
        </w:rPr>
        <w:t>debtor’s</w:t>
      </w:r>
      <w:proofErr w:type="spellEnd"/>
      <w:r>
        <w:rPr>
          <w:rFonts w:ascii="ArialMT" w:eastAsia="MS Mincho" w:hAnsi="ArialMT" w:cs="ArialMT"/>
          <w:sz w:val="22"/>
          <w:szCs w:val="22"/>
          <w:lang w:val="es-ES"/>
        </w:rPr>
        <w:t xml:space="preserve"> COMI </w:t>
      </w:r>
      <w:proofErr w:type="spellStart"/>
      <w:r>
        <w:rPr>
          <w:rFonts w:ascii="ArialMT" w:eastAsia="MS Mincho" w:hAnsi="ArialMT" w:cs="ArialMT"/>
          <w:sz w:val="22"/>
          <w:szCs w:val="22"/>
          <w:lang w:val="es-ES"/>
        </w:rPr>
        <w:t>should</w:t>
      </w:r>
      <w:proofErr w:type="spellEnd"/>
      <w:r>
        <w:rPr>
          <w:rFonts w:ascii="ArialMT" w:eastAsia="MS Mincho" w:hAnsi="ArialMT" w:cs="ArialMT"/>
          <w:sz w:val="22"/>
          <w:szCs w:val="22"/>
          <w:lang w:val="es-ES"/>
        </w:rPr>
        <w:t xml:space="preserve"> be </w:t>
      </w:r>
      <w:proofErr w:type="spellStart"/>
      <w:r>
        <w:rPr>
          <w:rFonts w:ascii="ArialMT" w:eastAsia="MS Mincho" w:hAnsi="ArialMT" w:cs="ArialMT"/>
          <w:sz w:val="22"/>
          <w:szCs w:val="22"/>
          <w:lang w:val="es-ES"/>
        </w:rPr>
        <w:t>ascertainable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creditors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other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third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parties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sidR="00EE7735">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basis</w:t>
      </w:r>
      <w:proofErr w:type="spellEnd"/>
      <w:r>
        <w:rPr>
          <w:rFonts w:ascii="ArialMT" w:eastAsia="MS Mincho" w:hAnsi="ArialMT" w:cs="ArialMT"/>
          <w:sz w:val="22"/>
          <w:szCs w:val="22"/>
          <w:lang w:val="es-ES"/>
        </w:rPr>
        <w:t xml:space="preserve"> of </w:t>
      </w:r>
      <w:proofErr w:type="spellStart"/>
      <w:r>
        <w:rPr>
          <w:rFonts w:ascii="ArialMT" w:eastAsia="MS Mincho" w:hAnsi="ArialMT" w:cs="ArialMT"/>
          <w:sz w:val="22"/>
          <w:szCs w:val="22"/>
          <w:lang w:val="es-ES"/>
        </w:rPr>
        <w:t>objective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evidence</w:t>
      </w:r>
      <w:proofErr w:type="spellEnd"/>
      <w:r>
        <w:rPr>
          <w:rFonts w:ascii="ArialMT" w:eastAsia="MS Mincho" w:hAnsi="ArialMT" w:cs="ArialMT"/>
          <w:sz w:val="22"/>
          <w:szCs w:val="22"/>
          <w:lang w:val="es-ES"/>
        </w:rPr>
        <w:t>.</w:t>
      </w:r>
      <w:r>
        <w:rPr>
          <w:rFonts w:ascii="ArialMT" w:eastAsia="MS Mincho" w:hAnsi="ArialMT" w:cs="ArialMT"/>
          <w:sz w:val="14"/>
          <w:szCs w:val="14"/>
          <w:lang w:val="es-ES"/>
        </w:rPr>
        <w:t xml:space="preserve"> </w:t>
      </w:r>
      <w:r>
        <w:rPr>
          <w:rFonts w:ascii="ArialMT" w:eastAsia="MS Mincho" w:hAnsi="ArialMT" w:cs="ArialMT"/>
          <w:sz w:val="22"/>
          <w:szCs w:val="22"/>
          <w:lang w:val="es-ES"/>
        </w:rPr>
        <w:t xml:space="preserve">At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point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relevant</w:t>
      </w:r>
      <w:proofErr w:type="spellEnd"/>
      <w:r>
        <w:rPr>
          <w:rFonts w:ascii="ArialMT" w:eastAsia="MS Mincho" w:hAnsi="ArialMT" w:cs="ArialMT"/>
          <w:sz w:val="22"/>
          <w:szCs w:val="22"/>
          <w:lang w:val="es-ES"/>
        </w:rPr>
        <w:t xml:space="preserve"> </w:t>
      </w:r>
      <w:r w:rsidR="00EE7735" w:rsidRPr="00EE7735">
        <w:rPr>
          <w:rFonts w:ascii="ArialMT" w:eastAsia="MS Mincho" w:hAnsi="ArialMT" w:cs="ArialMT"/>
          <w:i/>
          <w:iCs/>
          <w:sz w:val="22"/>
          <w:szCs w:val="22"/>
          <w:lang w:val="es-ES"/>
        </w:rPr>
        <w:t xml:space="preserve">In re </w:t>
      </w:r>
      <w:proofErr w:type="spellStart"/>
      <w:r w:rsidR="00EE7735" w:rsidRPr="00EE7735">
        <w:rPr>
          <w:rFonts w:ascii="ArialMT" w:eastAsia="MS Mincho" w:hAnsi="ArialMT" w:cs="ArialMT"/>
          <w:i/>
          <w:iCs/>
          <w:sz w:val="22"/>
          <w:szCs w:val="22"/>
          <w:lang w:val="es-ES"/>
        </w:rPr>
        <w:t>SPhinX</w:t>
      </w:r>
      <w:proofErr w:type="spellEnd"/>
      <w:r w:rsidR="00EE7735" w:rsidRPr="00EE7735">
        <w:rPr>
          <w:rFonts w:ascii="ArialMT" w:eastAsia="MS Mincho" w:hAnsi="ArialMT" w:cs="ArialMT"/>
          <w:i/>
          <w:iCs/>
          <w:sz w:val="22"/>
          <w:szCs w:val="22"/>
          <w:lang w:val="es-ES"/>
        </w:rPr>
        <w:t xml:space="preserve">, </w:t>
      </w:r>
      <w:proofErr w:type="spellStart"/>
      <w:r w:rsidR="00EE7735" w:rsidRPr="00EE7735">
        <w:rPr>
          <w:rFonts w:ascii="ArialMT" w:eastAsia="MS Mincho" w:hAnsi="ArialMT" w:cs="ArialMT"/>
          <w:i/>
          <w:iCs/>
          <w:sz w:val="22"/>
          <w:szCs w:val="22"/>
          <w:lang w:val="es-ES"/>
        </w:rPr>
        <w:t>Ltd</w:t>
      </w:r>
      <w:proofErr w:type="spellEnd"/>
      <w:r w:rsidR="00EE7735">
        <w:rPr>
          <w:rFonts w:ascii="ArialMT" w:eastAsia="MS Mincho" w:hAnsi="ArialMT" w:cs="ArialMT"/>
          <w:sz w:val="22"/>
          <w:szCs w:val="22"/>
          <w:lang w:val="es-ES"/>
        </w:rPr>
        <w:t xml:space="preserve"> case, </w:t>
      </w:r>
      <w:proofErr w:type="spellStart"/>
      <w:r w:rsidR="00EE7735">
        <w:rPr>
          <w:rFonts w:ascii="ArialMT" w:eastAsia="MS Mincho" w:hAnsi="ArialMT" w:cs="ArialMT"/>
          <w:sz w:val="22"/>
          <w:szCs w:val="22"/>
          <w:lang w:val="es-ES"/>
        </w:rPr>
        <w:t>where</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the</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judge</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confirmed</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this</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need</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for</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the</w:t>
      </w:r>
      <w:proofErr w:type="spellEnd"/>
      <w:r w:rsidR="00EE7735">
        <w:rPr>
          <w:rFonts w:ascii="ArialMT" w:eastAsia="MS Mincho" w:hAnsi="ArialMT" w:cs="ArialMT"/>
          <w:sz w:val="22"/>
          <w:szCs w:val="22"/>
          <w:lang w:val="es-ES"/>
        </w:rPr>
        <w:t xml:space="preserve"> COMI to be </w:t>
      </w:r>
      <w:proofErr w:type="spellStart"/>
      <w:r w:rsidR="00EE7735">
        <w:rPr>
          <w:rFonts w:ascii="ArialMT" w:eastAsia="MS Mincho" w:hAnsi="ArialMT" w:cs="ArialMT"/>
          <w:sz w:val="22"/>
          <w:szCs w:val="22"/>
          <w:lang w:val="es-ES"/>
        </w:rPr>
        <w:t>ascertaible</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for</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third</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parties</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on</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the</w:t>
      </w:r>
      <w:proofErr w:type="spellEnd"/>
      <w:r w:rsidR="00EE7735">
        <w:rPr>
          <w:rFonts w:ascii="ArialMT" w:eastAsia="MS Mincho" w:hAnsi="ArialMT" w:cs="ArialMT"/>
          <w:sz w:val="22"/>
          <w:szCs w:val="22"/>
          <w:lang w:val="es-ES"/>
        </w:rPr>
        <w:t xml:space="preserve"> </w:t>
      </w:r>
      <w:proofErr w:type="spellStart"/>
      <w:r w:rsidR="00EE7735">
        <w:rPr>
          <w:rFonts w:ascii="ArialMT" w:eastAsia="MS Mincho" w:hAnsi="ArialMT" w:cs="ArialMT"/>
          <w:sz w:val="22"/>
          <w:szCs w:val="22"/>
          <w:lang w:val="es-ES"/>
        </w:rPr>
        <w:t>basis</w:t>
      </w:r>
      <w:proofErr w:type="spellEnd"/>
      <w:r w:rsidR="00EE7735">
        <w:rPr>
          <w:rFonts w:ascii="ArialMT" w:eastAsia="MS Mincho" w:hAnsi="ArialMT" w:cs="ArialMT"/>
          <w:sz w:val="22"/>
          <w:szCs w:val="22"/>
          <w:lang w:val="es-ES"/>
        </w:rPr>
        <w:t xml:space="preserve"> of </w:t>
      </w:r>
      <w:proofErr w:type="spellStart"/>
      <w:r w:rsidR="00EE7735">
        <w:rPr>
          <w:rFonts w:ascii="ArialMT" w:eastAsia="MS Mincho" w:hAnsi="ArialMT" w:cs="ArialMT"/>
          <w:sz w:val="22"/>
          <w:szCs w:val="22"/>
          <w:lang w:val="es-ES"/>
        </w:rPr>
        <w:t>the</w:t>
      </w:r>
      <w:proofErr w:type="spellEnd"/>
      <w:r w:rsidR="00EE7735">
        <w:rPr>
          <w:rFonts w:ascii="ArialMT" w:eastAsia="MS Mincho" w:hAnsi="ArialMT" w:cs="ArialMT"/>
          <w:sz w:val="22"/>
          <w:szCs w:val="22"/>
          <w:lang w:val="es-ES"/>
        </w:rPr>
        <w:t xml:space="preserve"> EU </w:t>
      </w:r>
      <w:proofErr w:type="spellStart"/>
      <w:r w:rsidR="00EE7735">
        <w:rPr>
          <w:rFonts w:ascii="ArialMT" w:eastAsia="MS Mincho" w:hAnsi="ArialMT" w:cs="ArialMT"/>
          <w:sz w:val="22"/>
          <w:szCs w:val="22"/>
          <w:lang w:val="es-ES"/>
        </w:rPr>
        <w:t>regulation</w:t>
      </w:r>
      <w:proofErr w:type="spellEnd"/>
      <w:r w:rsidR="00EE7735">
        <w:rPr>
          <w:rFonts w:ascii="ArialMT" w:eastAsia="MS Mincho" w:hAnsi="ArialMT" w:cs="ArialMT"/>
          <w:sz w:val="22"/>
          <w:szCs w:val="22"/>
          <w:lang w:val="es-ES"/>
        </w:rPr>
        <w:t xml:space="preserve">. </w:t>
      </w:r>
    </w:p>
    <w:p w14:paraId="2F8CFBCB" w14:textId="77777777" w:rsidR="00FB5AB7" w:rsidRDefault="00FB5AB7" w:rsidP="00FB5AB7">
      <w:pPr>
        <w:autoSpaceDE w:val="0"/>
        <w:autoSpaceDN w:val="0"/>
        <w:adjustRightInd w:val="0"/>
        <w:jc w:val="both"/>
        <w:rPr>
          <w:rFonts w:ascii="ArialMT" w:eastAsia="MS Mincho" w:hAnsi="ArialMT" w:cs="ArialMT"/>
          <w:sz w:val="14"/>
          <w:szCs w:val="14"/>
          <w:lang w:val="es-ES"/>
        </w:rPr>
      </w:pPr>
    </w:p>
    <w:p w14:paraId="744EF484" w14:textId="24B489F4" w:rsidR="004F7B99" w:rsidRDefault="00EE7735" w:rsidP="00EE7735">
      <w:pPr>
        <w:autoSpaceDE w:val="0"/>
        <w:autoSpaceDN w:val="0"/>
        <w:adjustRightInd w:val="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other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hand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w:t>
      </w:r>
      <w:r w:rsidR="00FB5AB7">
        <w:rPr>
          <w:rFonts w:ascii="ArialMT" w:eastAsia="MS Mincho" w:hAnsi="ArialMT" w:cs="ArialMT"/>
          <w:sz w:val="22"/>
          <w:szCs w:val="22"/>
          <w:lang w:val="es-ES"/>
        </w:rPr>
        <w:t>roceedings</w:t>
      </w:r>
      <w:proofErr w:type="spellEnd"/>
      <w:r w:rsidR="00FB5AB7">
        <w:rPr>
          <w:rFonts w:ascii="ArialMT" w:eastAsia="MS Mincho" w:hAnsi="ArialMT" w:cs="ArialMT"/>
          <w:sz w:val="22"/>
          <w:szCs w:val="22"/>
          <w:lang w:val="es-ES"/>
        </w:rPr>
        <w:t xml:space="preserve"> in a </w:t>
      </w:r>
      <w:proofErr w:type="spellStart"/>
      <w:r w:rsidR="00FB5AB7">
        <w:rPr>
          <w:rFonts w:ascii="ArialMT" w:eastAsia="MS Mincho" w:hAnsi="ArialMT" w:cs="ArialMT"/>
          <w:sz w:val="22"/>
          <w:szCs w:val="22"/>
          <w:lang w:val="es-ES"/>
        </w:rPr>
        <w:t>jurisdiction</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other</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than</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the</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debtor’s</w:t>
      </w:r>
      <w:proofErr w:type="spellEnd"/>
      <w:r>
        <w:rPr>
          <w:rFonts w:ascii="ArialMT" w:eastAsia="MS Mincho" w:hAnsi="ArialMT" w:cs="ArialMT"/>
          <w:sz w:val="22"/>
          <w:szCs w:val="22"/>
          <w:lang w:val="es-ES"/>
        </w:rPr>
        <w:t xml:space="preserve"> </w:t>
      </w:r>
      <w:r w:rsidR="00FB5AB7">
        <w:rPr>
          <w:rFonts w:ascii="ArialMT" w:eastAsia="MS Mincho" w:hAnsi="ArialMT" w:cs="ArialMT"/>
          <w:sz w:val="22"/>
          <w:szCs w:val="22"/>
          <w:lang w:val="es-ES"/>
        </w:rPr>
        <w:t xml:space="preserve">COMI can be </w:t>
      </w:r>
      <w:proofErr w:type="spellStart"/>
      <w:r w:rsidR="00FB5AB7">
        <w:rPr>
          <w:rFonts w:ascii="ArialMT" w:eastAsia="MS Mincho" w:hAnsi="ArialMT" w:cs="ArialMT"/>
          <w:sz w:val="22"/>
          <w:szCs w:val="22"/>
          <w:lang w:val="es-ES"/>
        </w:rPr>
        <w:t>recognized</w:t>
      </w:r>
      <w:proofErr w:type="spellEnd"/>
      <w:r w:rsidR="00FB5AB7">
        <w:rPr>
          <w:rFonts w:ascii="ArialMT" w:eastAsia="MS Mincho" w:hAnsi="ArialMT" w:cs="ArialMT"/>
          <w:sz w:val="22"/>
          <w:szCs w:val="22"/>
          <w:lang w:val="es-ES"/>
        </w:rPr>
        <w:t xml:space="preserve"> as </w:t>
      </w:r>
      <w:proofErr w:type="spellStart"/>
      <w:r w:rsidR="00FB5AB7">
        <w:rPr>
          <w:rFonts w:ascii="ArialMT" w:eastAsia="MS Mincho" w:hAnsi="ArialMT" w:cs="ArialMT"/>
          <w:sz w:val="22"/>
          <w:szCs w:val="22"/>
          <w:lang w:val="es-ES"/>
        </w:rPr>
        <w:t>foreign</w:t>
      </w:r>
      <w:proofErr w:type="spellEnd"/>
      <w:r w:rsidR="00FB5AB7">
        <w:rPr>
          <w:rFonts w:ascii="ArialMT" w:eastAsia="MS Mincho" w:hAnsi="ArialMT" w:cs="ArialMT"/>
          <w:sz w:val="22"/>
          <w:szCs w:val="22"/>
          <w:lang w:val="es-ES"/>
        </w:rPr>
        <w:t xml:space="preserve"> non-</w:t>
      </w:r>
      <w:proofErr w:type="spellStart"/>
      <w:r w:rsidR="00FB5AB7">
        <w:rPr>
          <w:rFonts w:ascii="ArialMT" w:eastAsia="MS Mincho" w:hAnsi="ArialMT" w:cs="ArialMT"/>
          <w:sz w:val="22"/>
          <w:szCs w:val="22"/>
          <w:lang w:val="es-ES"/>
        </w:rPr>
        <w:t>main</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proceedings</w:t>
      </w:r>
      <w:proofErr w:type="spellEnd"/>
      <w:r w:rsidR="00FB5AB7">
        <w:rPr>
          <w:rFonts w:ascii="ArialMT" w:eastAsia="MS Mincho" w:hAnsi="ArialMT" w:cs="ArialMT"/>
          <w:sz w:val="22"/>
          <w:szCs w:val="22"/>
          <w:lang w:val="es-ES"/>
        </w:rPr>
        <w:t xml:space="preserve"> </w:t>
      </w:r>
      <w:r>
        <w:rPr>
          <w:rFonts w:ascii="ArialMT" w:eastAsia="MS Mincho" w:hAnsi="ArialMT" w:cs="ArialMT"/>
          <w:sz w:val="22"/>
          <w:szCs w:val="22"/>
          <w:lang w:val="es-ES"/>
        </w:rPr>
        <w:t>ONLY</w:t>
      </w:r>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if</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the</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debtor</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had</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an</w:t>
      </w:r>
      <w:proofErr w:type="spellEnd"/>
      <w:r>
        <w:rPr>
          <w:rFonts w:ascii="ArialMT" w:eastAsia="MS Mincho" w:hAnsi="ArialMT" w:cs="ArialMT"/>
          <w:sz w:val="22"/>
          <w:szCs w:val="22"/>
          <w:lang w:val="es-ES"/>
        </w:rPr>
        <w:t xml:space="preserve"> </w:t>
      </w:r>
      <w:r w:rsidR="00FB5AB7" w:rsidRPr="00EE7735">
        <w:rPr>
          <w:rFonts w:ascii="Arial-BoldMT" w:eastAsia="MS Mincho" w:hAnsi="Arial-BoldMT" w:cs="Arial-BoldMT"/>
          <w:sz w:val="22"/>
          <w:szCs w:val="22"/>
          <w:lang w:val="es-ES"/>
        </w:rPr>
        <w:t xml:space="preserve">establishment </w:t>
      </w:r>
      <w:r w:rsidR="00FB5AB7">
        <w:rPr>
          <w:rFonts w:ascii="ArialMT" w:eastAsia="MS Mincho" w:hAnsi="ArialMT" w:cs="ArialMT"/>
          <w:sz w:val="22"/>
          <w:szCs w:val="22"/>
          <w:lang w:val="es-ES"/>
        </w:rPr>
        <w:t xml:space="preserve">in </w:t>
      </w:r>
      <w:proofErr w:type="spellStart"/>
      <w:r w:rsidR="00FB5AB7">
        <w:rPr>
          <w:rFonts w:ascii="ArialMT" w:eastAsia="MS Mincho" w:hAnsi="ArialMT" w:cs="ArialMT"/>
          <w:sz w:val="22"/>
          <w:szCs w:val="22"/>
          <w:lang w:val="es-ES"/>
        </w:rPr>
        <w:t>the</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jurisdiction</w:t>
      </w:r>
      <w:proofErr w:type="spellEnd"/>
      <w:r w:rsidR="00FB5AB7">
        <w:rPr>
          <w:rFonts w:ascii="ArialMT" w:eastAsia="MS Mincho" w:hAnsi="ArialMT" w:cs="ArialMT"/>
          <w:sz w:val="22"/>
          <w:szCs w:val="22"/>
          <w:lang w:val="es-ES"/>
        </w:rPr>
        <w:t xml:space="preserve"> </w:t>
      </w:r>
      <w:r>
        <w:rPr>
          <w:rFonts w:ascii="ArialMT" w:eastAsia="MS Mincho" w:hAnsi="ArialMT" w:cs="ArialMT"/>
          <w:sz w:val="22"/>
          <w:szCs w:val="22"/>
          <w:lang w:val="es-ES"/>
        </w:rPr>
        <w:t>(</w:t>
      </w:r>
      <w:r w:rsidR="00FB5AB7">
        <w:rPr>
          <w:rFonts w:ascii="ArialMT" w:eastAsia="MS Mincho" w:hAnsi="ArialMT" w:cs="ArialMT"/>
          <w:sz w:val="22"/>
          <w:szCs w:val="22"/>
          <w:lang w:val="es-ES"/>
        </w:rPr>
        <w:t xml:space="preserve">a place </w:t>
      </w:r>
      <w:proofErr w:type="spellStart"/>
      <w:r w:rsidR="00FB5AB7">
        <w:rPr>
          <w:rFonts w:ascii="ArialMT" w:eastAsia="MS Mincho" w:hAnsi="ArialMT" w:cs="ArialMT"/>
          <w:sz w:val="22"/>
          <w:szCs w:val="22"/>
          <w:lang w:val="es-ES"/>
        </w:rPr>
        <w:t>where</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it</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carried</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out</w:t>
      </w:r>
      <w:proofErr w:type="spellEnd"/>
      <w:r w:rsidR="00FB5AB7">
        <w:rPr>
          <w:rFonts w:ascii="ArialMT" w:eastAsia="MS Mincho" w:hAnsi="ArialMT" w:cs="ArialMT"/>
          <w:sz w:val="22"/>
          <w:szCs w:val="22"/>
          <w:lang w:val="es-ES"/>
        </w:rPr>
        <w:t xml:space="preserve"> non-</w:t>
      </w:r>
      <w:proofErr w:type="spellStart"/>
      <w:r w:rsidR="00FB5AB7">
        <w:rPr>
          <w:rFonts w:ascii="ArialMT" w:eastAsia="MS Mincho" w:hAnsi="ArialMT" w:cs="ArialMT"/>
          <w:sz w:val="22"/>
          <w:szCs w:val="22"/>
          <w:lang w:val="es-ES"/>
        </w:rPr>
        <w:t>transitory</w:t>
      </w:r>
      <w:proofErr w:type="spellEnd"/>
      <w:r>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economic</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activity</w:t>
      </w:r>
      <w:proofErr w:type="spellEnd"/>
      <w:r>
        <w:rPr>
          <w:rFonts w:ascii="ArialMT" w:eastAsia="MS Mincho" w:hAnsi="ArialMT" w:cs="ArialMT"/>
          <w:sz w:val="22"/>
          <w:szCs w:val="22"/>
          <w:lang w:val="es-ES"/>
        </w:rPr>
        <w:t>)</w:t>
      </w:r>
      <w:r w:rsidR="00FB5AB7">
        <w:rPr>
          <w:rFonts w:ascii="ArialMT" w:eastAsia="MS Mincho" w:hAnsi="ArialMT" w:cs="ArialMT"/>
          <w:sz w:val="22"/>
          <w:szCs w:val="22"/>
          <w:lang w:val="es-ES"/>
        </w:rPr>
        <w:t xml:space="preserve"> prior to </w:t>
      </w:r>
      <w:proofErr w:type="spellStart"/>
      <w:r w:rsidR="00FB5AB7">
        <w:rPr>
          <w:rFonts w:ascii="ArialMT" w:eastAsia="MS Mincho" w:hAnsi="ArialMT" w:cs="ArialMT"/>
          <w:sz w:val="22"/>
          <w:szCs w:val="22"/>
          <w:lang w:val="es-ES"/>
        </w:rPr>
        <w:t>the</w:t>
      </w:r>
      <w:proofErr w:type="spellEnd"/>
      <w:r w:rsidR="00FB5AB7">
        <w:rPr>
          <w:rFonts w:ascii="ArialMT" w:eastAsia="MS Mincho" w:hAnsi="ArialMT" w:cs="ArialMT"/>
          <w:sz w:val="22"/>
          <w:szCs w:val="22"/>
          <w:lang w:val="es-ES"/>
        </w:rPr>
        <w:t xml:space="preserve"> </w:t>
      </w:r>
      <w:proofErr w:type="spellStart"/>
      <w:r w:rsidR="00FB5AB7">
        <w:rPr>
          <w:rFonts w:ascii="ArialMT" w:eastAsia="MS Mincho" w:hAnsi="ArialMT" w:cs="ArialMT"/>
          <w:sz w:val="22"/>
          <w:szCs w:val="22"/>
          <w:lang w:val="es-ES"/>
        </w:rPr>
        <w:t>commencement</w:t>
      </w:r>
      <w:proofErr w:type="spellEnd"/>
      <w:r w:rsidR="00FB5AB7">
        <w:rPr>
          <w:rFonts w:ascii="ArialMT" w:eastAsia="MS Mincho" w:hAnsi="ArialMT" w:cs="ArialMT"/>
          <w:sz w:val="22"/>
          <w:szCs w:val="22"/>
          <w:lang w:val="es-ES"/>
        </w:rPr>
        <w:t xml:space="preserve"> of </w:t>
      </w:r>
      <w:proofErr w:type="spellStart"/>
      <w:r w:rsidR="00FB5AB7">
        <w:rPr>
          <w:rFonts w:ascii="ArialMT" w:eastAsia="MS Mincho" w:hAnsi="ArialMT" w:cs="ArialMT"/>
          <w:sz w:val="22"/>
          <w:szCs w:val="22"/>
          <w:lang w:val="es-ES"/>
        </w:rPr>
        <w:t>chapter</w:t>
      </w:r>
      <w:proofErr w:type="spellEnd"/>
      <w:r w:rsidR="00FB5AB7">
        <w:rPr>
          <w:rFonts w:ascii="ArialMT" w:eastAsia="MS Mincho" w:hAnsi="ArialMT" w:cs="ArialMT"/>
          <w:sz w:val="22"/>
          <w:szCs w:val="22"/>
          <w:lang w:val="es-ES"/>
        </w:rPr>
        <w:t xml:space="preserve"> 15 </w:t>
      </w:r>
      <w:proofErr w:type="spellStart"/>
      <w:r w:rsidR="00FB5AB7">
        <w:rPr>
          <w:rFonts w:ascii="ArialMT" w:eastAsia="MS Mincho" w:hAnsi="ArialMT" w:cs="ArialMT"/>
          <w:sz w:val="22"/>
          <w:szCs w:val="22"/>
          <w:lang w:val="es-ES"/>
        </w:rPr>
        <w:t>proceedings</w:t>
      </w:r>
      <w:proofErr w:type="spellEnd"/>
      <w:r w:rsidR="00FB5AB7">
        <w:rPr>
          <w:rFonts w:ascii="ArialMT" w:eastAsia="MS Mincho" w:hAnsi="ArialMT" w:cs="ArialMT"/>
          <w:sz w:val="22"/>
          <w:szCs w:val="22"/>
          <w:lang w:val="es-ES"/>
        </w:rPr>
        <w:t>.</w:t>
      </w:r>
    </w:p>
    <w:p w14:paraId="3D1D1D0C" w14:textId="20F0332C" w:rsidR="00EE7735" w:rsidRDefault="00EE7735" w:rsidP="00EE7735">
      <w:pPr>
        <w:autoSpaceDE w:val="0"/>
        <w:autoSpaceDN w:val="0"/>
        <w:adjustRightInd w:val="0"/>
        <w:jc w:val="both"/>
        <w:rPr>
          <w:rFonts w:ascii="ArialMT" w:eastAsia="MS Mincho" w:hAnsi="ArialMT" w:cs="ArialMT"/>
          <w:sz w:val="22"/>
          <w:szCs w:val="22"/>
          <w:lang w:val="es-ES"/>
        </w:rPr>
      </w:pPr>
    </w:p>
    <w:p w14:paraId="67D48BFD" w14:textId="77777777" w:rsidR="00D51E65" w:rsidRDefault="00EE7735" w:rsidP="00D51E65">
      <w:pPr>
        <w:autoSpaceDE w:val="0"/>
        <w:autoSpaceDN w:val="0"/>
        <w:adjustRightInd w:val="0"/>
        <w:jc w:val="both"/>
        <w:rPr>
          <w:rFonts w:ascii="ArialMT" w:eastAsia="MS Mincho" w:hAnsi="ArialMT" w:cs="ArialMT"/>
          <w:sz w:val="22"/>
          <w:szCs w:val="22"/>
          <w:lang w:val="es-ES"/>
        </w:rPr>
      </w:pPr>
      <w:r>
        <w:rPr>
          <w:rFonts w:ascii="ArialMT" w:eastAsia="MS Mincho" w:hAnsi="ArialMT" w:cs="ArialMT"/>
          <w:sz w:val="22"/>
          <w:szCs w:val="22"/>
          <w:lang w:val="es-ES"/>
        </w:rPr>
        <w:t>I</w:t>
      </w:r>
      <w:r w:rsidRPr="00EE7735">
        <w:rPr>
          <w:rFonts w:ascii="ArialMT" w:eastAsia="MS Mincho" w:hAnsi="ArialMT" w:cs="ArialMT"/>
          <w:sz w:val="22"/>
          <w:szCs w:val="22"/>
          <w:lang w:val="es-ES"/>
        </w:rPr>
        <w:t xml:space="preserve">n </w:t>
      </w:r>
      <w:proofErr w:type="spellStart"/>
      <w:r w:rsidRPr="00EE7735">
        <w:rPr>
          <w:rFonts w:ascii="ArialMT" w:eastAsia="MS Mincho" w:hAnsi="ArialMT" w:cs="ArialMT"/>
          <w:sz w:val="22"/>
          <w:szCs w:val="22"/>
          <w:lang w:val="es-ES"/>
        </w:rPr>
        <w:t>relation</w:t>
      </w:r>
      <w:proofErr w:type="spellEnd"/>
      <w:r w:rsidRPr="00EE7735">
        <w:rPr>
          <w:rFonts w:ascii="ArialMT" w:eastAsia="MS Mincho" w:hAnsi="ArialMT" w:cs="ArialMT"/>
          <w:sz w:val="22"/>
          <w:szCs w:val="22"/>
          <w:lang w:val="es-ES"/>
        </w:rPr>
        <w:t xml:space="preserve"> to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above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guidance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text</w:t>
      </w:r>
      <w:proofErr w:type="spellEnd"/>
      <w:r w:rsidRPr="00EE7735">
        <w:rPr>
          <w:rFonts w:ascii="ArialMT" w:eastAsia="MS Mincho" w:hAnsi="ArialMT" w:cs="ArialMT"/>
          <w:sz w:val="22"/>
          <w:szCs w:val="22"/>
          <w:lang w:val="es-ES"/>
        </w:rPr>
        <w:t xml:space="preserve"> </w:t>
      </w:r>
      <w:proofErr w:type="spellStart"/>
      <w:r w:rsidR="00D51E65">
        <w:rPr>
          <w:rFonts w:ascii="ArialMT" w:eastAsia="MS Mincho" w:hAnsi="ArialMT" w:cs="ArialMT"/>
          <w:sz w:val="22"/>
          <w:szCs w:val="22"/>
          <w:lang w:val="es-ES"/>
        </w:rPr>
        <w:t>presents</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r w:rsidRPr="00EE7735">
        <w:rPr>
          <w:rFonts w:ascii="ArialMT" w:eastAsia="MS Mincho" w:hAnsi="ArialMT" w:cs="ArialMT"/>
          <w:sz w:val="22"/>
          <w:szCs w:val="22"/>
          <w:lang w:val="es-ES"/>
        </w:rPr>
        <w:t xml:space="preserve">Bear </w:t>
      </w:r>
      <w:proofErr w:type="spellStart"/>
      <w:r w:rsidRPr="00EE7735">
        <w:rPr>
          <w:rFonts w:ascii="ArialMT" w:eastAsia="MS Mincho" w:hAnsi="ArialMT" w:cs="ArialMT"/>
          <w:sz w:val="22"/>
          <w:szCs w:val="22"/>
          <w:lang w:val="es-ES"/>
        </w:rPr>
        <w:t>Stearns</w:t>
      </w:r>
      <w:proofErr w:type="spellEnd"/>
      <w:r w:rsidRPr="00EE7735">
        <w:rPr>
          <w:rFonts w:ascii="ArialMT" w:eastAsia="MS Mincho" w:hAnsi="ArialMT" w:cs="ArialMT"/>
          <w:sz w:val="22"/>
          <w:szCs w:val="22"/>
          <w:lang w:val="es-ES"/>
        </w:rPr>
        <w:t xml:space="preserve"> case</w:t>
      </w:r>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where</w:t>
      </w:r>
      <w:proofErr w:type="spellEnd"/>
      <w:r>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US </w:t>
      </w:r>
      <w:proofErr w:type="spellStart"/>
      <w:r w:rsidRPr="00EE7735">
        <w:rPr>
          <w:rFonts w:ascii="ArialMT" w:eastAsia="MS Mincho" w:hAnsi="ArialMT" w:cs="ArialMT"/>
          <w:sz w:val="22"/>
          <w:szCs w:val="22"/>
          <w:lang w:val="es-ES"/>
        </w:rPr>
        <w:t>bankruptcy</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court</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held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that</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sidR="00D51E6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Cayman</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Islands</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could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not</w:t>
      </w:r>
      <w:proofErr w:type="spellEnd"/>
      <w:r w:rsidRPr="00EE7735">
        <w:rPr>
          <w:rFonts w:ascii="ArialMT" w:eastAsia="MS Mincho" w:hAnsi="ArialMT" w:cs="ArialMT"/>
          <w:sz w:val="22"/>
          <w:szCs w:val="22"/>
          <w:lang w:val="es-ES"/>
        </w:rPr>
        <w:t xml:space="preserve"> be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COMI </w:t>
      </w:r>
      <w:proofErr w:type="spellStart"/>
      <w:r w:rsidRPr="00EE7735">
        <w:rPr>
          <w:rFonts w:ascii="ArialMT" w:eastAsia="MS Mincho" w:hAnsi="ArialMT" w:cs="ArialMT"/>
          <w:sz w:val="22"/>
          <w:szCs w:val="22"/>
          <w:lang w:val="es-ES"/>
        </w:rPr>
        <w:t>for</w:t>
      </w:r>
      <w:proofErr w:type="spellEnd"/>
      <w:r w:rsidRPr="00EE7735">
        <w:rPr>
          <w:rFonts w:ascii="ArialMT" w:eastAsia="MS Mincho" w:hAnsi="ArialMT" w:cs="ArialMT"/>
          <w:sz w:val="22"/>
          <w:szCs w:val="22"/>
          <w:lang w:val="es-ES"/>
        </w:rPr>
        <w:t xml:space="preserve"> a </w:t>
      </w:r>
      <w:proofErr w:type="spellStart"/>
      <w:r w:rsidRPr="00EE7735">
        <w:rPr>
          <w:rFonts w:ascii="ArialMT" w:eastAsia="MS Mincho" w:hAnsi="ArialMT" w:cs="ArialMT"/>
          <w:sz w:val="22"/>
          <w:szCs w:val="22"/>
          <w:lang w:val="es-ES"/>
        </w:rPr>
        <w:t>Cayman-incorporated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hedge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fund</w:t>
      </w:r>
      <w:proofErr w:type="spellEnd"/>
      <w:r w:rsidR="00D51E6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because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fund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was</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an</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exempt</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company</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licensed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on</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basis</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that</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it</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would</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not</w:t>
      </w:r>
      <w:proofErr w:type="spellEnd"/>
      <w:r w:rsidR="00D51E6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have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operations</w:t>
      </w:r>
      <w:proofErr w:type="spellEnd"/>
      <w:r w:rsidRPr="00EE7735">
        <w:rPr>
          <w:rFonts w:ascii="ArialMT" w:eastAsia="MS Mincho" w:hAnsi="ArialMT" w:cs="ArialMT"/>
          <w:sz w:val="22"/>
          <w:szCs w:val="22"/>
          <w:lang w:val="es-ES"/>
        </w:rPr>
        <w:t xml:space="preserve"> in </w:t>
      </w:r>
      <w:proofErr w:type="spellStart"/>
      <w:r w:rsidRPr="00EE7735">
        <w:rPr>
          <w:rFonts w:ascii="ArialMT" w:eastAsia="MS Mincho" w:hAnsi="ArialMT" w:cs="ArialMT"/>
          <w:sz w:val="22"/>
          <w:szCs w:val="22"/>
          <w:lang w:val="es-ES"/>
        </w:rPr>
        <w:t>the</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Cayman</w:t>
      </w:r>
      <w:proofErr w:type="spellEnd"/>
      <w:r w:rsidRPr="00EE7735">
        <w:rPr>
          <w:rFonts w:ascii="ArialMT" w:eastAsia="MS Mincho" w:hAnsi="ArialMT" w:cs="ArialMT"/>
          <w:sz w:val="22"/>
          <w:szCs w:val="22"/>
          <w:lang w:val="es-ES"/>
        </w:rPr>
        <w:t xml:space="preserve"> </w:t>
      </w:r>
      <w:proofErr w:type="spellStart"/>
      <w:r w:rsidRPr="00EE7735">
        <w:rPr>
          <w:rFonts w:ascii="ArialMT" w:eastAsia="MS Mincho" w:hAnsi="ArialMT" w:cs="ArialMT"/>
          <w:sz w:val="22"/>
          <w:szCs w:val="22"/>
          <w:lang w:val="es-ES"/>
        </w:rPr>
        <w:t>Islands</w:t>
      </w:r>
      <w:proofErr w:type="spellEnd"/>
      <w:r w:rsidRPr="00EE7735">
        <w:rPr>
          <w:rFonts w:ascii="ArialMT" w:eastAsia="MS Mincho" w:hAnsi="ArialMT" w:cs="ArialMT"/>
          <w:sz w:val="22"/>
          <w:szCs w:val="22"/>
          <w:lang w:val="es-ES"/>
        </w:rPr>
        <w:t xml:space="preserve">. </w:t>
      </w:r>
    </w:p>
    <w:p w14:paraId="2D17B9E3" w14:textId="77777777" w:rsidR="00D51E65" w:rsidRDefault="00D51E65" w:rsidP="00D51E65">
      <w:pPr>
        <w:autoSpaceDE w:val="0"/>
        <w:autoSpaceDN w:val="0"/>
        <w:adjustRightInd w:val="0"/>
        <w:jc w:val="both"/>
        <w:rPr>
          <w:rFonts w:ascii="ArialMT" w:eastAsia="MS Mincho" w:hAnsi="ArialMT" w:cs="ArialMT"/>
          <w:sz w:val="22"/>
          <w:szCs w:val="22"/>
          <w:lang w:val="es-ES"/>
        </w:rPr>
      </w:pPr>
    </w:p>
    <w:p w14:paraId="39E7E258" w14:textId="600B5062" w:rsidR="00EE7735" w:rsidRDefault="00D51E65" w:rsidP="00D51E65">
      <w:pPr>
        <w:autoSpaceDE w:val="0"/>
        <w:autoSpaceDN w:val="0"/>
        <w:adjustRightInd w:val="0"/>
        <w:jc w:val="both"/>
        <w:rPr>
          <w:rFonts w:ascii="ArialMT" w:eastAsia="MS Mincho" w:hAnsi="ArialMT" w:cs="ArialMT"/>
          <w:sz w:val="22"/>
          <w:szCs w:val="22"/>
          <w:lang w:val="es-ES"/>
        </w:rPr>
      </w:pPr>
      <w:proofErr w:type="spellStart"/>
      <w:r w:rsidRPr="00D51E65">
        <w:rPr>
          <w:rFonts w:ascii="ArialMT" w:eastAsia="MS Mincho" w:hAnsi="ArialMT" w:cs="ArialMT"/>
          <w:sz w:val="22"/>
          <w:szCs w:val="22"/>
          <w:lang w:val="es-ES"/>
        </w:rPr>
        <w:t>The</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Bankruptcy</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Court</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also</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ruled</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that</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the</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Cayman</w:t>
      </w:r>
      <w:proofErr w:type="spellEnd"/>
      <w:r>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Islands</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liquidation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proceedings</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did</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not</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qualify</w:t>
      </w:r>
      <w:proofErr w:type="spellEnd"/>
      <w:r w:rsidRPr="00D51E65">
        <w:rPr>
          <w:rFonts w:ascii="ArialMT" w:eastAsia="MS Mincho" w:hAnsi="ArialMT" w:cs="ArialMT"/>
          <w:sz w:val="22"/>
          <w:szCs w:val="22"/>
          <w:lang w:val="es-ES"/>
        </w:rPr>
        <w:t xml:space="preserve"> as</w:t>
      </w:r>
      <w:r>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foreign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nonmain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proceedings</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based</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on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conclusion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that</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the</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Funds</w:t>
      </w:r>
      <w:proofErr w:type="spellEnd"/>
      <w:r w:rsidRPr="00D51E65">
        <w:rPr>
          <w:rFonts w:ascii="ArialMT" w:eastAsia="MS Mincho" w:hAnsi="ArialMT" w:cs="ArialMT"/>
          <w:sz w:val="22"/>
          <w:szCs w:val="22"/>
          <w:lang w:val="es-ES"/>
        </w:rPr>
        <w:t xml:space="preserve"> do </w:t>
      </w:r>
      <w:proofErr w:type="spellStart"/>
      <w:r w:rsidRPr="00D51E65">
        <w:rPr>
          <w:rFonts w:ascii="ArialMT" w:eastAsia="MS Mincho" w:hAnsi="ArialMT" w:cs="ArialMT"/>
          <w:sz w:val="22"/>
          <w:szCs w:val="22"/>
          <w:lang w:val="es-ES"/>
        </w:rPr>
        <w:t>not</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have</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an</w:t>
      </w:r>
      <w:proofErr w:type="spellEnd"/>
      <w:r>
        <w:rPr>
          <w:rFonts w:ascii="ArialMT" w:eastAsia="MS Mincho" w:hAnsi="ArialMT" w:cs="ArialMT"/>
          <w:sz w:val="22"/>
          <w:szCs w:val="22"/>
          <w:lang w:val="es-ES"/>
        </w:rPr>
        <w:t xml:space="preserve"> </w:t>
      </w:r>
      <w:r w:rsidRPr="00D51E65">
        <w:rPr>
          <w:rFonts w:ascii="ArialMT" w:eastAsia="MS Mincho" w:hAnsi="ArialMT" w:cs="ArialMT"/>
          <w:sz w:val="22"/>
          <w:szCs w:val="22"/>
          <w:lang w:val="es-ES"/>
        </w:rPr>
        <w:t xml:space="preserve">"establishment" in </w:t>
      </w:r>
      <w:proofErr w:type="spellStart"/>
      <w:r w:rsidRPr="00D51E65">
        <w:rPr>
          <w:rFonts w:ascii="ArialMT" w:eastAsia="MS Mincho" w:hAnsi="ArialMT" w:cs="ArialMT"/>
          <w:sz w:val="22"/>
          <w:szCs w:val="22"/>
          <w:lang w:val="es-ES"/>
        </w:rPr>
        <w:t>the</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Cayman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Islands</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within</w:t>
      </w:r>
      <w:proofErr w:type="spellEnd"/>
      <w:r w:rsidRPr="00D51E65">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D51E65">
        <w:rPr>
          <w:rFonts w:ascii="ArialMT" w:eastAsia="MS Mincho" w:hAnsi="ArialMT" w:cs="ArialMT"/>
          <w:sz w:val="22"/>
          <w:szCs w:val="22"/>
          <w:lang w:val="es-ES"/>
        </w:rPr>
        <w:t>meaning</w:t>
      </w:r>
      <w:proofErr w:type="spellEnd"/>
      <w:r w:rsidRPr="00D51E65">
        <w:rPr>
          <w:rFonts w:ascii="ArialMT" w:eastAsia="MS Mincho" w:hAnsi="ArialMT" w:cs="ArialMT"/>
          <w:sz w:val="22"/>
          <w:szCs w:val="22"/>
          <w:lang w:val="es-ES"/>
        </w:rPr>
        <w:t xml:space="preserve"> of </w:t>
      </w:r>
      <w:proofErr w:type="spellStart"/>
      <w:r w:rsidRPr="00D51E65">
        <w:rPr>
          <w:rFonts w:ascii="ArialMT" w:eastAsia="MS Mincho" w:hAnsi="ArialMT" w:cs="ArialMT"/>
          <w:sz w:val="22"/>
          <w:szCs w:val="22"/>
          <w:lang w:val="es-ES"/>
        </w:rPr>
        <w:t>Chapter</w:t>
      </w:r>
      <w:proofErr w:type="spellEnd"/>
      <w:r w:rsidRPr="00D51E65">
        <w:rPr>
          <w:rFonts w:ascii="ArialMT" w:eastAsia="MS Mincho" w:hAnsi="ArialMT" w:cs="ArialMT"/>
          <w:sz w:val="22"/>
          <w:szCs w:val="22"/>
          <w:lang w:val="es-ES"/>
        </w:rPr>
        <w:t xml:space="preserve"> 15.</w:t>
      </w:r>
    </w:p>
    <w:p w14:paraId="530C6F8B" w14:textId="1F2006BB" w:rsidR="00D51E65" w:rsidRDefault="00D51E65" w:rsidP="00EE7735">
      <w:pPr>
        <w:autoSpaceDE w:val="0"/>
        <w:autoSpaceDN w:val="0"/>
        <w:adjustRightInd w:val="0"/>
        <w:jc w:val="both"/>
        <w:rPr>
          <w:rFonts w:ascii="ArialMT" w:eastAsia="MS Mincho" w:hAnsi="ArialMT" w:cs="ArialMT"/>
          <w:sz w:val="22"/>
          <w:szCs w:val="22"/>
          <w:lang w:val="es-ES"/>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723999EE" w14:textId="77777777" w:rsidR="001B577B" w:rsidRDefault="001B577B" w:rsidP="001B577B">
      <w:pPr>
        <w:jc w:val="both"/>
        <w:rPr>
          <w:rFonts w:ascii="Arial" w:hAnsi="Arial" w:cs="Arial"/>
          <w:color w:val="FF0000"/>
          <w:sz w:val="22"/>
          <w:szCs w:val="22"/>
          <w:lang w:val="en-GB"/>
        </w:rPr>
      </w:pPr>
    </w:p>
    <w:p w14:paraId="1C1AC10B" w14:textId="389E2575" w:rsidR="001E0CD8" w:rsidRPr="0077756F" w:rsidRDefault="001E0CD8" w:rsidP="00A16034">
      <w:pPr>
        <w:pStyle w:val="ListParagraph"/>
        <w:numPr>
          <w:ilvl w:val="3"/>
          <w:numId w:val="21"/>
        </w:numPr>
        <w:jc w:val="both"/>
        <w:rPr>
          <w:rFonts w:ascii="Arial" w:hAnsi="Arial" w:cs="Arial"/>
          <w:sz w:val="22"/>
          <w:szCs w:val="22"/>
          <w:lang w:val="en-GB"/>
        </w:rPr>
      </w:pPr>
      <w:r w:rsidRPr="0077756F">
        <w:rPr>
          <w:rFonts w:ascii="Arial" w:hAnsi="Arial" w:cs="Arial"/>
          <w:sz w:val="22"/>
          <w:szCs w:val="22"/>
          <w:u w:val="single"/>
          <w:lang w:val="en-GB"/>
        </w:rPr>
        <w:t xml:space="preserve">DOJ </w:t>
      </w:r>
      <w:r w:rsidR="001B577B" w:rsidRPr="0077756F">
        <w:rPr>
          <w:rFonts w:ascii="Arial" w:hAnsi="Arial" w:cs="Arial"/>
          <w:sz w:val="22"/>
          <w:szCs w:val="22"/>
          <w:u w:val="single"/>
          <w:lang w:val="en-GB"/>
        </w:rPr>
        <w:t>Investigation</w:t>
      </w:r>
      <w:r w:rsidR="001B577B" w:rsidRPr="0077756F">
        <w:rPr>
          <w:rFonts w:ascii="Arial" w:hAnsi="Arial" w:cs="Arial"/>
          <w:sz w:val="22"/>
          <w:szCs w:val="22"/>
          <w:lang w:val="en-GB"/>
        </w:rPr>
        <w:t xml:space="preserve">: </w:t>
      </w:r>
      <w:r w:rsidRPr="0077756F">
        <w:rPr>
          <w:rFonts w:ascii="Arial" w:hAnsi="Arial" w:cs="Arial"/>
          <w:sz w:val="22"/>
          <w:szCs w:val="22"/>
          <w:lang w:val="en-GB"/>
        </w:rPr>
        <w:t>this is one of the exemptions to which the automatic stay is subjected</w:t>
      </w:r>
      <w:r w:rsidR="0077756F" w:rsidRPr="0077756F">
        <w:rPr>
          <w:rFonts w:ascii="Arial" w:hAnsi="Arial" w:cs="Arial"/>
          <w:sz w:val="22"/>
          <w:szCs w:val="22"/>
          <w:lang w:val="en-GB"/>
        </w:rPr>
        <w:t>, so the automatic stay wouldn’t apply.</w:t>
      </w:r>
    </w:p>
    <w:p w14:paraId="260FC735" w14:textId="14CB29F5" w:rsidR="0077756F" w:rsidRPr="0077756F" w:rsidRDefault="0077756F" w:rsidP="00A16034">
      <w:pPr>
        <w:pStyle w:val="ListParagraph"/>
        <w:numPr>
          <w:ilvl w:val="3"/>
          <w:numId w:val="21"/>
        </w:numPr>
        <w:jc w:val="both"/>
        <w:rPr>
          <w:rFonts w:ascii="Arial" w:hAnsi="Arial" w:cs="Arial"/>
          <w:sz w:val="22"/>
          <w:szCs w:val="22"/>
          <w:lang w:val="en-GB"/>
        </w:rPr>
      </w:pPr>
      <w:r w:rsidRPr="0077756F">
        <w:rPr>
          <w:rFonts w:ascii="Arial" w:hAnsi="Arial" w:cs="Arial"/>
          <w:sz w:val="22"/>
          <w:szCs w:val="22"/>
          <w:u w:val="single"/>
          <w:lang w:val="en-GB"/>
        </w:rPr>
        <w:t>Securities class action litigation</w:t>
      </w:r>
      <w:r w:rsidRPr="0077756F">
        <w:rPr>
          <w:rFonts w:ascii="Arial" w:hAnsi="Arial" w:cs="Arial"/>
          <w:sz w:val="22"/>
          <w:szCs w:val="22"/>
          <w:lang w:val="en-GB"/>
        </w:rPr>
        <w:t xml:space="preserve">: </w:t>
      </w:r>
      <w:r>
        <w:rPr>
          <w:rFonts w:ascii="Arial" w:hAnsi="Arial" w:cs="Arial"/>
          <w:sz w:val="22"/>
          <w:szCs w:val="22"/>
          <w:lang w:val="en-GB"/>
        </w:rPr>
        <w:t xml:space="preserve">the litigation on pre- </w:t>
      </w:r>
      <w:proofErr w:type="spellStart"/>
      <w:r>
        <w:rPr>
          <w:rFonts w:ascii="Arial" w:hAnsi="Arial" w:cs="Arial"/>
          <w:sz w:val="22"/>
          <w:szCs w:val="22"/>
          <w:lang w:val="en-GB"/>
        </w:rPr>
        <w:t>pretition</w:t>
      </w:r>
      <w:proofErr w:type="spellEnd"/>
      <w:r>
        <w:rPr>
          <w:rFonts w:ascii="Arial" w:hAnsi="Arial" w:cs="Arial"/>
          <w:sz w:val="22"/>
          <w:szCs w:val="22"/>
          <w:lang w:val="en-GB"/>
        </w:rPr>
        <w:t xml:space="preserve"> claims is subjected to the automatic stay. However, Nevertheless, the exercise of rights under security contract is another of the statutory exceptions provided. </w:t>
      </w:r>
    </w:p>
    <w:p w14:paraId="753F2544" w14:textId="77777777" w:rsidR="0077756F" w:rsidRDefault="00372824" w:rsidP="00A16034">
      <w:pPr>
        <w:pStyle w:val="ListParagraph"/>
        <w:numPr>
          <w:ilvl w:val="3"/>
          <w:numId w:val="21"/>
        </w:numPr>
        <w:jc w:val="both"/>
        <w:rPr>
          <w:rFonts w:ascii="Arial" w:hAnsi="Arial" w:cs="Arial"/>
          <w:sz w:val="22"/>
          <w:szCs w:val="22"/>
          <w:lang w:val="en-GB"/>
        </w:rPr>
      </w:pPr>
      <w:r w:rsidRPr="00BF7B76">
        <w:rPr>
          <w:rFonts w:ascii="Arial" w:hAnsi="Arial" w:cs="Arial"/>
          <w:sz w:val="22"/>
          <w:szCs w:val="22"/>
          <w:u w:val="single"/>
          <w:lang w:val="en-GB"/>
        </w:rPr>
        <w:t>Delinquent leases</w:t>
      </w:r>
      <w:r w:rsidRPr="0077756F">
        <w:rPr>
          <w:rFonts w:ascii="Arial" w:hAnsi="Arial" w:cs="Arial"/>
          <w:sz w:val="22"/>
          <w:szCs w:val="22"/>
          <w:lang w:val="en-GB"/>
        </w:rPr>
        <w:t xml:space="preserve">: </w:t>
      </w:r>
      <w:r w:rsidR="001B577B" w:rsidRPr="0077756F">
        <w:rPr>
          <w:rFonts w:ascii="Arial" w:hAnsi="Arial" w:cs="Arial"/>
          <w:sz w:val="22"/>
          <w:szCs w:val="22"/>
          <w:lang w:val="en-GB"/>
        </w:rPr>
        <w:t xml:space="preserve"> </w:t>
      </w:r>
      <w:r w:rsidR="0077756F" w:rsidRPr="0077756F">
        <w:rPr>
          <w:rFonts w:ascii="Arial" w:hAnsi="Arial" w:cs="Arial"/>
          <w:sz w:val="22"/>
          <w:szCs w:val="22"/>
          <w:lang w:val="en-GB"/>
        </w:rPr>
        <w:t xml:space="preserve">the automatic stay would apply. </w:t>
      </w:r>
    </w:p>
    <w:p w14:paraId="69A1CBF4" w14:textId="1EC8AB92" w:rsidR="0077756F" w:rsidRPr="0077756F" w:rsidRDefault="001B577B" w:rsidP="00A16034">
      <w:pPr>
        <w:pStyle w:val="ListParagraph"/>
        <w:numPr>
          <w:ilvl w:val="3"/>
          <w:numId w:val="21"/>
        </w:numPr>
        <w:jc w:val="both"/>
        <w:rPr>
          <w:rFonts w:ascii="Arial" w:hAnsi="Arial" w:cs="Arial"/>
          <w:sz w:val="22"/>
          <w:szCs w:val="22"/>
          <w:lang w:val="en-GB"/>
        </w:rPr>
      </w:pPr>
      <w:r w:rsidRPr="00BF7B76">
        <w:rPr>
          <w:rFonts w:ascii="Arial" w:hAnsi="Arial" w:cs="Arial"/>
          <w:sz w:val="22"/>
          <w:szCs w:val="22"/>
          <w:u w:val="single"/>
          <w:lang w:val="en-GB"/>
        </w:rPr>
        <w:t>Credit facility</w:t>
      </w:r>
      <w:r w:rsidRPr="0077756F">
        <w:rPr>
          <w:rFonts w:ascii="Arial" w:hAnsi="Arial" w:cs="Arial"/>
          <w:sz w:val="22"/>
          <w:szCs w:val="22"/>
          <w:lang w:val="en-GB"/>
        </w:rPr>
        <w:t xml:space="preserve">: </w:t>
      </w:r>
      <w:r w:rsidR="0077756F" w:rsidRPr="0077756F">
        <w:rPr>
          <w:rFonts w:ascii="Arial" w:hAnsi="Arial" w:cs="Arial"/>
          <w:sz w:val="22"/>
          <w:szCs w:val="22"/>
          <w:lang w:val="en-GB"/>
        </w:rPr>
        <w:t xml:space="preserve">in this case, the lender may pursue </w:t>
      </w:r>
      <w:r w:rsidR="0077756F">
        <w:rPr>
          <w:rFonts w:ascii="Arial" w:hAnsi="Arial" w:cs="Arial"/>
          <w:sz w:val="22"/>
          <w:szCs w:val="22"/>
          <w:lang w:val="en-GB"/>
        </w:rPr>
        <w:t>payment from Rental Corporation</w:t>
      </w:r>
      <w:r w:rsidR="00BF7B76">
        <w:rPr>
          <w:rFonts w:ascii="Arial" w:hAnsi="Arial" w:cs="Arial"/>
          <w:sz w:val="22"/>
          <w:szCs w:val="22"/>
          <w:lang w:val="en-GB"/>
        </w:rPr>
        <w:t xml:space="preserve">. As it has been explained in the Guidance Text, </w:t>
      </w:r>
      <w:r w:rsidR="00BF7B76" w:rsidRPr="00BF7B76">
        <w:rPr>
          <w:rFonts w:ascii="Arial" w:hAnsi="Arial" w:cs="Arial"/>
          <w:i/>
          <w:iCs/>
          <w:sz w:val="22"/>
          <w:szCs w:val="22"/>
          <w:lang w:val="en-GB"/>
        </w:rPr>
        <w:t>ipso facto</w:t>
      </w:r>
      <w:r w:rsidR="00BF7B76" w:rsidRPr="00BF7B76">
        <w:rPr>
          <w:rFonts w:ascii="Arial" w:hAnsi="Arial" w:cs="Arial"/>
          <w:sz w:val="22"/>
          <w:szCs w:val="22"/>
          <w:lang w:val="en-GB"/>
        </w:rPr>
        <w:t xml:space="preserve"> clauses are given no effect only where they are asserted against a debtor with respect to its own filing or financial condition. The issuer of an unconditional guarantee cannot assert the debtor’s own defences to the debt.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6B8C0E5F" w:rsidR="0012224B" w:rsidRDefault="00365637" w:rsidP="00A16034">
      <w:pPr>
        <w:pStyle w:val="ListParagraph"/>
        <w:numPr>
          <w:ilvl w:val="0"/>
          <w:numId w:val="25"/>
        </w:numPr>
        <w:jc w:val="both"/>
        <w:rPr>
          <w:rFonts w:ascii="Arial" w:hAnsi="Arial" w:cs="Arial"/>
          <w:sz w:val="22"/>
          <w:szCs w:val="22"/>
          <w:lang w:val="en-GB"/>
        </w:rPr>
      </w:pPr>
      <w:r w:rsidRPr="00365637">
        <w:rPr>
          <w:rFonts w:ascii="Arial" w:hAnsi="Arial" w:cs="Arial"/>
          <w:sz w:val="22"/>
          <w:szCs w:val="22"/>
          <w:lang w:val="en-GB"/>
        </w:rPr>
        <w:t>In this case, the Bankruptcy Code provides for a relief from the stay through a lift-stay or relief</w:t>
      </w:r>
      <w:r>
        <w:rPr>
          <w:rFonts w:ascii="Arial" w:hAnsi="Arial" w:cs="Arial"/>
          <w:sz w:val="22"/>
          <w:szCs w:val="22"/>
          <w:lang w:val="en-GB"/>
        </w:rPr>
        <w:t xml:space="preserve"> </w:t>
      </w:r>
      <w:r w:rsidRPr="00365637">
        <w:rPr>
          <w:rFonts w:ascii="Arial" w:hAnsi="Arial" w:cs="Arial"/>
          <w:sz w:val="22"/>
          <w:szCs w:val="22"/>
          <w:lang w:val="en-GB"/>
        </w:rPr>
        <w:t>from stay motion if a lack of protection is proved. This circumstance may occur if the value of the property may decrease during the proceedings with the consequence that the creditor does not recover the full amount of the claim.</w:t>
      </w:r>
    </w:p>
    <w:p w14:paraId="77103411" w14:textId="77777777" w:rsidR="00365637" w:rsidRDefault="00365637" w:rsidP="00365637">
      <w:pPr>
        <w:pStyle w:val="ListParagraph"/>
        <w:jc w:val="both"/>
        <w:rPr>
          <w:rFonts w:ascii="Arial" w:hAnsi="Arial" w:cs="Arial"/>
          <w:sz w:val="22"/>
          <w:szCs w:val="22"/>
          <w:lang w:val="en-GB"/>
        </w:rPr>
      </w:pPr>
    </w:p>
    <w:p w14:paraId="430936D4" w14:textId="52DFEA45" w:rsidR="00365637" w:rsidRDefault="00365637" w:rsidP="00A16034">
      <w:pPr>
        <w:pStyle w:val="ListParagraph"/>
        <w:numPr>
          <w:ilvl w:val="0"/>
          <w:numId w:val="25"/>
        </w:numPr>
        <w:jc w:val="both"/>
        <w:rPr>
          <w:rFonts w:ascii="Arial" w:hAnsi="Arial" w:cs="Arial"/>
          <w:sz w:val="22"/>
          <w:szCs w:val="22"/>
          <w:lang w:val="en-GB"/>
        </w:rPr>
      </w:pPr>
      <w:r w:rsidRPr="00365637">
        <w:rPr>
          <w:rFonts w:ascii="Arial" w:hAnsi="Arial" w:cs="Arial"/>
          <w:sz w:val="22"/>
          <w:szCs w:val="22"/>
          <w:lang w:val="en-GB"/>
        </w:rPr>
        <w:t>The debtor has no equity in the property and it is not necessary for reorganization</w:t>
      </w:r>
      <w:r>
        <w:rPr>
          <w:rFonts w:ascii="Arial" w:hAnsi="Arial" w:cs="Arial"/>
          <w:sz w:val="22"/>
          <w:szCs w:val="22"/>
          <w:lang w:val="en-GB"/>
        </w:rPr>
        <w:t xml:space="preserve">. As mention above, it will be necessary </w:t>
      </w:r>
      <w:r w:rsidRPr="00365637">
        <w:rPr>
          <w:rFonts w:ascii="Arial" w:hAnsi="Arial" w:cs="Arial"/>
          <w:sz w:val="22"/>
          <w:szCs w:val="22"/>
          <w:lang w:val="en-GB"/>
        </w:rPr>
        <w:t>for the creditor to prove that his interest is greater than the value of the property.</w:t>
      </w:r>
    </w:p>
    <w:p w14:paraId="732B2FFB" w14:textId="48387BFE" w:rsidR="00365637" w:rsidRDefault="00365637" w:rsidP="001E0CD8">
      <w:pPr>
        <w:jc w:val="both"/>
        <w:rPr>
          <w:rFonts w:ascii="Arial" w:hAnsi="Arial" w:cs="Arial"/>
          <w:sz w:val="22"/>
          <w:szCs w:val="22"/>
          <w:lang w:val="en-GB"/>
        </w:rPr>
      </w:pPr>
    </w:p>
    <w:p w14:paraId="39F9ABC5" w14:textId="6EBF66EE" w:rsidR="001E0CD8" w:rsidRPr="001E0CD8" w:rsidRDefault="001E0CD8" w:rsidP="001E0CD8">
      <w:pPr>
        <w:jc w:val="both"/>
        <w:rPr>
          <w:rFonts w:ascii="Arial" w:hAnsi="Arial" w:cs="Arial"/>
          <w:sz w:val="22"/>
          <w:szCs w:val="22"/>
          <w:lang w:val="en-GB"/>
        </w:rPr>
      </w:pPr>
      <w:r>
        <w:rPr>
          <w:rFonts w:ascii="Arial" w:hAnsi="Arial" w:cs="Arial"/>
          <w:sz w:val="22"/>
          <w:szCs w:val="22"/>
          <w:lang w:val="en-GB"/>
        </w:rPr>
        <w:t>In addition to these, as explained in the Guidance Text, the</w:t>
      </w:r>
      <w:r w:rsidRPr="001E0CD8">
        <w:rPr>
          <w:rFonts w:ascii="Arial" w:hAnsi="Arial" w:cs="Arial"/>
          <w:sz w:val="22"/>
          <w:szCs w:val="22"/>
          <w:lang w:val="en-GB"/>
        </w:rPr>
        <w:t xml:space="preserve"> court may terminate the automatic stay as</w:t>
      </w:r>
      <w:r>
        <w:rPr>
          <w:rFonts w:ascii="Arial" w:hAnsi="Arial" w:cs="Arial"/>
          <w:sz w:val="22"/>
          <w:szCs w:val="22"/>
          <w:lang w:val="en-GB"/>
        </w:rPr>
        <w:t xml:space="preserve"> </w:t>
      </w:r>
      <w:r w:rsidRPr="001E0CD8">
        <w:rPr>
          <w:rFonts w:ascii="Arial" w:hAnsi="Arial" w:cs="Arial"/>
          <w:sz w:val="22"/>
          <w:szCs w:val="22"/>
          <w:lang w:val="en-GB"/>
        </w:rPr>
        <w:t>of a given future date, annul the stay retrospectively</w:t>
      </w:r>
      <w:r>
        <w:rPr>
          <w:rFonts w:ascii="Arial" w:hAnsi="Arial" w:cs="Arial"/>
          <w:sz w:val="22"/>
          <w:szCs w:val="22"/>
          <w:lang w:val="en-GB"/>
        </w:rPr>
        <w:t xml:space="preserve">, </w:t>
      </w:r>
      <w:r w:rsidRPr="001E0CD8">
        <w:rPr>
          <w:rFonts w:ascii="Arial" w:hAnsi="Arial" w:cs="Arial"/>
          <w:sz w:val="22"/>
          <w:szCs w:val="22"/>
          <w:lang w:val="en-GB"/>
        </w:rPr>
        <w:t>modify the stay to permit</w:t>
      </w:r>
      <w:r>
        <w:rPr>
          <w:rFonts w:ascii="Arial" w:hAnsi="Arial" w:cs="Arial"/>
          <w:sz w:val="22"/>
          <w:szCs w:val="22"/>
          <w:lang w:val="en-GB"/>
        </w:rPr>
        <w:t xml:space="preserve"> </w:t>
      </w:r>
      <w:r w:rsidRPr="001E0CD8">
        <w:rPr>
          <w:rFonts w:ascii="Arial" w:hAnsi="Arial" w:cs="Arial"/>
          <w:sz w:val="22"/>
          <w:szCs w:val="22"/>
          <w:lang w:val="en-GB"/>
        </w:rPr>
        <w:t>specific act</w:t>
      </w:r>
      <w:r>
        <w:rPr>
          <w:rFonts w:ascii="Arial" w:hAnsi="Arial" w:cs="Arial"/>
          <w:sz w:val="22"/>
          <w:szCs w:val="22"/>
          <w:lang w:val="en-GB"/>
        </w:rPr>
        <w:t xml:space="preserve"> (a given example of this is </w:t>
      </w:r>
      <w:r w:rsidRPr="001E0CD8">
        <w:rPr>
          <w:rFonts w:ascii="Arial" w:hAnsi="Arial" w:cs="Arial"/>
          <w:sz w:val="22"/>
          <w:szCs w:val="22"/>
          <w:lang w:val="en-GB"/>
        </w:rPr>
        <w:t>to file a lawsuit against the debtor to avoid lapsing of</w:t>
      </w:r>
      <w:r>
        <w:rPr>
          <w:rFonts w:ascii="Arial" w:hAnsi="Arial" w:cs="Arial"/>
          <w:sz w:val="22"/>
          <w:szCs w:val="22"/>
          <w:lang w:val="en-GB"/>
        </w:rPr>
        <w:t xml:space="preserve"> </w:t>
      </w:r>
      <w:r w:rsidRPr="001E0CD8">
        <w:rPr>
          <w:rFonts w:ascii="Arial" w:hAnsi="Arial" w:cs="Arial"/>
          <w:sz w:val="22"/>
          <w:szCs w:val="22"/>
          <w:lang w:val="en-GB"/>
        </w:rPr>
        <w:t>statute of limitations</w:t>
      </w:r>
      <w:r>
        <w:rPr>
          <w:rFonts w:ascii="Arial" w:hAnsi="Arial" w:cs="Arial"/>
          <w:sz w:val="22"/>
          <w:szCs w:val="22"/>
          <w:lang w:val="en-GB"/>
        </w:rPr>
        <w:t xml:space="preserve">) </w:t>
      </w:r>
      <w:r w:rsidRPr="001E0CD8">
        <w:rPr>
          <w:rFonts w:ascii="Arial" w:hAnsi="Arial" w:cs="Arial"/>
          <w:sz w:val="22"/>
          <w:szCs w:val="22"/>
          <w:lang w:val="en-GB"/>
        </w:rPr>
        <w:t>or condition the continuance of the stay on the debtor’s</w:t>
      </w:r>
      <w:r>
        <w:rPr>
          <w:rFonts w:ascii="Arial" w:hAnsi="Arial" w:cs="Arial"/>
          <w:sz w:val="22"/>
          <w:szCs w:val="22"/>
          <w:lang w:val="en-GB"/>
        </w:rPr>
        <w:t xml:space="preserve"> </w:t>
      </w:r>
      <w:r w:rsidRPr="001E0CD8">
        <w:rPr>
          <w:rFonts w:ascii="Arial" w:hAnsi="Arial" w:cs="Arial"/>
          <w:sz w:val="22"/>
          <w:szCs w:val="22"/>
          <w:lang w:val="en-GB"/>
        </w:rPr>
        <w:t>compliance with a condition to protect the affected party’s interest in the property</w:t>
      </w:r>
      <w:r>
        <w:rPr>
          <w:rFonts w:ascii="Arial" w:hAnsi="Arial" w:cs="Arial"/>
          <w:sz w:val="22"/>
          <w:szCs w:val="22"/>
          <w:lang w:val="en-GB"/>
        </w:rPr>
        <w:t xml:space="preserve"> (in this case, the lessor)</w:t>
      </w:r>
      <w:r w:rsidRPr="001E0CD8">
        <w:rPr>
          <w:rFonts w:ascii="Arial" w:hAnsi="Arial" w:cs="Arial"/>
          <w:sz w:val="22"/>
          <w:szCs w:val="22"/>
          <w:lang w:val="en-GB"/>
        </w:rPr>
        <w:t>, in</w:t>
      </w:r>
      <w:r>
        <w:rPr>
          <w:rFonts w:ascii="Arial" w:hAnsi="Arial" w:cs="Arial"/>
          <w:sz w:val="22"/>
          <w:szCs w:val="22"/>
          <w:lang w:val="en-GB"/>
        </w:rPr>
        <w:t xml:space="preserve"> </w:t>
      </w:r>
      <w:r w:rsidRPr="001E0CD8">
        <w:rPr>
          <w:rFonts w:ascii="Arial" w:hAnsi="Arial" w:cs="Arial"/>
          <w:sz w:val="22"/>
          <w:szCs w:val="22"/>
          <w:lang w:val="en-GB"/>
        </w:rPr>
        <w:t>each case for cause shown.</w:t>
      </w:r>
    </w:p>
    <w:p w14:paraId="182B114B" w14:textId="77777777" w:rsidR="00BF7B76" w:rsidRDefault="00BF7B76"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a number of </w:t>
      </w:r>
      <w:r w:rsidRPr="00097B45">
        <w:rPr>
          <w:rFonts w:ascii="Arial" w:hAnsi="Arial" w:cs="Arial"/>
        </w:rPr>
        <w:lastRenderedPageBreak/>
        <w:t>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7A3472B0" w:rsidR="009B0723" w:rsidRPr="00097B45" w:rsidRDefault="000665F1" w:rsidP="00097B45">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p>
    <w:p w14:paraId="626FA5C6" w14:textId="523AE0A6" w:rsidR="002D3473" w:rsidRDefault="00722F63" w:rsidP="00722F63">
      <w:pPr>
        <w:autoSpaceDE w:val="0"/>
        <w:autoSpaceDN w:val="0"/>
        <w:adjustRightInd w:val="0"/>
        <w:jc w:val="both"/>
        <w:rPr>
          <w:rFonts w:ascii="Arial" w:hAnsi="Arial" w:cs="Arial"/>
          <w:color w:val="FF0000"/>
          <w:sz w:val="22"/>
          <w:szCs w:val="22"/>
          <w:lang w:val="en-GB"/>
        </w:rPr>
      </w:pPr>
      <w:r>
        <w:rPr>
          <w:rFonts w:ascii="Arial" w:hAnsi="Arial" w:cs="Arial"/>
          <w:sz w:val="22"/>
          <w:szCs w:val="22"/>
          <w:lang w:val="en-GB"/>
        </w:rPr>
        <w:t xml:space="preserve">Through a 363 sale, the debtor can sell its property in the ordinary court of business without court or creditor interference and he also can sell it free and clear of creditor interests with court approval. </w:t>
      </w:r>
    </w:p>
    <w:p w14:paraId="6FF4D2B1" w14:textId="1E43C99D" w:rsidR="00A16034" w:rsidRDefault="00A16034" w:rsidP="00722F63">
      <w:pPr>
        <w:autoSpaceDE w:val="0"/>
        <w:autoSpaceDN w:val="0"/>
        <w:adjustRightInd w:val="0"/>
        <w:jc w:val="both"/>
        <w:rPr>
          <w:rFonts w:ascii="Arial" w:hAnsi="Arial" w:cs="Arial"/>
          <w:color w:val="FF0000"/>
          <w:sz w:val="22"/>
          <w:szCs w:val="22"/>
          <w:lang w:val="en-GB"/>
        </w:rPr>
      </w:pPr>
    </w:p>
    <w:p w14:paraId="299A4282" w14:textId="5414E67C" w:rsidR="00A16034" w:rsidRDefault="00A16034" w:rsidP="00722F63">
      <w:pPr>
        <w:autoSpaceDE w:val="0"/>
        <w:autoSpaceDN w:val="0"/>
        <w:adjustRightInd w:val="0"/>
        <w:jc w:val="both"/>
        <w:rPr>
          <w:rFonts w:ascii="Arial" w:hAnsi="Arial" w:cs="Arial"/>
          <w:sz w:val="22"/>
          <w:szCs w:val="22"/>
          <w:lang w:val="en-GB"/>
        </w:rPr>
      </w:pPr>
      <w:r w:rsidRPr="00A16034">
        <w:rPr>
          <w:rFonts w:ascii="Arial" w:hAnsi="Arial" w:cs="Arial"/>
          <w:sz w:val="22"/>
          <w:szCs w:val="22"/>
          <w:lang w:val="en-GB"/>
        </w:rPr>
        <w:t xml:space="preserve">Regarding obtaining the consent from the home improvement stores to assign the distribution contracts, we have to bear in mind that the debtor can transfer its interests in key contracts that are required to operate the business, even where they obtain contractual restrictions on assignment or purport to terminate upon bankruptcy filing. One exception to this are licenses of patents and copyrights owned by the debtor, which are protected so that licenses can’t be terminated in connection with the sale of the intellectual property without their consent. </w:t>
      </w:r>
    </w:p>
    <w:p w14:paraId="40DAF565" w14:textId="77777777" w:rsidR="00A16034" w:rsidRPr="00A16034" w:rsidRDefault="00A16034" w:rsidP="00722F63">
      <w:pPr>
        <w:autoSpaceDE w:val="0"/>
        <w:autoSpaceDN w:val="0"/>
        <w:adjustRightInd w:val="0"/>
        <w:jc w:val="both"/>
        <w:rPr>
          <w:rFonts w:ascii="Arial" w:hAnsi="Arial" w:cs="Arial"/>
          <w:sz w:val="22"/>
          <w:szCs w:val="22"/>
          <w:lang w:val="en-GB"/>
        </w:rPr>
      </w:pP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B7F6" w14:textId="77777777" w:rsidR="00690E8F" w:rsidRDefault="00690E8F" w:rsidP="00241B44">
      <w:r>
        <w:separator/>
      </w:r>
    </w:p>
  </w:endnote>
  <w:endnote w:type="continuationSeparator" w:id="0">
    <w:p w14:paraId="54882F24" w14:textId="77777777" w:rsidR="00690E8F" w:rsidRDefault="00690E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25492FE" w:rsidR="00241FA3" w:rsidRPr="009B4976" w:rsidRDefault="00FC17A5" w:rsidP="009B4976">
    <w:pPr>
      <w:pStyle w:val="Footer"/>
      <w:ind w:right="360"/>
      <w:rPr>
        <w:rFonts w:ascii="Arial" w:hAnsi="Arial" w:cs="Arial"/>
        <w:sz w:val="18"/>
        <w:szCs w:val="18"/>
        <w:lang w:val="en-GB"/>
      </w:rPr>
    </w:pPr>
    <w:r w:rsidRPr="00FC17A5">
      <w:rPr>
        <w:rFonts w:ascii="Arial" w:hAnsi="Arial" w:cs="Arial"/>
        <w:sz w:val="18"/>
        <w:szCs w:val="18"/>
        <w:lang w:val="en-GB"/>
      </w:rPr>
      <w:t>202021IFU-284</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2D02" w14:textId="77777777" w:rsidR="00690E8F" w:rsidRDefault="00690E8F" w:rsidP="00241B44">
      <w:r>
        <w:separator/>
      </w:r>
    </w:p>
  </w:footnote>
  <w:footnote w:type="continuationSeparator" w:id="0">
    <w:p w14:paraId="581F5F83" w14:textId="77777777" w:rsidR="00690E8F" w:rsidRDefault="00690E8F" w:rsidP="00241B44">
      <w:r>
        <w:continuationSeparator/>
      </w:r>
    </w:p>
  </w:footnote>
  <w:footnote w:id="1">
    <w:p w14:paraId="63B2F80A" w14:textId="48A94B93" w:rsidR="00E072C0" w:rsidRPr="00E072C0" w:rsidRDefault="00E072C0">
      <w:pPr>
        <w:pStyle w:val="FootnoteText"/>
        <w:rPr>
          <w:lang w:val="es-ES"/>
        </w:rPr>
      </w:pPr>
      <w:r>
        <w:rPr>
          <w:rStyle w:val="FootnoteReference"/>
        </w:rPr>
        <w:footnoteRef/>
      </w:r>
      <w:r>
        <w:t xml:space="preserve"> </w:t>
      </w:r>
      <w:hyperlink r:id="rId1" w:history="1">
        <w:r w:rsidRPr="000477EA">
          <w:rPr>
            <w:rStyle w:val="Hyperlink"/>
          </w:rPr>
          <w:t>https://scholarlycommons.law.hofstra.edu/cgi/viewcontent.cgi?article=1998&amp;context=faculty_scholarship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822"/>
    <w:multiLevelType w:val="hybridMultilevel"/>
    <w:tmpl w:val="E35244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62C"/>
    <w:multiLevelType w:val="hybridMultilevel"/>
    <w:tmpl w:val="8B96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AC1AE8"/>
    <w:multiLevelType w:val="hybridMultilevel"/>
    <w:tmpl w:val="8E48E7E8"/>
    <w:lvl w:ilvl="0" w:tplc="DD7ECE80">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4"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84175"/>
    <w:multiLevelType w:val="hybridMultilevel"/>
    <w:tmpl w:val="EE667C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F3B4DFC"/>
    <w:multiLevelType w:val="hybridMultilevel"/>
    <w:tmpl w:val="2E4A4890"/>
    <w:lvl w:ilvl="0" w:tplc="59A6BBE8">
      <w:start w:val="1"/>
      <w:numFmt w:val="bullet"/>
      <w:lvlText w:val="-"/>
      <w:lvlJc w:val="left"/>
      <w:pPr>
        <w:ind w:left="720" w:hanging="360"/>
      </w:pPr>
      <w:rPr>
        <w:rFonts w:ascii="Arial" w:eastAsia="Times New Roman" w:hAnsi="Arial" w:cs="Arial" w:hint="default"/>
        <w:color w:val="7B7B7B" w:themeColor="accent3"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84282"/>
    <w:multiLevelType w:val="hybridMultilevel"/>
    <w:tmpl w:val="903E2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28495E"/>
    <w:multiLevelType w:val="hybridMultilevel"/>
    <w:tmpl w:val="BCC68CEA"/>
    <w:lvl w:ilvl="0" w:tplc="86644D1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2B0553"/>
    <w:multiLevelType w:val="hybridMultilevel"/>
    <w:tmpl w:val="D0F497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82BCB"/>
    <w:multiLevelType w:val="hybridMultilevel"/>
    <w:tmpl w:val="A456E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26D79"/>
    <w:multiLevelType w:val="hybridMultilevel"/>
    <w:tmpl w:val="FA7044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FD0EA2"/>
    <w:multiLevelType w:val="hybridMultilevel"/>
    <w:tmpl w:val="1A325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644"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585CF0"/>
    <w:multiLevelType w:val="hybridMultilevel"/>
    <w:tmpl w:val="A91053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865A9884">
      <w:start w:val="11"/>
      <w:numFmt w:val="bullet"/>
      <w:lvlText w:val="•"/>
      <w:lvlJc w:val="left"/>
      <w:pPr>
        <w:ind w:left="2340" w:hanging="360"/>
      </w:pPr>
      <w:rPr>
        <w:rFonts w:ascii="Arial" w:eastAsia="Times New Roman" w:hAnsi="Arial" w:cs="Arial" w:hint="default"/>
      </w:rPr>
    </w:lvl>
    <w:lvl w:ilvl="3" w:tplc="6E4CBB86">
      <w:start w:val="1"/>
      <w:numFmt w:val="lowerRoman"/>
      <w:lvlText w:val="(%4)"/>
      <w:lvlJc w:val="left"/>
      <w:pPr>
        <w:ind w:left="72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663F69"/>
    <w:multiLevelType w:val="hybridMultilevel"/>
    <w:tmpl w:val="B80091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676C8E"/>
    <w:multiLevelType w:val="hybridMultilevel"/>
    <w:tmpl w:val="6F8CC130"/>
    <w:lvl w:ilvl="0" w:tplc="6C9052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AB348B"/>
    <w:multiLevelType w:val="hybridMultilevel"/>
    <w:tmpl w:val="624C8572"/>
    <w:lvl w:ilvl="0" w:tplc="3CEEF620">
      <w:start w:val="1"/>
      <w:numFmt w:val="decimal"/>
      <w:lvlText w:val="%1."/>
      <w:lvlJc w:val="left"/>
      <w:pPr>
        <w:ind w:left="720" w:hanging="360"/>
      </w:pPr>
      <w:rPr>
        <w:rFonts w:hint="default"/>
      </w:rPr>
    </w:lvl>
    <w:lvl w:ilvl="1" w:tplc="01A8D15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4862EB"/>
    <w:multiLevelType w:val="hybridMultilevel"/>
    <w:tmpl w:val="5030A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
  </w:num>
  <w:num w:numId="3">
    <w:abstractNumId w:val="7"/>
  </w:num>
  <w:num w:numId="4">
    <w:abstractNumId w:val="13"/>
  </w:num>
  <w:num w:numId="5">
    <w:abstractNumId w:val="1"/>
  </w:num>
  <w:num w:numId="6">
    <w:abstractNumId w:val="18"/>
  </w:num>
  <w:num w:numId="7">
    <w:abstractNumId w:val="15"/>
  </w:num>
  <w:num w:numId="8">
    <w:abstractNumId w:val="11"/>
  </w:num>
  <w:num w:numId="9">
    <w:abstractNumId w:val="14"/>
  </w:num>
  <w:num w:numId="10">
    <w:abstractNumId w:val="25"/>
  </w:num>
  <w:num w:numId="11">
    <w:abstractNumId w:val="3"/>
  </w:num>
  <w:num w:numId="12">
    <w:abstractNumId w:val="9"/>
  </w:num>
  <w:num w:numId="13">
    <w:abstractNumId w:val="12"/>
  </w:num>
  <w:num w:numId="14">
    <w:abstractNumId w:val="23"/>
  </w:num>
  <w:num w:numId="15">
    <w:abstractNumId w:val="10"/>
  </w:num>
  <w:num w:numId="16">
    <w:abstractNumId w:val="16"/>
  </w:num>
  <w:num w:numId="17">
    <w:abstractNumId w:val="22"/>
  </w:num>
  <w:num w:numId="18">
    <w:abstractNumId w:val="21"/>
  </w:num>
  <w:num w:numId="19">
    <w:abstractNumId w:val="5"/>
  </w:num>
  <w:num w:numId="20">
    <w:abstractNumId w:val="0"/>
  </w:num>
  <w:num w:numId="21">
    <w:abstractNumId w:val="19"/>
  </w:num>
  <w:num w:numId="22">
    <w:abstractNumId w:val="20"/>
  </w:num>
  <w:num w:numId="23">
    <w:abstractNumId w:val="17"/>
  </w:num>
  <w:num w:numId="24">
    <w:abstractNumId w:val="2"/>
  </w:num>
  <w:num w:numId="25">
    <w:abstractNumId w:val="8"/>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5166"/>
    <w:rsid w:val="000665F1"/>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B577B"/>
    <w:rsid w:val="001C45FC"/>
    <w:rsid w:val="001D0469"/>
    <w:rsid w:val="001D4862"/>
    <w:rsid w:val="001E0CD8"/>
    <w:rsid w:val="001E25B9"/>
    <w:rsid w:val="001E49E0"/>
    <w:rsid w:val="001E7B5A"/>
    <w:rsid w:val="001F14D2"/>
    <w:rsid w:val="001F7412"/>
    <w:rsid w:val="00202DFE"/>
    <w:rsid w:val="0020725B"/>
    <w:rsid w:val="002110F1"/>
    <w:rsid w:val="00212A8B"/>
    <w:rsid w:val="002229A1"/>
    <w:rsid w:val="00223917"/>
    <w:rsid w:val="0024116D"/>
    <w:rsid w:val="00241B44"/>
    <w:rsid w:val="00241FA3"/>
    <w:rsid w:val="00245EFB"/>
    <w:rsid w:val="0025386E"/>
    <w:rsid w:val="00256B74"/>
    <w:rsid w:val="0026107D"/>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2D9F"/>
    <w:rsid w:val="002D3473"/>
    <w:rsid w:val="002D6789"/>
    <w:rsid w:val="002D78C5"/>
    <w:rsid w:val="002F1956"/>
    <w:rsid w:val="002F3440"/>
    <w:rsid w:val="002F52B8"/>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37"/>
    <w:rsid w:val="0036565C"/>
    <w:rsid w:val="0036625E"/>
    <w:rsid w:val="00372824"/>
    <w:rsid w:val="0037465A"/>
    <w:rsid w:val="003814BB"/>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3F2246"/>
    <w:rsid w:val="00404329"/>
    <w:rsid w:val="00405DC1"/>
    <w:rsid w:val="00414530"/>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0518"/>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0E8F"/>
    <w:rsid w:val="00697EA1"/>
    <w:rsid w:val="006A2646"/>
    <w:rsid w:val="006A6530"/>
    <w:rsid w:val="006B3571"/>
    <w:rsid w:val="006B435A"/>
    <w:rsid w:val="006B4C64"/>
    <w:rsid w:val="006B7F8B"/>
    <w:rsid w:val="006C7393"/>
    <w:rsid w:val="006D6BD5"/>
    <w:rsid w:val="006E481A"/>
    <w:rsid w:val="006E5298"/>
    <w:rsid w:val="006F4A78"/>
    <w:rsid w:val="006F734A"/>
    <w:rsid w:val="00700D83"/>
    <w:rsid w:val="00704852"/>
    <w:rsid w:val="007074E9"/>
    <w:rsid w:val="00713DA4"/>
    <w:rsid w:val="00714BF1"/>
    <w:rsid w:val="00717C2C"/>
    <w:rsid w:val="00721383"/>
    <w:rsid w:val="00722F63"/>
    <w:rsid w:val="00723EA7"/>
    <w:rsid w:val="0073158B"/>
    <w:rsid w:val="007333CC"/>
    <w:rsid w:val="0073399A"/>
    <w:rsid w:val="007603F5"/>
    <w:rsid w:val="00764DB0"/>
    <w:rsid w:val="0076764D"/>
    <w:rsid w:val="0077498C"/>
    <w:rsid w:val="0077756F"/>
    <w:rsid w:val="00777C53"/>
    <w:rsid w:val="007809BC"/>
    <w:rsid w:val="00784128"/>
    <w:rsid w:val="00787BCC"/>
    <w:rsid w:val="00793173"/>
    <w:rsid w:val="00796F6C"/>
    <w:rsid w:val="007A2A33"/>
    <w:rsid w:val="007B5C89"/>
    <w:rsid w:val="007C1FCC"/>
    <w:rsid w:val="007C6201"/>
    <w:rsid w:val="007D7C92"/>
    <w:rsid w:val="007E1154"/>
    <w:rsid w:val="007E4DBC"/>
    <w:rsid w:val="007E6BA4"/>
    <w:rsid w:val="007F12AB"/>
    <w:rsid w:val="007F41F8"/>
    <w:rsid w:val="007F659B"/>
    <w:rsid w:val="0080454E"/>
    <w:rsid w:val="00804C32"/>
    <w:rsid w:val="00805305"/>
    <w:rsid w:val="00806302"/>
    <w:rsid w:val="00807119"/>
    <w:rsid w:val="0082483F"/>
    <w:rsid w:val="008279C0"/>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176E8"/>
    <w:rsid w:val="00921B8C"/>
    <w:rsid w:val="00922998"/>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6034"/>
    <w:rsid w:val="00A2166D"/>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40D5"/>
    <w:rsid w:val="00AC7082"/>
    <w:rsid w:val="00AD15B8"/>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5E42"/>
    <w:rsid w:val="00B77F46"/>
    <w:rsid w:val="00B82586"/>
    <w:rsid w:val="00B829A3"/>
    <w:rsid w:val="00B86DB1"/>
    <w:rsid w:val="00B87869"/>
    <w:rsid w:val="00B92401"/>
    <w:rsid w:val="00B9639B"/>
    <w:rsid w:val="00BB0F2B"/>
    <w:rsid w:val="00BD4A58"/>
    <w:rsid w:val="00BD7337"/>
    <w:rsid w:val="00BE4FF3"/>
    <w:rsid w:val="00BF50F7"/>
    <w:rsid w:val="00BF7B76"/>
    <w:rsid w:val="00C02F29"/>
    <w:rsid w:val="00C20AFE"/>
    <w:rsid w:val="00C22A25"/>
    <w:rsid w:val="00C35671"/>
    <w:rsid w:val="00C35B77"/>
    <w:rsid w:val="00C362AA"/>
    <w:rsid w:val="00C366EA"/>
    <w:rsid w:val="00C376EB"/>
    <w:rsid w:val="00C46A92"/>
    <w:rsid w:val="00C46EC1"/>
    <w:rsid w:val="00C52796"/>
    <w:rsid w:val="00C53E2C"/>
    <w:rsid w:val="00C550C8"/>
    <w:rsid w:val="00C56B61"/>
    <w:rsid w:val="00C606C3"/>
    <w:rsid w:val="00C620F4"/>
    <w:rsid w:val="00C651D6"/>
    <w:rsid w:val="00C72848"/>
    <w:rsid w:val="00C7736C"/>
    <w:rsid w:val="00C82D87"/>
    <w:rsid w:val="00C848C8"/>
    <w:rsid w:val="00C8712A"/>
    <w:rsid w:val="00C87E0A"/>
    <w:rsid w:val="00C902C8"/>
    <w:rsid w:val="00C919D1"/>
    <w:rsid w:val="00C963D3"/>
    <w:rsid w:val="00CB1983"/>
    <w:rsid w:val="00CB2CBB"/>
    <w:rsid w:val="00CB6578"/>
    <w:rsid w:val="00CB7BE7"/>
    <w:rsid w:val="00CB7CAC"/>
    <w:rsid w:val="00CC4818"/>
    <w:rsid w:val="00CC5335"/>
    <w:rsid w:val="00CC5BA4"/>
    <w:rsid w:val="00CD4998"/>
    <w:rsid w:val="00CD7293"/>
    <w:rsid w:val="00CE1035"/>
    <w:rsid w:val="00CE6E50"/>
    <w:rsid w:val="00CF2819"/>
    <w:rsid w:val="00CF4F9D"/>
    <w:rsid w:val="00CF70DC"/>
    <w:rsid w:val="00D041E0"/>
    <w:rsid w:val="00D14336"/>
    <w:rsid w:val="00D148DC"/>
    <w:rsid w:val="00D17FDC"/>
    <w:rsid w:val="00D21021"/>
    <w:rsid w:val="00D21D8C"/>
    <w:rsid w:val="00D25CAB"/>
    <w:rsid w:val="00D316F2"/>
    <w:rsid w:val="00D41A7E"/>
    <w:rsid w:val="00D51E65"/>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C776B"/>
    <w:rsid w:val="00DD0802"/>
    <w:rsid w:val="00DD2E11"/>
    <w:rsid w:val="00DE03AF"/>
    <w:rsid w:val="00DE121C"/>
    <w:rsid w:val="00DE5357"/>
    <w:rsid w:val="00DE6633"/>
    <w:rsid w:val="00DF158F"/>
    <w:rsid w:val="00DF75F8"/>
    <w:rsid w:val="00DF7A3A"/>
    <w:rsid w:val="00E00C00"/>
    <w:rsid w:val="00E072C0"/>
    <w:rsid w:val="00E07C5A"/>
    <w:rsid w:val="00E15BA9"/>
    <w:rsid w:val="00E21C7C"/>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E7705"/>
    <w:rsid w:val="00EE7735"/>
    <w:rsid w:val="00EF090E"/>
    <w:rsid w:val="00EF5572"/>
    <w:rsid w:val="00EF64EA"/>
    <w:rsid w:val="00F033DA"/>
    <w:rsid w:val="00F13691"/>
    <w:rsid w:val="00F13FB1"/>
    <w:rsid w:val="00F2001D"/>
    <w:rsid w:val="00F27CD8"/>
    <w:rsid w:val="00F30351"/>
    <w:rsid w:val="00F3323E"/>
    <w:rsid w:val="00F341F4"/>
    <w:rsid w:val="00F34F9D"/>
    <w:rsid w:val="00F35CCE"/>
    <w:rsid w:val="00F5524B"/>
    <w:rsid w:val="00F60538"/>
    <w:rsid w:val="00F61DD2"/>
    <w:rsid w:val="00F66AFF"/>
    <w:rsid w:val="00F71433"/>
    <w:rsid w:val="00F97C5B"/>
    <w:rsid w:val="00FA3D50"/>
    <w:rsid w:val="00FA3D82"/>
    <w:rsid w:val="00FB5AB7"/>
    <w:rsid w:val="00FB7FBD"/>
    <w:rsid w:val="00FC17A5"/>
    <w:rsid w:val="00FC374A"/>
    <w:rsid w:val="00FC43EC"/>
    <w:rsid w:val="00FC7140"/>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styleId="EndnoteText">
    <w:name w:val="endnote text"/>
    <w:basedOn w:val="Normal"/>
    <w:link w:val="EndnoteTextChar"/>
    <w:uiPriority w:val="99"/>
    <w:semiHidden/>
    <w:unhideWhenUsed/>
    <w:rsid w:val="00E072C0"/>
    <w:rPr>
      <w:szCs w:val="20"/>
    </w:rPr>
  </w:style>
  <w:style w:type="character" w:customStyle="1" w:styleId="EndnoteTextChar">
    <w:name w:val="Endnote Text Char"/>
    <w:basedOn w:val="DefaultParagraphFont"/>
    <w:link w:val="EndnoteText"/>
    <w:uiPriority w:val="99"/>
    <w:semiHidden/>
    <w:rsid w:val="00E072C0"/>
    <w:rPr>
      <w:rFonts w:eastAsia="Times New Roman"/>
      <w:sz w:val="20"/>
      <w:szCs w:val="20"/>
    </w:rPr>
  </w:style>
  <w:style w:type="character" w:styleId="EndnoteReference">
    <w:name w:val="endnote reference"/>
    <w:basedOn w:val="DefaultParagraphFont"/>
    <w:uiPriority w:val="99"/>
    <w:semiHidden/>
    <w:unhideWhenUsed/>
    <w:rsid w:val="00E072C0"/>
    <w:rPr>
      <w:vertAlign w:val="superscript"/>
    </w:rPr>
  </w:style>
  <w:style w:type="character" w:styleId="UnresolvedMention">
    <w:name w:val="Unresolved Mention"/>
    <w:basedOn w:val="DefaultParagraphFont"/>
    <w:uiPriority w:val="99"/>
    <w:semiHidden/>
    <w:unhideWhenUsed/>
    <w:rsid w:val="00E07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lycommons.law.hofstra.edu/cgi/viewcontent.cgi?article=1998&amp;context=faculty_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4873</Words>
  <Characters>27781</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2021-07-26T11:51:00Z</dcterms:created>
  <dcterms:modified xsi:type="dcterms:W3CDTF">2021-07-26T11:51:00Z</dcterms:modified>
</cp:coreProperties>
</file>