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FFD8"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BD4C696" wp14:editId="6CD3349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4C7AE93" w14:textId="77777777" w:rsidR="004B23A2" w:rsidRDefault="004B23A2" w:rsidP="00592F82">
      <w:pPr>
        <w:jc w:val="center"/>
        <w:rPr>
          <w:rFonts w:ascii="Arial" w:hAnsi="Arial" w:cs="Arial"/>
          <w:b/>
          <w:sz w:val="22"/>
          <w:szCs w:val="22"/>
          <w:lang w:val="en-GB"/>
        </w:rPr>
      </w:pPr>
    </w:p>
    <w:p w14:paraId="3B812494" w14:textId="77777777" w:rsidR="00397D3A" w:rsidRDefault="00397D3A" w:rsidP="00592F82">
      <w:pPr>
        <w:jc w:val="center"/>
        <w:rPr>
          <w:rFonts w:ascii="Arial" w:hAnsi="Arial" w:cs="Arial"/>
          <w:b/>
          <w:sz w:val="22"/>
          <w:szCs w:val="22"/>
          <w:lang w:val="en-GB"/>
        </w:rPr>
      </w:pPr>
    </w:p>
    <w:p w14:paraId="6465202C" w14:textId="77777777" w:rsidR="00437297" w:rsidRDefault="00437297" w:rsidP="00592F82">
      <w:pPr>
        <w:jc w:val="center"/>
        <w:rPr>
          <w:rFonts w:ascii="Arial" w:hAnsi="Arial" w:cs="Arial"/>
          <w:b/>
          <w:sz w:val="22"/>
          <w:szCs w:val="22"/>
          <w:lang w:val="en-GB"/>
        </w:rPr>
      </w:pPr>
    </w:p>
    <w:p w14:paraId="16903318" w14:textId="77777777" w:rsidR="00437297" w:rsidRDefault="00437297" w:rsidP="00592F82">
      <w:pPr>
        <w:jc w:val="center"/>
        <w:rPr>
          <w:rFonts w:ascii="Arial" w:hAnsi="Arial" w:cs="Arial"/>
          <w:b/>
          <w:sz w:val="22"/>
          <w:szCs w:val="22"/>
          <w:lang w:val="en-GB"/>
        </w:rPr>
      </w:pPr>
    </w:p>
    <w:p w14:paraId="3504E3E8" w14:textId="77777777" w:rsidR="00397D3A" w:rsidRDefault="00397D3A" w:rsidP="00592F82">
      <w:pPr>
        <w:jc w:val="center"/>
        <w:rPr>
          <w:rFonts w:ascii="Arial" w:hAnsi="Arial" w:cs="Arial"/>
          <w:b/>
          <w:sz w:val="22"/>
          <w:szCs w:val="22"/>
          <w:lang w:val="en-GB"/>
        </w:rPr>
      </w:pPr>
    </w:p>
    <w:p w14:paraId="17A7FA00" w14:textId="77777777" w:rsidR="00397D3A" w:rsidRDefault="00397D3A" w:rsidP="00592F82">
      <w:pPr>
        <w:jc w:val="center"/>
        <w:rPr>
          <w:rFonts w:ascii="Arial" w:hAnsi="Arial" w:cs="Arial"/>
          <w:b/>
          <w:sz w:val="22"/>
          <w:szCs w:val="22"/>
          <w:lang w:val="en-GB"/>
        </w:rPr>
      </w:pPr>
    </w:p>
    <w:p w14:paraId="222E86C0" w14:textId="77777777" w:rsidR="00E93993" w:rsidRDefault="00E93993" w:rsidP="00592F82">
      <w:pPr>
        <w:jc w:val="center"/>
        <w:rPr>
          <w:rFonts w:ascii="Arial" w:hAnsi="Arial" w:cs="Arial"/>
          <w:b/>
          <w:sz w:val="22"/>
          <w:szCs w:val="22"/>
          <w:lang w:val="en-GB"/>
        </w:rPr>
      </w:pPr>
    </w:p>
    <w:p w14:paraId="6DF448CB" w14:textId="77777777" w:rsidR="00434A8C"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F9973CE" w14:textId="77777777" w:rsidR="0011473D" w:rsidRDefault="00C56B61"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D84AFA">
        <w:rPr>
          <w:rFonts w:ascii="Arial" w:hAnsi="Arial" w:cs="Arial"/>
          <w:b/>
          <w:color w:val="000000" w:themeColor="text1"/>
          <w:sz w:val="28"/>
          <w:szCs w:val="28"/>
          <w:lang w:val="en-GB"/>
        </w:rPr>
        <w:t>6D</w:t>
      </w:r>
    </w:p>
    <w:p w14:paraId="4CFC7A94" w14:textId="77777777" w:rsidR="002638B0" w:rsidRDefault="002638B0"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CF76A51" w14:textId="77777777" w:rsidR="002638B0" w:rsidRPr="0018318A" w:rsidRDefault="00D84AFA"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8318A">
        <w:rPr>
          <w:rFonts w:ascii="Arial" w:hAnsi="Arial" w:cs="Arial"/>
          <w:b/>
          <w:color w:val="000000" w:themeColor="text1"/>
          <w:sz w:val="28"/>
          <w:szCs w:val="28"/>
          <w:lang w:val="en-GB"/>
        </w:rPr>
        <w:t>ITALY</w:t>
      </w:r>
    </w:p>
    <w:p w14:paraId="0AB66425" w14:textId="77777777" w:rsidR="00434A8C" w:rsidRPr="007C6201"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122C9432" w14:textId="77777777" w:rsidR="009D0811" w:rsidRDefault="009D0811" w:rsidP="00592F82">
      <w:pPr>
        <w:jc w:val="center"/>
        <w:rPr>
          <w:rFonts w:ascii="Arial" w:hAnsi="Arial" w:cs="Arial"/>
          <w:b/>
          <w:sz w:val="22"/>
          <w:szCs w:val="22"/>
          <w:lang w:val="en-GB"/>
        </w:rPr>
      </w:pPr>
    </w:p>
    <w:p w14:paraId="533DF0D8" w14:textId="77777777" w:rsidR="00E93993" w:rsidRDefault="00E93993" w:rsidP="00592F82">
      <w:pPr>
        <w:jc w:val="center"/>
        <w:rPr>
          <w:rFonts w:ascii="Arial" w:hAnsi="Arial" w:cs="Arial"/>
          <w:b/>
          <w:sz w:val="22"/>
          <w:szCs w:val="22"/>
          <w:lang w:val="en-GB"/>
        </w:rPr>
      </w:pPr>
    </w:p>
    <w:p w14:paraId="0A4D6E88" w14:textId="77777777" w:rsidR="00397D3A" w:rsidRDefault="00397D3A" w:rsidP="00592F82">
      <w:pPr>
        <w:jc w:val="center"/>
        <w:rPr>
          <w:rFonts w:ascii="Arial" w:hAnsi="Arial" w:cs="Arial"/>
          <w:b/>
          <w:sz w:val="22"/>
          <w:szCs w:val="22"/>
          <w:lang w:val="en-GB"/>
        </w:rPr>
      </w:pPr>
    </w:p>
    <w:p w14:paraId="579605A3" w14:textId="77777777" w:rsidR="00397D3A" w:rsidRDefault="00397D3A" w:rsidP="00592F82">
      <w:pPr>
        <w:jc w:val="center"/>
        <w:rPr>
          <w:rFonts w:ascii="Arial" w:hAnsi="Arial" w:cs="Arial"/>
          <w:b/>
          <w:sz w:val="22"/>
          <w:szCs w:val="22"/>
          <w:lang w:val="en-GB"/>
        </w:rPr>
      </w:pPr>
    </w:p>
    <w:p w14:paraId="31631AD4" w14:textId="77777777" w:rsidR="00437297" w:rsidRDefault="00437297" w:rsidP="00592F82">
      <w:pPr>
        <w:jc w:val="center"/>
        <w:rPr>
          <w:rFonts w:ascii="Arial" w:hAnsi="Arial" w:cs="Arial"/>
          <w:b/>
          <w:sz w:val="22"/>
          <w:szCs w:val="22"/>
          <w:lang w:val="en-GB"/>
        </w:rPr>
      </w:pPr>
    </w:p>
    <w:p w14:paraId="4208FDF9" w14:textId="77777777" w:rsidR="00397D3A" w:rsidRDefault="00397D3A" w:rsidP="00592F82">
      <w:pPr>
        <w:jc w:val="center"/>
        <w:rPr>
          <w:rFonts w:ascii="Arial" w:hAnsi="Arial" w:cs="Arial"/>
          <w:b/>
          <w:sz w:val="22"/>
          <w:szCs w:val="22"/>
          <w:lang w:val="en-GB"/>
        </w:rPr>
      </w:pPr>
    </w:p>
    <w:p w14:paraId="6E0413D1" w14:textId="77777777" w:rsidR="00397D3A" w:rsidRDefault="00397D3A" w:rsidP="00592F82">
      <w:pPr>
        <w:jc w:val="center"/>
        <w:rPr>
          <w:rFonts w:ascii="Arial" w:hAnsi="Arial" w:cs="Arial"/>
          <w:b/>
          <w:sz w:val="22"/>
          <w:szCs w:val="22"/>
          <w:lang w:val="en-GB"/>
        </w:rPr>
      </w:pPr>
    </w:p>
    <w:p w14:paraId="2D793B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EE7B4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A120D6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197F13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D0DC6EA"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94C31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A0E3402" w14:textId="77777777" w:rsidR="00793173" w:rsidRDefault="00793173" w:rsidP="007C6201">
      <w:pPr>
        <w:jc w:val="both"/>
        <w:rPr>
          <w:rFonts w:ascii="Arial" w:hAnsi="Arial" w:cs="Arial"/>
          <w:b/>
          <w:sz w:val="22"/>
          <w:szCs w:val="22"/>
          <w:lang w:val="en-GB"/>
        </w:rPr>
      </w:pPr>
    </w:p>
    <w:p w14:paraId="1DEE0FF6" w14:textId="77777777" w:rsidR="00DB56F2" w:rsidRDefault="00DB56F2" w:rsidP="007C6201">
      <w:pPr>
        <w:jc w:val="both"/>
        <w:rPr>
          <w:rFonts w:ascii="Arial" w:hAnsi="Arial" w:cs="Arial"/>
          <w:b/>
          <w:sz w:val="22"/>
          <w:szCs w:val="22"/>
          <w:lang w:val="en-GB"/>
        </w:rPr>
      </w:pPr>
    </w:p>
    <w:p w14:paraId="50E72509" w14:textId="77777777" w:rsidR="00397D3A" w:rsidRDefault="00397D3A" w:rsidP="007C6201">
      <w:pPr>
        <w:jc w:val="both"/>
        <w:rPr>
          <w:rFonts w:ascii="Arial" w:hAnsi="Arial" w:cs="Arial"/>
          <w:b/>
          <w:sz w:val="22"/>
          <w:szCs w:val="22"/>
          <w:lang w:val="en-GB"/>
        </w:rPr>
      </w:pPr>
    </w:p>
    <w:p w14:paraId="4E84ADD9" w14:textId="77777777" w:rsidR="00397D3A" w:rsidRDefault="00397D3A" w:rsidP="007C6201">
      <w:pPr>
        <w:jc w:val="both"/>
        <w:rPr>
          <w:rFonts w:ascii="Arial" w:hAnsi="Arial" w:cs="Arial"/>
          <w:b/>
          <w:sz w:val="22"/>
          <w:szCs w:val="22"/>
          <w:lang w:val="en-GB"/>
        </w:rPr>
      </w:pPr>
    </w:p>
    <w:p w14:paraId="530E4708" w14:textId="77777777" w:rsidR="00397D3A" w:rsidRDefault="00397D3A" w:rsidP="007C6201">
      <w:pPr>
        <w:jc w:val="both"/>
        <w:rPr>
          <w:rFonts w:ascii="Arial" w:hAnsi="Arial" w:cs="Arial"/>
          <w:b/>
          <w:sz w:val="22"/>
          <w:szCs w:val="22"/>
          <w:lang w:val="en-GB"/>
        </w:rPr>
      </w:pPr>
    </w:p>
    <w:p w14:paraId="65C7D8A4" w14:textId="77777777" w:rsidR="00397D3A" w:rsidRDefault="00397D3A" w:rsidP="007C6201">
      <w:pPr>
        <w:jc w:val="both"/>
        <w:rPr>
          <w:rFonts w:ascii="Arial" w:hAnsi="Arial" w:cs="Arial"/>
          <w:b/>
          <w:sz w:val="22"/>
          <w:szCs w:val="22"/>
          <w:lang w:val="en-GB"/>
        </w:rPr>
      </w:pPr>
    </w:p>
    <w:p w14:paraId="3ECF0A82" w14:textId="77777777" w:rsidR="00397D3A" w:rsidRDefault="00397D3A" w:rsidP="007C6201">
      <w:pPr>
        <w:jc w:val="both"/>
        <w:rPr>
          <w:rFonts w:ascii="Arial" w:hAnsi="Arial" w:cs="Arial"/>
          <w:b/>
          <w:sz w:val="22"/>
          <w:szCs w:val="22"/>
          <w:lang w:val="en-GB"/>
        </w:rPr>
      </w:pPr>
    </w:p>
    <w:p w14:paraId="27D2EB87" w14:textId="77777777" w:rsidR="00397D3A" w:rsidRDefault="00397D3A" w:rsidP="007C6201">
      <w:pPr>
        <w:jc w:val="both"/>
        <w:rPr>
          <w:rFonts w:ascii="Arial" w:hAnsi="Arial" w:cs="Arial"/>
          <w:b/>
          <w:sz w:val="22"/>
          <w:szCs w:val="22"/>
          <w:lang w:val="en-GB"/>
        </w:rPr>
      </w:pPr>
    </w:p>
    <w:p w14:paraId="61A26CC3" w14:textId="77777777" w:rsidR="00397D3A" w:rsidRDefault="00397D3A" w:rsidP="007C6201">
      <w:pPr>
        <w:jc w:val="both"/>
        <w:rPr>
          <w:rFonts w:ascii="Arial" w:hAnsi="Arial" w:cs="Arial"/>
          <w:b/>
          <w:sz w:val="22"/>
          <w:szCs w:val="22"/>
          <w:lang w:val="en-GB"/>
        </w:rPr>
      </w:pPr>
    </w:p>
    <w:p w14:paraId="2F336310"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616C17B4" w14:textId="77777777" w:rsidR="0018318A" w:rsidRDefault="0018318A" w:rsidP="009D0811">
      <w:pPr>
        <w:jc w:val="center"/>
        <w:rPr>
          <w:rFonts w:ascii="Arial" w:hAnsi="Arial" w:cs="Arial"/>
          <w:b/>
          <w:sz w:val="22"/>
          <w:szCs w:val="22"/>
          <w:u w:val="single"/>
          <w:lang w:val="en-GB"/>
        </w:rPr>
      </w:pPr>
    </w:p>
    <w:p w14:paraId="0AD64BC1" w14:textId="77777777" w:rsidR="0018318A" w:rsidRDefault="0018318A" w:rsidP="009D0811">
      <w:pPr>
        <w:jc w:val="center"/>
        <w:rPr>
          <w:rFonts w:ascii="Arial" w:hAnsi="Arial" w:cs="Arial"/>
          <w:b/>
          <w:sz w:val="22"/>
          <w:szCs w:val="22"/>
          <w:u w:val="single"/>
          <w:lang w:val="en-GB"/>
        </w:rPr>
      </w:pPr>
    </w:p>
    <w:p w14:paraId="5A24EC26" w14:textId="77777777" w:rsidR="0018318A" w:rsidRDefault="0018318A" w:rsidP="009D0811">
      <w:pPr>
        <w:jc w:val="center"/>
        <w:rPr>
          <w:rFonts w:ascii="Arial" w:hAnsi="Arial" w:cs="Arial"/>
          <w:b/>
          <w:sz w:val="22"/>
          <w:szCs w:val="22"/>
          <w:u w:val="single"/>
          <w:lang w:val="en-GB"/>
        </w:rPr>
      </w:pPr>
    </w:p>
    <w:p w14:paraId="5584611E"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8EAAA4" w14:textId="77777777" w:rsidR="0011473D" w:rsidRPr="00592F82" w:rsidRDefault="0011473D" w:rsidP="00592F82">
      <w:pPr>
        <w:jc w:val="both"/>
        <w:rPr>
          <w:rFonts w:ascii="Arial" w:hAnsi="Arial" w:cs="Arial"/>
          <w:sz w:val="22"/>
          <w:szCs w:val="22"/>
          <w:lang w:val="en-GB"/>
        </w:rPr>
      </w:pPr>
    </w:p>
    <w:p w14:paraId="46354140" w14:textId="77777777" w:rsidR="00397D3A" w:rsidRDefault="00397D3A" w:rsidP="00592F82">
      <w:pPr>
        <w:jc w:val="both"/>
        <w:rPr>
          <w:rFonts w:ascii="Arial" w:hAnsi="Arial" w:cs="Arial"/>
          <w:b/>
          <w:sz w:val="22"/>
          <w:szCs w:val="22"/>
          <w:lang w:val="en-GB"/>
        </w:rPr>
      </w:pPr>
    </w:p>
    <w:p w14:paraId="2F949270"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C2A614" w14:textId="77777777" w:rsidR="005C53D1" w:rsidRPr="001E23FD" w:rsidRDefault="005C53D1" w:rsidP="005C53D1">
      <w:pPr>
        <w:jc w:val="both"/>
        <w:rPr>
          <w:rFonts w:ascii="Arial" w:hAnsi="Arial" w:cs="Arial"/>
          <w:b/>
          <w:sz w:val="22"/>
          <w:szCs w:val="22"/>
          <w:lang w:val="en-GB"/>
        </w:rPr>
      </w:pPr>
    </w:p>
    <w:p w14:paraId="536A53D6" w14:textId="77777777" w:rsidR="005C53D1" w:rsidRPr="001E23FD" w:rsidRDefault="005C53D1" w:rsidP="005C53D1">
      <w:pPr>
        <w:jc w:val="both"/>
        <w:rPr>
          <w:rFonts w:ascii="Arial" w:hAnsi="Arial" w:cs="Arial"/>
          <w:sz w:val="22"/>
          <w:szCs w:val="22"/>
          <w:lang w:val="en-GB"/>
        </w:rPr>
      </w:pPr>
    </w:p>
    <w:p w14:paraId="311F1B4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16620CD" w14:textId="77777777" w:rsidR="005C53D1" w:rsidRPr="001E23FD" w:rsidRDefault="005C53D1" w:rsidP="005C53D1">
      <w:pPr>
        <w:ind w:left="720" w:hanging="720"/>
        <w:jc w:val="both"/>
        <w:rPr>
          <w:rFonts w:ascii="Arial" w:hAnsi="Arial" w:cs="Arial"/>
          <w:sz w:val="22"/>
          <w:szCs w:val="22"/>
          <w:lang w:val="en-GB"/>
        </w:rPr>
      </w:pPr>
    </w:p>
    <w:p w14:paraId="1605202F"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B05808" w14:textId="77777777" w:rsidR="005C53D1" w:rsidRPr="001E23FD" w:rsidRDefault="005C53D1" w:rsidP="005C53D1">
      <w:pPr>
        <w:ind w:left="720" w:hanging="720"/>
        <w:jc w:val="both"/>
        <w:rPr>
          <w:rFonts w:ascii="Arial" w:hAnsi="Arial" w:cs="Arial"/>
          <w:sz w:val="22"/>
          <w:szCs w:val="22"/>
          <w:lang w:val="en-GB"/>
        </w:rPr>
      </w:pPr>
    </w:p>
    <w:p w14:paraId="512E0425"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D61E617" w14:textId="77777777" w:rsidR="005C53D1" w:rsidRPr="001E23FD" w:rsidRDefault="005C53D1" w:rsidP="005C53D1">
      <w:pPr>
        <w:ind w:left="720" w:hanging="720"/>
        <w:jc w:val="both"/>
        <w:rPr>
          <w:rFonts w:ascii="Arial" w:hAnsi="Arial" w:cs="Arial"/>
          <w:sz w:val="22"/>
          <w:szCs w:val="22"/>
          <w:lang w:val="en-GB"/>
        </w:rPr>
      </w:pPr>
    </w:p>
    <w:p w14:paraId="5FC4FAB6" w14:textId="5831C4BE"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2D309C9" w14:textId="77777777" w:rsidR="005C53D1" w:rsidRPr="001E23FD" w:rsidRDefault="005C53D1" w:rsidP="005C53D1">
      <w:pPr>
        <w:ind w:left="720" w:hanging="720"/>
        <w:jc w:val="both"/>
        <w:rPr>
          <w:rFonts w:ascii="Arial" w:hAnsi="Arial" w:cs="Arial"/>
          <w:sz w:val="22"/>
          <w:szCs w:val="22"/>
          <w:lang w:val="en-GB"/>
        </w:rPr>
      </w:pPr>
    </w:p>
    <w:p w14:paraId="152B2C8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458F078" w14:textId="77777777" w:rsidR="005C53D1" w:rsidRPr="001E23FD" w:rsidRDefault="005C53D1" w:rsidP="005C53D1">
      <w:pPr>
        <w:ind w:left="720" w:hanging="720"/>
        <w:jc w:val="both"/>
        <w:rPr>
          <w:rFonts w:ascii="Arial" w:hAnsi="Arial" w:cs="Arial"/>
          <w:sz w:val="22"/>
          <w:szCs w:val="22"/>
          <w:lang w:val="en-GB"/>
        </w:rPr>
      </w:pPr>
    </w:p>
    <w:p w14:paraId="530DFDDD"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AD0F20F" w14:textId="77777777" w:rsidR="005C53D1" w:rsidRPr="001E23FD" w:rsidRDefault="005C53D1" w:rsidP="005C53D1">
      <w:pPr>
        <w:ind w:left="720" w:hanging="720"/>
        <w:jc w:val="both"/>
        <w:rPr>
          <w:rFonts w:ascii="Arial" w:hAnsi="Arial" w:cs="Arial"/>
          <w:sz w:val="22"/>
          <w:szCs w:val="22"/>
          <w:lang w:val="en-GB"/>
        </w:rPr>
      </w:pPr>
    </w:p>
    <w:p w14:paraId="087B3A3B" w14:textId="20704979"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A759F9A" w14:textId="77777777" w:rsidR="00F3323E" w:rsidRPr="00592F82" w:rsidRDefault="00F3323E" w:rsidP="00592F82">
      <w:pPr>
        <w:ind w:left="720" w:hanging="720"/>
        <w:jc w:val="both"/>
        <w:rPr>
          <w:rFonts w:ascii="Arial" w:hAnsi="Arial" w:cs="Arial"/>
          <w:sz w:val="22"/>
          <w:szCs w:val="22"/>
          <w:lang w:val="en-GB"/>
        </w:rPr>
      </w:pPr>
    </w:p>
    <w:p w14:paraId="0D78E3AA" w14:textId="77777777" w:rsidR="00F3323E" w:rsidRPr="00592F82" w:rsidRDefault="00F3323E" w:rsidP="00592F82">
      <w:pPr>
        <w:ind w:left="720" w:hanging="720"/>
        <w:jc w:val="both"/>
        <w:rPr>
          <w:rFonts w:ascii="Arial" w:hAnsi="Arial" w:cs="Arial"/>
          <w:sz w:val="22"/>
          <w:szCs w:val="22"/>
          <w:lang w:val="en-GB"/>
        </w:rPr>
      </w:pPr>
    </w:p>
    <w:p w14:paraId="71C2A907"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53DB5B31"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21464523" w14:textId="77777777" w:rsidR="00F3323E" w:rsidRPr="00B9639B" w:rsidRDefault="00F3323E" w:rsidP="00B9639B">
      <w:pPr>
        <w:ind w:left="720" w:hanging="720"/>
        <w:jc w:val="both"/>
        <w:rPr>
          <w:rFonts w:ascii="Arial" w:hAnsi="Arial" w:cs="Arial"/>
          <w:sz w:val="22"/>
          <w:szCs w:val="22"/>
          <w:lang w:val="en-GB"/>
        </w:rPr>
      </w:pPr>
    </w:p>
    <w:p w14:paraId="1FD71D7E"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1A933315" w14:textId="77777777" w:rsidR="00F3323E" w:rsidRPr="00B9639B" w:rsidRDefault="00F3323E" w:rsidP="00B9639B">
      <w:pPr>
        <w:ind w:left="720" w:hanging="720"/>
        <w:jc w:val="both"/>
        <w:rPr>
          <w:rFonts w:ascii="Arial" w:hAnsi="Arial" w:cs="Arial"/>
          <w:sz w:val="22"/>
          <w:szCs w:val="22"/>
          <w:lang w:val="en-GB"/>
        </w:rPr>
      </w:pPr>
    </w:p>
    <w:p w14:paraId="1C1B6AF9"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2E38ABA" w14:textId="4091F46F" w:rsidR="00AF228E" w:rsidRDefault="00AF228E" w:rsidP="00C55824">
      <w:pPr>
        <w:autoSpaceDE w:val="0"/>
        <w:autoSpaceDN w:val="0"/>
        <w:adjustRightInd w:val="0"/>
        <w:jc w:val="both"/>
        <w:rPr>
          <w:rFonts w:ascii="Arial" w:hAnsi="Arial" w:cs="Arial"/>
          <w:sz w:val="22"/>
          <w:szCs w:val="22"/>
        </w:rPr>
      </w:pPr>
    </w:p>
    <w:p w14:paraId="3A5B282E" w14:textId="74DF83D1"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6E41226" w14:textId="77777777" w:rsidR="00662352" w:rsidRPr="00B9639B" w:rsidRDefault="00662352" w:rsidP="00C55824">
      <w:pPr>
        <w:autoSpaceDE w:val="0"/>
        <w:autoSpaceDN w:val="0"/>
        <w:adjustRightInd w:val="0"/>
        <w:jc w:val="both"/>
        <w:rPr>
          <w:rFonts w:ascii="Arial" w:hAnsi="Arial" w:cs="Arial"/>
          <w:sz w:val="22"/>
          <w:szCs w:val="22"/>
        </w:rPr>
      </w:pPr>
    </w:p>
    <w:p w14:paraId="4E4DEB3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1E45A188" w14:textId="77777777" w:rsidR="00E9597C" w:rsidRDefault="00E9597C" w:rsidP="00C55824">
      <w:pPr>
        <w:jc w:val="both"/>
        <w:rPr>
          <w:rFonts w:ascii="Arial" w:hAnsi="Arial" w:cs="Arial"/>
          <w:sz w:val="22"/>
          <w:szCs w:val="22"/>
        </w:rPr>
      </w:pPr>
    </w:p>
    <w:p w14:paraId="515D315A" w14:textId="77777777" w:rsidR="00D84AFA" w:rsidRDefault="00D84AFA" w:rsidP="00D84AFA">
      <w:pPr>
        <w:jc w:val="both"/>
        <w:rPr>
          <w:rFonts w:ascii="Arial" w:hAnsi="Arial" w:cs="Arial"/>
          <w:sz w:val="22"/>
          <w:szCs w:val="22"/>
        </w:rPr>
      </w:pPr>
      <w:r w:rsidRPr="00D84AFA">
        <w:rPr>
          <w:rFonts w:ascii="Arial" w:hAnsi="Arial" w:cs="Arial"/>
          <w:sz w:val="22"/>
          <w:szCs w:val="22"/>
        </w:rPr>
        <w:t xml:space="preserve">The motto </w:t>
      </w:r>
      <w:r w:rsidRPr="00D84AFA">
        <w:rPr>
          <w:rFonts w:ascii="Arial" w:hAnsi="Arial" w:cs="Arial"/>
          <w:i/>
          <w:sz w:val="22"/>
          <w:szCs w:val="22"/>
        </w:rPr>
        <w:t>“si fallitus, ergo fraudator”</w:t>
      </w:r>
      <w:r w:rsidRPr="00D84AFA">
        <w:rPr>
          <w:rFonts w:ascii="Arial" w:hAnsi="Arial" w:cs="Arial"/>
          <w:sz w:val="22"/>
          <w:szCs w:val="22"/>
        </w:rPr>
        <w:t xml:space="preserve"> was coined by Baldo degli Ubaldi to describe the state of those debtors that were:</w:t>
      </w:r>
    </w:p>
    <w:p w14:paraId="7F3B3656" w14:textId="77777777" w:rsidR="00D84AFA" w:rsidRPr="00D84AFA" w:rsidRDefault="00D84AFA" w:rsidP="00D84AFA">
      <w:pPr>
        <w:jc w:val="both"/>
        <w:rPr>
          <w:rFonts w:ascii="Arial" w:hAnsi="Arial" w:cs="Arial"/>
          <w:sz w:val="22"/>
          <w:szCs w:val="22"/>
        </w:rPr>
      </w:pPr>
    </w:p>
    <w:p w14:paraId="1DA08FFC" w14:textId="11CE9DA1" w:rsidR="00D84AFA" w:rsidRDefault="00E23C28"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trying to escape from punishment</w:t>
      </w:r>
      <w:r w:rsidR="00BF516F" w:rsidRPr="00A63388">
        <w:rPr>
          <w:rFonts w:ascii="Arial" w:hAnsi="Arial" w:cs="Arial"/>
          <w:sz w:val="22"/>
          <w:szCs w:val="22"/>
        </w:rPr>
        <w:t>.</w:t>
      </w:r>
    </w:p>
    <w:p w14:paraId="3E81E881" w14:textId="77777777" w:rsidR="00A63388" w:rsidRPr="00A63388" w:rsidRDefault="00A63388" w:rsidP="00A63388">
      <w:pPr>
        <w:jc w:val="both"/>
        <w:rPr>
          <w:rFonts w:ascii="Arial" w:hAnsi="Arial" w:cs="Arial"/>
          <w:sz w:val="22"/>
          <w:szCs w:val="22"/>
        </w:rPr>
      </w:pPr>
    </w:p>
    <w:p w14:paraId="33C06B13" w14:textId="18C16D7D" w:rsidR="00D84AFA" w:rsidRPr="0084565F" w:rsidRDefault="00E23C28" w:rsidP="00A63388">
      <w:pPr>
        <w:pStyle w:val="ListParagraph"/>
        <w:numPr>
          <w:ilvl w:val="0"/>
          <w:numId w:val="1"/>
        </w:numPr>
        <w:ind w:left="426"/>
        <w:jc w:val="both"/>
        <w:rPr>
          <w:rFonts w:ascii="Arial" w:hAnsi="Arial" w:cs="Arial"/>
          <w:sz w:val="22"/>
          <w:szCs w:val="22"/>
          <w:highlight w:val="yellow"/>
        </w:rPr>
      </w:pPr>
      <w:r w:rsidRPr="0084565F">
        <w:rPr>
          <w:rFonts w:ascii="Arial" w:hAnsi="Arial" w:cs="Arial"/>
          <w:sz w:val="22"/>
          <w:szCs w:val="22"/>
          <w:highlight w:val="yellow"/>
        </w:rPr>
        <w:t>i</w:t>
      </w:r>
      <w:r w:rsidR="00D84AFA" w:rsidRPr="0084565F">
        <w:rPr>
          <w:rFonts w:ascii="Arial" w:hAnsi="Arial" w:cs="Arial"/>
          <w:sz w:val="22"/>
          <w:szCs w:val="22"/>
          <w:highlight w:val="yellow"/>
        </w:rPr>
        <w:t>nsolvent and responsible for despicable acts, such as defrauding people</w:t>
      </w:r>
      <w:r w:rsidR="00BF516F" w:rsidRPr="0084565F">
        <w:rPr>
          <w:rFonts w:ascii="Arial" w:hAnsi="Arial" w:cs="Arial"/>
          <w:sz w:val="22"/>
          <w:szCs w:val="22"/>
          <w:highlight w:val="yellow"/>
        </w:rPr>
        <w:t>.</w:t>
      </w:r>
    </w:p>
    <w:p w14:paraId="4F9218F8" w14:textId="77777777" w:rsidR="00A63388" w:rsidRPr="00A63388" w:rsidRDefault="00A63388" w:rsidP="00A63388">
      <w:pPr>
        <w:jc w:val="both"/>
        <w:rPr>
          <w:rFonts w:ascii="Arial" w:hAnsi="Arial" w:cs="Arial"/>
          <w:sz w:val="22"/>
          <w:szCs w:val="22"/>
        </w:rPr>
      </w:pPr>
    </w:p>
    <w:p w14:paraId="77D8780A" w14:textId="32D4C3A7" w:rsidR="00D84AFA" w:rsidRDefault="008962F2"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s</w:t>
      </w:r>
      <w:r w:rsidR="00D84AFA" w:rsidRPr="00A63388">
        <w:rPr>
          <w:rFonts w:ascii="Arial" w:hAnsi="Arial" w:cs="Arial"/>
          <w:sz w:val="22"/>
          <w:szCs w:val="22"/>
        </w:rPr>
        <w:t>imply insolvent</w:t>
      </w:r>
      <w:r w:rsidR="00BF516F" w:rsidRPr="00A63388">
        <w:rPr>
          <w:rFonts w:ascii="Arial" w:hAnsi="Arial" w:cs="Arial"/>
          <w:sz w:val="22"/>
          <w:szCs w:val="22"/>
        </w:rPr>
        <w:t>.</w:t>
      </w:r>
    </w:p>
    <w:p w14:paraId="2762A42D" w14:textId="77777777" w:rsidR="00A63388" w:rsidRPr="00A63388" w:rsidRDefault="00A63388" w:rsidP="00A63388">
      <w:pPr>
        <w:jc w:val="both"/>
        <w:rPr>
          <w:rFonts w:ascii="Arial" w:hAnsi="Arial" w:cs="Arial"/>
          <w:sz w:val="22"/>
          <w:szCs w:val="22"/>
        </w:rPr>
      </w:pPr>
    </w:p>
    <w:p w14:paraId="4682040E" w14:textId="086CA50F" w:rsidR="00D84AFA" w:rsidRPr="00A63388" w:rsidRDefault="008962F2"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s</w:t>
      </w:r>
      <w:r w:rsidR="00D84AFA" w:rsidRPr="00A63388">
        <w:rPr>
          <w:rFonts w:ascii="Arial" w:hAnsi="Arial" w:cs="Arial"/>
          <w:sz w:val="22"/>
          <w:szCs w:val="22"/>
        </w:rPr>
        <w:t>imply fraudulent.</w:t>
      </w:r>
    </w:p>
    <w:p w14:paraId="04E260A3" w14:textId="77777777" w:rsidR="005B79F4" w:rsidRDefault="005B79F4" w:rsidP="00C55824">
      <w:pPr>
        <w:jc w:val="both"/>
        <w:rPr>
          <w:rFonts w:ascii="Arial" w:hAnsi="Arial" w:cs="Arial"/>
          <w:sz w:val="22"/>
          <w:szCs w:val="22"/>
        </w:rPr>
      </w:pPr>
    </w:p>
    <w:p w14:paraId="7BA1EEA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E4C9725" w14:textId="77777777" w:rsidR="00E9597C" w:rsidRDefault="00E9597C" w:rsidP="00C55824">
      <w:pPr>
        <w:jc w:val="both"/>
        <w:rPr>
          <w:rFonts w:ascii="Arial" w:hAnsi="Arial" w:cs="Arial"/>
          <w:sz w:val="22"/>
          <w:szCs w:val="22"/>
        </w:rPr>
      </w:pPr>
    </w:p>
    <w:p w14:paraId="7559C029" w14:textId="77777777"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0F2DE89F" w14:textId="77777777" w:rsidR="00D84AFA" w:rsidRPr="00D84AFA" w:rsidRDefault="00D84AFA" w:rsidP="00D84AFA">
      <w:pPr>
        <w:ind w:left="426" w:hanging="284"/>
        <w:jc w:val="both"/>
        <w:rPr>
          <w:rFonts w:ascii="Arial" w:hAnsi="Arial" w:cs="Arial"/>
          <w:sz w:val="22"/>
          <w:szCs w:val="22"/>
        </w:rPr>
      </w:pPr>
    </w:p>
    <w:p w14:paraId="6F41DBD3" w14:textId="7FAC1DF7" w:rsidR="00D84AFA" w:rsidRPr="0084565F" w:rsidRDefault="00E23C28" w:rsidP="00A63388">
      <w:pPr>
        <w:pStyle w:val="ListParagraph"/>
        <w:numPr>
          <w:ilvl w:val="0"/>
          <w:numId w:val="3"/>
        </w:numPr>
        <w:ind w:left="426"/>
        <w:jc w:val="both"/>
        <w:rPr>
          <w:rFonts w:ascii="Arial" w:hAnsi="Arial" w:cs="Arial"/>
          <w:sz w:val="22"/>
          <w:szCs w:val="22"/>
          <w:highlight w:val="yellow"/>
        </w:rPr>
      </w:pPr>
      <w:r w:rsidRPr="0084565F">
        <w:rPr>
          <w:rFonts w:ascii="Arial" w:hAnsi="Arial" w:cs="Arial"/>
          <w:sz w:val="22"/>
          <w:szCs w:val="22"/>
          <w:highlight w:val="yellow"/>
        </w:rPr>
        <w:t>a</w:t>
      </w:r>
      <w:r w:rsidR="00D84AFA" w:rsidRPr="0084565F">
        <w:rPr>
          <w:rFonts w:ascii="Arial" w:hAnsi="Arial" w:cs="Arial"/>
          <w:sz w:val="22"/>
          <w:szCs w:val="22"/>
          <w:highlight w:val="yellow"/>
        </w:rPr>
        <w:t>ll connected actions are dealt with by the insolvency court where the proceedings were commenced, irrespective of their value</w:t>
      </w:r>
      <w:r w:rsidR="00BF516F" w:rsidRPr="0084565F">
        <w:rPr>
          <w:rFonts w:ascii="Arial" w:hAnsi="Arial" w:cs="Arial"/>
          <w:sz w:val="22"/>
          <w:szCs w:val="22"/>
          <w:highlight w:val="yellow"/>
        </w:rPr>
        <w:t>.</w:t>
      </w:r>
    </w:p>
    <w:p w14:paraId="09067E53" w14:textId="77777777" w:rsidR="00A63388" w:rsidRPr="00A63388" w:rsidRDefault="00A63388" w:rsidP="00A63388">
      <w:pPr>
        <w:jc w:val="both"/>
        <w:rPr>
          <w:rFonts w:ascii="Arial" w:hAnsi="Arial" w:cs="Arial"/>
          <w:sz w:val="22"/>
          <w:szCs w:val="22"/>
        </w:rPr>
      </w:pPr>
    </w:p>
    <w:p w14:paraId="4C9B131B" w14:textId="5928F7B7"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attractiva </w:t>
      </w:r>
      <w:r w:rsidR="00D84AFA" w:rsidRPr="00A63388">
        <w:rPr>
          <w:rFonts w:ascii="Arial" w:hAnsi="Arial" w:cs="Arial"/>
          <w:sz w:val="22"/>
          <w:szCs w:val="22"/>
        </w:rPr>
        <w:t>for connected actions</w:t>
      </w:r>
      <w:r w:rsidR="00BF516F" w:rsidRPr="00A63388">
        <w:rPr>
          <w:rFonts w:ascii="Arial" w:hAnsi="Arial" w:cs="Arial"/>
          <w:sz w:val="22"/>
          <w:szCs w:val="22"/>
        </w:rPr>
        <w:t>.</w:t>
      </w:r>
    </w:p>
    <w:p w14:paraId="13B3FEDA" w14:textId="77777777" w:rsidR="00A63388" w:rsidRPr="00A63388" w:rsidRDefault="00A63388" w:rsidP="00A63388">
      <w:pPr>
        <w:jc w:val="both"/>
        <w:rPr>
          <w:rFonts w:ascii="Arial" w:hAnsi="Arial" w:cs="Arial"/>
          <w:sz w:val="22"/>
          <w:szCs w:val="22"/>
        </w:rPr>
      </w:pPr>
    </w:p>
    <w:p w14:paraId="7438CA8C" w14:textId="7B449CBA"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vis attractiva</w:t>
      </w:r>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3D79DE" w14:textId="77777777" w:rsidR="00A63388" w:rsidRPr="00A63388" w:rsidRDefault="00A63388" w:rsidP="00A63388">
      <w:pPr>
        <w:jc w:val="both"/>
        <w:rPr>
          <w:rFonts w:ascii="Arial" w:hAnsi="Arial" w:cs="Arial"/>
          <w:sz w:val="22"/>
          <w:szCs w:val="22"/>
        </w:rPr>
      </w:pPr>
    </w:p>
    <w:p w14:paraId="41BF5199" w14:textId="18CF4CB0" w:rsidR="00D84AFA" w:rsidRPr="00A63388"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 connected actions are dealt with by the insolvency court where the proceedings were commenced, unless they exceed the threshold of </w:t>
      </w:r>
      <w:r w:rsidR="00BE222E" w:rsidRPr="00A63388">
        <w:rPr>
          <w:rFonts w:ascii="Arial" w:hAnsi="Arial" w:cs="Arial"/>
          <w:sz w:val="22"/>
          <w:szCs w:val="22"/>
        </w:rPr>
        <w:t xml:space="preserve">EUR </w:t>
      </w:r>
      <w:r w:rsidR="00D84AFA" w:rsidRPr="00A63388">
        <w:rPr>
          <w:rFonts w:ascii="Arial" w:hAnsi="Arial" w:cs="Arial"/>
          <w:sz w:val="22"/>
          <w:szCs w:val="22"/>
        </w:rPr>
        <w:t>1,000,000, in which case the local Court of Appeal will deal with the action.</w:t>
      </w:r>
    </w:p>
    <w:p w14:paraId="63AA346B" w14:textId="77777777" w:rsidR="005B79F4" w:rsidRDefault="005B79F4" w:rsidP="00C55824">
      <w:pPr>
        <w:ind w:left="66"/>
        <w:jc w:val="both"/>
        <w:rPr>
          <w:rFonts w:ascii="Arial" w:hAnsi="Arial" w:cs="Arial"/>
          <w:iCs/>
          <w:sz w:val="22"/>
          <w:szCs w:val="22"/>
          <w:lang w:val="en-GB"/>
        </w:rPr>
      </w:pPr>
    </w:p>
    <w:p w14:paraId="13A9E4E9"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77BF71AB" w14:textId="77777777" w:rsidR="00E9597C" w:rsidRDefault="00E9597C" w:rsidP="00C55824">
      <w:pPr>
        <w:jc w:val="both"/>
        <w:rPr>
          <w:rFonts w:ascii="Arial" w:hAnsi="Arial" w:cs="Arial"/>
          <w:sz w:val="22"/>
          <w:szCs w:val="22"/>
        </w:rPr>
      </w:pPr>
    </w:p>
    <w:p w14:paraId="2DD5CCFE" w14:textId="644BE1D0"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proofErr w:type="spellStart"/>
      <w:r w:rsidRPr="00D84AFA">
        <w:rPr>
          <w:rFonts w:ascii="Arial" w:hAnsi="Arial" w:cs="Arial"/>
          <w:i/>
          <w:sz w:val="22"/>
          <w:szCs w:val="22"/>
        </w:rPr>
        <w:t>concordato</w:t>
      </w:r>
      <w:proofErr w:type="spellEnd"/>
      <w:r w:rsidRPr="00D84AFA">
        <w:rPr>
          <w:rFonts w:ascii="Arial" w:hAnsi="Arial" w:cs="Arial"/>
          <w:i/>
          <w:sz w:val="22"/>
          <w:szCs w:val="22"/>
        </w:rPr>
        <w:t xml:space="preserve"> in </w:t>
      </w:r>
      <w:proofErr w:type="spellStart"/>
      <w:r w:rsidRPr="00D84AFA">
        <w:rPr>
          <w:rFonts w:ascii="Arial" w:hAnsi="Arial" w:cs="Arial"/>
          <w:i/>
          <w:sz w:val="22"/>
          <w:szCs w:val="22"/>
        </w:rPr>
        <w:t>bianco</w:t>
      </w:r>
      <w:proofErr w:type="spellEnd"/>
      <w:r w:rsidRPr="00D84AFA">
        <w:rPr>
          <w:rFonts w:ascii="Arial" w:hAnsi="Arial" w:cs="Arial"/>
          <w:sz w:val="22"/>
          <w:szCs w:val="22"/>
        </w:rPr>
        <w:t>:</w:t>
      </w:r>
    </w:p>
    <w:p w14:paraId="7E25E6CA" w14:textId="77777777" w:rsidR="00D84AFA" w:rsidRPr="00D84AFA" w:rsidRDefault="00D84AFA" w:rsidP="00D84AFA">
      <w:pPr>
        <w:jc w:val="both"/>
        <w:rPr>
          <w:rFonts w:ascii="Arial" w:hAnsi="Arial" w:cs="Arial"/>
          <w:sz w:val="22"/>
          <w:szCs w:val="22"/>
        </w:rPr>
      </w:pPr>
    </w:p>
    <w:p w14:paraId="0F13CE45" w14:textId="035C1E21"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w</w:t>
      </w:r>
      <w:r w:rsidR="00D84AFA" w:rsidRPr="00A63388">
        <w:rPr>
          <w:rFonts w:ascii="Arial" w:hAnsi="Arial" w:cs="Arial"/>
          <w:sz w:val="22"/>
          <w:szCs w:val="22"/>
        </w:rPr>
        <w:t>as introduced in the law to offer a Chapter 11-style procedure to Italian distressed yet viable businesses</w:t>
      </w:r>
      <w:r w:rsidR="00BF516F" w:rsidRPr="00A63388">
        <w:rPr>
          <w:rFonts w:ascii="Arial" w:hAnsi="Arial" w:cs="Arial"/>
          <w:sz w:val="22"/>
          <w:szCs w:val="22"/>
        </w:rPr>
        <w:t>.</w:t>
      </w:r>
    </w:p>
    <w:p w14:paraId="7FFC8983" w14:textId="77777777" w:rsidR="00A63388" w:rsidRPr="00A63388" w:rsidRDefault="00A63388" w:rsidP="00A63388">
      <w:pPr>
        <w:jc w:val="both"/>
        <w:rPr>
          <w:rFonts w:ascii="Arial" w:hAnsi="Arial" w:cs="Arial"/>
          <w:sz w:val="22"/>
          <w:szCs w:val="22"/>
        </w:rPr>
      </w:pPr>
    </w:p>
    <w:p w14:paraId="05DCDC5A" w14:textId="16346945"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73B72726" w14:textId="77777777" w:rsidR="00A63388" w:rsidRPr="00A63388" w:rsidRDefault="00A63388" w:rsidP="00A63388">
      <w:pPr>
        <w:jc w:val="both"/>
        <w:rPr>
          <w:rFonts w:ascii="Arial" w:hAnsi="Arial" w:cs="Arial"/>
          <w:sz w:val="22"/>
          <w:szCs w:val="22"/>
        </w:rPr>
      </w:pPr>
    </w:p>
    <w:p w14:paraId="04FE0D6A" w14:textId="5465C7A7" w:rsidR="00D84AFA" w:rsidRPr="0084565F" w:rsidRDefault="00477F16" w:rsidP="00A63388">
      <w:pPr>
        <w:pStyle w:val="ListParagraph"/>
        <w:numPr>
          <w:ilvl w:val="0"/>
          <w:numId w:val="5"/>
        </w:numPr>
        <w:ind w:left="426"/>
        <w:jc w:val="both"/>
        <w:rPr>
          <w:rFonts w:ascii="Arial" w:hAnsi="Arial" w:cs="Arial"/>
          <w:sz w:val="22"/>
          <w:szCs w:val="22"/>
          <w:highlight w:val="yellow"/>
        </w:rPr>
      </w:pPr>
      <w:r w:rsidRPr="0084565F">
        <w:rPr>
          <w:rFonts w:ascii="Arial" w:hAnsi="Arial" w:cs="Arial"/>
          <w:sz w:val="22"/>
          <w:szCs w:val="22"/>
          <w:highlight w:val="yellow"/>
        </w:rPr>
        <w:lastRenderedPageBreak/>
        <w:t>d</w:t>
      </w:r>
      <w:r w:rsidR="00D84AFA" w:rsidRPr="0084565F">
        <w:rPr>
          <w:rFonts w:ascii="Arial" w:hAnsi="Arial" w:cs="Arial"/>
          <w:sz w:val="22"/>
          <w:szCs w:val="22"/>
          <w:highlight w:val="yellow"/>
        </w:rPr>
        <w:t>etermines the same effect on creditors as the submission of a traditional pre-insolvency composition petition with reference to actions against the assets of the debtor</w:t>
      </w:r>
      <w:r w:rsidR="00BF516F" w:rsidRPr="0084565F">
        <w:rPr>
          <w:rFonts w:ascii="Arial" w:hAnsi="Arial" w:cs="Arial"/>
          <w:sz w:val="22"/>
          <w:szCs w:val="22"/>
          <w:highlight w:val="yellow"/>
        </w:rPr>
        <w:t>.</w:t>
      </w:r>
    </w:p>
    <w:p w14:paraId="5FA92C68" w14:textId="77777777" w:rsidR="00A63388" w:rsidRPr="00A63388" w:rsidRDefault="00A63388" w:rsidP="00A63388">
      <w:pPr>
        <w:jc w:val="both"/>
        <w:rPr>
          <w:rFonts w:ascii="Arial" w:hAnsi="Arial" w:cs="Arial"/>
          <w:sz w:val="22"/>
          <w:szCs w:val="22"/>
        </w:rPr>
      </w:pPr>
    </w:p>
    <w:p w14:paraId="21554F23" w14:textId="3AE0958F" w:rsidR="00D84AFA" w:rsidRPr="00A63388"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llows the creditors to continue only existing enforcement actions and, in any case, </w:t>
      </w:r>
      <w:r w:rsidR="00615B13" w:rsidRPr="00A63388">
        <w:rPr>
          <w:rFonts w:ascii="Arial" w:hAnsi="Arial" w:cs="Arial"/>
          <w:sz w:val="22"/>
          <w:szCs w:val="22"/>
        </w:rPr>
        <w:t xml:space="preserve">only </w:t>
      </w:r>
      <w:r w:rsidR="00D84AFA" w:rsidRPr="00A63388">
        <w:rPr>
          <w:rFonts w:ascii="Arial" w:hAnsi="Arial" w:cs="Arial"/>
          <w:sz w:val="22"/>
          <w:szCs w:val="22"/>
        </w:rPr>
        <w:t>up to the point in time when the debtor submits a restructuring plan.</w:t>
      </w:r>
    </w:p>
    <w:p w14:paraId="60C9AAF5" w14:textId="28B174FB" w:rsidR="00DB50FB" w:rsidRDefault="00DB50FB" w:rsidP="00C55824">
      <w:pPr>
        <w:jc w:val="both"/>
        <w:rPr>
          <w:rFonts w:ascii="Arial" w:hAnsi="Arial" w:cs="Arial"/>
          <w:sz w:val="22"/>
          <w:szCs w:val="22"/>
        </w:rPr>
      </w:pPr>
    </w:p>
    <w:p w14:paraId="33B07084" w14:textId="4E22DC0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12D946EE" w14:textId="77777777" w:rsidR="00E9597C" w:rsidRDefault="00E9597C" w:rsidP="00C55824">
      <w:pPr>
        <w:jc w:val="both"/>
        <w:rPr>
          <w:rFonts w:ascii="Arial" w:hAnsi="Arial" w:cs="Arial"/>
          <w:sz w:val="22"/>
          <w:szCs w:val="22"/>
        </w:rPr>
      </w:pPr>
    </w:p>
    <w:p w14:paraId="0C69FF2B" w14:textId="62F19013" w:rsidR="00D84AFA" w:rsidRDefault="00D84AFA" w:rsidP="00BE641F">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w:t>
      </w:r>
      <w:r w:rsidR="00BE641F">
        <w:rPr>
          <w:rFonts w:ascii="Arial" w:hAnsi="Arial" w:cs="Arial"/>
          <w:sz w:val="22"/>
          <w:szCs w:val="22"/>
          <w:lang w:val="en-GB"/>
        </w:rPr>
        <w:t xml:space="preserve"> to</w:t>
      </w:r>
      <w:r>
        <w:rPr>
          <w:rFonts w:ascii="Arial" w:hAnsi="Arial" w:cs="Arial"/>
          <w:sz w:val="22"/>
          <w:szCs w:val="22"/>
          <w:lang w:val="en-GB"/>
        </w:rPr>
        <w:t>:</w:t>
      </w:r>
    </w:p>
    <w:p w14:paraId="596EC5EC" w14:textId="77777777" w:rsidR="00D84AFA" w:rsidRDefault="00D84AFA" w:rsidP="00D84AFA">
      <w:pPr>
        <w:ind w:left="360"/>
        <w:jc w:val="both"/>
        <w:rPr>
          <w:rFonts w:ascii="Arial" w:hAnsi="Arial" w:cs="Arial"/>
          <w:sz w:val="22"/>
          <w:szCs w:val="22"/>
          <w:lang w:val="en-GB"/>
        </w:rPr>
      </w:pPr>
    </w:p>
    <w:p w14:paraId="09ABDC82" w14:textId="4492BFCB" w:rsidR="00D84AFA" w:rsidRPr="0084565F" w:rsidRDefault="00615B13" w:rsidP="00A63388">
      <w:pPr>
        <w:pStyle w:val="ListParagraph"/>
        <w:numPr>
          <w:ilvl w:val="0"/>
          <w:numId w:val="7"/>
        </w:numPr>
        <w:ind w:left="426"/>
        <w:jc w:val="both"/>
        <w:rPr>
          <w:rFonts w:ascii="Arial" w:hAnsi="Arial" w:cs="Arial"/>
          <w:sz w:val="22"/>
          <w:szCs w:val="22"/>
          <w:highlight w:val="yellow"/>
          <w:lang w:val="en-GB"/>
        </w:rPr>
      </w:pPr>
      <w:r w:rsidRPr="0084565F">
        <w:rPr>
          <w:rFonts w:ascii="Arial" w:hAnsi="Arial" w:cs="Arial"/>
          <w:sz w:val="22"/>
          <w:szCs w:val="22"/>
          <w:highlight w:val="yellow"/>
          <w:lang w:val="en-GB"/>
        </w:rPr>
        <w:t xml:space="preserve">the </w:t>
      </w:r>
      <w:r w:rsidR="00D84AFA" w:rsidRPr="0084565F">
        <w:rPr>
          <w:rFonts w:ascii="Arial" w:hAnsi="Arial" w:cs="Arial"/>
          <w:sz w:val="22"/>
          <w:szCs w:val="22"/>
          <w:highlight w:val="yellow"/>
          <w:lang w:val="en-GB"/>
        </w:rPr>
        <w:t>company’s shareholders</w:t>
      </w:r>
      <w:r w:rsidRPr="0084565F">
        <w:rPr>
          <w:rFonts w:ascii="Arial" w:hAnsi="Arial" w:cs="Arial"/>
          <w:sz w:val="22"/>
          <w:szCs w:val="22"/>
          <w:highlight w:val="yellow"/>
          <w:lang w:val="en-GB"/>
        </w:rPr>
        <w:t>.</w:t>
      </w:r>
    </w:p>
    <w:p w14:paraId="4CD4B194" w14:textId="77777777" w:rsidR="00A63388" w:rsidRPr="00A63388" w:rsidRDefault="00A63388" w:rsidP="00A63388">
      <w:pPr>
        <w:jc w:val="both"/>
        <w:rPr>
          <w:rFonts w:ascii="Arial" w:hAnsi="Arial" w:cs="Arial"/>
          <w:sz w:val="22"/>
          <w:szCs w:val="22"/>
          <w:lang w:val="en-GB"/>
        </w:rPr>
      </w:pPr>
    </w:p>
    <w:p w14:paraId="21371EAD" w14:textId="16AD501D"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creditors</w:t>
      </w:r>
      <w:r w:rsidRPr="00A63388">
        <w:rPr>
          <w:rFonts w:ascii="Arial" w:hAnsi="Arial" w:cs="Arial"/>
          <w:sz w:val="22"/>
          <w:szCs w:val="22"/>
          <w:lang w:val="en-GB"/>
        </w:rPr>
        <w:t>.</w:t>
      </w:r>
    </w:p>
    <w:p w14:paraId="11E717BE" w14:textId="77777777" w:rsidR="00A63388" w:rsidRPr="00A63388" w:rsidRDefault="00A63388" w:rsidP="00A63388">
      <w:pPr>
        <w:jc w:val="both"/>
        <w:rPr>
          <w:rFonts w:ascii="Arial" w:hAnsi="Arial" w:cs="Arial"/>
          <w:sz w:val="22"/>
          <w:szCs w:val="22"/>
          <w:lang w:val="en-GB"/>
        </w:rPr>
      </w:pPr>
    </w:p>
    <w:p w14:paraId="5AA09635" w14:textId="69869822"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 and to its creditors on the eve of insolvency</w:t>
      </w:r>
      <w:r w:rsidRPr="00A63388">
        <w:rPr>
          <w:rFonts w:ascii="Arial" w:hAnsi="Arial" w:cs="Arial"/>
          <w:sz w:val="22"/>
          <w:szCs w:val="22"/>
          <w:lang w:val="en-GB"/>
        </w:rPr>
        <w:t>.</w:t>
      </w:r>
    </w:p>
    <w:p w14:paraId="6B872E76" w14:textId="77777777" w:rsidR="00A63388" w:rsidRPr="00A63388" w:rsidRDefault="00A63388" w:rsidP="00A63388">
      <w:pPr>
        <w:jc w:val="both"/>
        <w:rPr>
          <w:rFonts w:ascii="Arial" w:hAnsi="Arial" w:cs="Arial"/>
          <w:sz w:val="22"/>
          <w:szCs w:val="22"/>
          <w:lang w:val="en-GB"/>
        </w:rPr>
      </w:pPr>
    </w:p>
    <w:p w14:paraId="5DAF5468" w14:textId="4F581DE6" w:rsidR="00D84AFA" w:rsidRPr="00A63388"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 irrespective of whether their actions can affect either shareholders or creditors.</w:t>
      </w:r>
    </w:p>
    <w:p w14:paraId="2A45FBDD" w14:textId="77777777" w:rsidR="0020090A" w:rsidRDefault="0020090A" w:rsidP="00C55824">
      <w:pPr>
        <w:jc w:val="both"/>
        <w:rPr>
          <w:rFonts w:ascii="Arial" w:hAnsi="Arial" w:cs="Arial"/>
          <w:sz w:val="22"/>
          <w:szCs w:val="22"/>
        </w:rPr>
      </w:pPr>
    </w:p>
    <w:p w14:paraId="59DC1E35"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C7FB7AF" w14:textId="77777777" w:rsidR="00E9597C" w:rsidRPr="00B9639B" w:rsidRDefault="00E9597C" w:rsidP="0020090A">
      <w:pPr>
        <w:keepNext/>
        <w:jc w:val="both"/>
        <w:rPr>
          <w:rFonts w:ascii="Arial" w:hAnsi="Arial" w:cs="Arial"/>
          <w:b/>
          <w:bCs/>
          <w:sz w:val="22"/>
          <w:szCs w:val="22"/>
        </w:rPr>
      </w:pPr>
    </w:p>
    <w:p w14:paraId="700FC2BA" w14:textId="77777777" w:rsidR="00D84AFA" w:rsidRDefault="00D84AFA" w:rsidP="00D84AFA">
      <w:pPr>
        <w:jc w:val="both"/>
        <w:rPr>
          <w:rFonts w:ascii="Arial" w:hAnsi="Arial" w:cs="Arial"/>
          <w:sz w:val="22"/>
          <w:szCs w:val="22"/>
          <w:lang w:val="en-GB"/>
        </w:rPr>
      </w:pPr>
      <w:r>
        <w:rPr>
          <w:rFonts w:ascii="Arial" w:hAnsi="Arial" w:cs="Arial"/>
          <w:sz w:val="22"/>
          <w:szCs w:val="22"/>
          <w:lang w:val="en-GB"/>
        </w:rPr>
        <w:t>The evolution towards a system where insolvency is not punished as a crime was primarily due to:</w:t>
      </w:r>
    </w:p>
    <w:p w14:paraId="27AE476B" w14:textId="77777777" w:rsidR="00D84AFA" w:rsidRDefault="00D84AFA" w:rsidP="00D84AFA">
      <w:pPr>
        <w:ind w:left="720" w:hanging="720"/>
        <w:jc w:val="both"/>
        <w:rPr>
          <w:rFonts w:ascii="Arial" w:hAnsi="Arial" w:cs="Arial"/>
          <w:sz w:val="22"/>
          <w:szCs w:val="22"/>
          <w:lang w:val="en-GB"/>
        </w:rPr>
      </w:pPr>
    </w:p>
    <w:p w14:paraId="63F6926F" w14:textId="1126ABA1" w:rsidR="00D84AFA"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rediscovery of Latin legal texts,</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particularly of the </w:t>
      </w:r>
      <w:r w:rsidR="00D84AFA" w:rsidRPr="00A63388">
        <w:rPr>
          <w:rFonts w:ascii="Arial" w:hAnsi="Arial" w:cs="Arial"/>
          <w:i/>
          <w:iCs/>
          <w:sz w:val="22"/>
          <w:szCs w:val="22"/>
          <w:lang w:val="en-GB"/>
        </w:rPr>
        <w:t>Codex Iustinianeus</w:t>
      </w:r>
      <w:r w:rsidR="00D84AFA" w:rsidRPr="00A63388">
        <w:rPr>
          <w:rFonts w:ascii="Arial" w:hAnsi="Arial" w:cs="Arial"/>
          <w:sz w:val="22"/>
          <w:szCs w:val="22"/>
          <w:lang w:val="en-GB"/>
        </w:rPr>
        <w:t xml:space="preserve">, in </w:t>
      </w:r>
      <w:r w:rsidRPr="00A63388">
        <w:rPr>
          <w:rFonts w:ascii="Arial" w:hAnsi="Arial" w:cs="Arial"/>
          <w:sz w:val="22"/>
          <w:szCs w:val="22"/>
          <w:lang w:val="en-GB"/>
        </w:rPr>
        <w:t xml:space="preserve">the </w:t>
      </w:r>
      <w:r w:rsidR="00D84AFA" w:rsidRPr="00A63388">
        <w:rPr>
          <w:rFonts w:ascii="Arial" w:hAnsi="Arial" w:cs="Arial"/>
          <w:sz w:val="22"/>
          <w:szCs w:val="22"/>
          <w:lang w:val="en-GB"/>
        </w:rPr>
        <w:t>late middle ages</w:t>
      </w:r>
      <w:r w:rsidR="00832B6A" w:rsidRPr="00A63388">
        <w:rPr>
          <w:rFonts w:ascii="Arial" w:hAnsi="Arial" w:cs="Arial"/>
          <w:sz w:val="22"/>
          <w:szCs w:val="22"/>
          <w:lang w:val="en-GB"/>
        </w:rPr>
        <w:t>.</w:t>
      </w:r>
    </w:p>
    <w:p w14:paraId="1393027A" w14:textId="77777777" w:rsidR="00A63388" w:rsidRPr="00A63388" w:rsidRDefault="00A63388" w:rsidP="00A63388">
      <w:pPr>
        <w:jc w:val="both"/>
        <w:rPr>
          <w:rFonts w:ascii="Arial" w:hAnsi="Arial" w:cs="Arial"/>
          <w:sz w:val="22"/>
          <w:szCs w:val="22"/>
          <w:lang w:val="en-GB"/>
        </w:rPr>
      </w:pPr>
    </w:p>
    <w:p w14:paraId="055C9FDE" w14:textId="09D2C4A3" w:rsidR="00D84AFA"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 xml:space="preserve">he invasion by Napoleon’s troops in the early </w:t>
      </w:r>
      <w:r w:rsidR="00D14A8A" w:rsidRPr="00A63388">
        <w:rPr>
          <w:rFonts w:ascii="Arial" w:hAnsi="Arial" w:cs="Arial"/>
          <w:sz w:val="22"/>
          <w:szCs w:val="22"/>
          <w:lang w:val="en-GB"/>
        </w:rPr>
        <w:t>19</w:t>
      </w:r>
      <w:r w:rsidR="00D14A8A" w:rsidRPr="00A63388">
        <w:rPr>
          <w:rFonts w:ascii="Arial" w:hAnsi="Arial" w:cs="Arial"/>
          <w:sz w:val="22"/>
          <w:szCs w:val="22"/>
          <w:vertAlign w:val="superscript"/>
          <w:lang w:val="en-GB"/>
        </w:rPr>
        <w:t>th</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century and the </w:t>
      </w:r>
      <w:r w:rsidRPr="00A63388">
        <w:rPr>
          <w:rFonts w:ascii="Arial" w:hAnsi="Arial" w:cs="Arial"/>
          <w:sz w:val="22"/>
          <w:szCs w:val="22"/>
          <w:lang w:val="en-GB"/>
        </w:rPr>
        <w:t>resultant</w:t>
      </w:r>
      <w:r w:rsidR="00D84AFA" w:rsidRPr="00A63388">
        <w:rPr>
          <w:rFonts w:ascii="Arial" w:hAnsi="Arial" w:cs="Arial"/>
          <w:sz w:val="22"/>
          <w:szCs w:val="22"/>
          <w:lang w:val="en-GB"/>
        </w:rPr>
        <w:t xml:space="preserve"> enactment in Italy of French-inspired laws</w:t>
      </w:r>
      <w:r w:rsidR="00832B6A" w:rsidRPr="00A63388">
        <w:rPr>
          <w:rFonts w:ascii="Arial" w:hAnsi="Arial" w:cs="Arial"/>
          <w:sz w:val="22"/>
          <w:szCs w:val="22"/>
          <w:lang w:val="en-GB"/>
        </w:rPr>
        <w:t>.</w:t>
      </w:r>
    </w:p>
    <w:p w14:paraId="75CE4B2C" w14:textId="77777777" w:rsidR="00A63388" w:rsidRPr="00A63388" w:rsidRDefault="00A63388" w:rsidP="00A63388">
      <w:pPr>
        <w:jc w:val="both"/>
        <w:rPr>
          <w:rFonts w:ascii="Arial" w:hAnsi="Arial" w:cs="Arial"/>
          <w:sz w:val="22"/>
          <w:szCs w:val="22"/>
          <w:lang w:val="en-GB"/>
        </w:rPr>
      </w:pPr>
    </w:p>
    <w:p w14:paraId="4D6DBE92" w14:textId="0626CC67" w:rsidR="00D84AFA" w:rsidRPr="001F7693" w:rsidRDefault="00801786" w:rsidP="00A63388">
      <w:pPr>
        <w:pStyle w:val="ListParagraph"/>
        <w:numPr>
          <w:ilvl w:val="0"/>
          <w:numId w:val="9"/>
        </w:numPr>
        <w:ind w:left="426"/>
        <w:jc w:val="both"/>
        <w:rPr>
          <w:rFonts w:ascii="Arial" w:hAnsi="Arial" w:cs="Arial"/>
          <w:sz w:val="22"/>
          <w:szCs w:val="22"/>
          <w:highlight w:val="yellow"/>
          <w:lang w:val="en-GB"/>
        </w:rPr>
      </w:pPr>
      <w:r w:rsidRPr="001F7693">
        <w:rPr>
          <w:rFonts w:ascii="Arial" w:hAnsi="Arial" w:cs="Arial"/>
          <w:sz w:val="22"/>
          <w:szCs w:val="22"/>
          <w:highlight w:val="yellow"/>
          <w:lang w:val="en-GB"/>
        </w:rPr>
        <w:t>t</w:t>
      </w:r>
      <w:r w:rsidR="00D84AFA" w:rsidRPr="001F7693">
        <w:rPr>
          <w:rFonts w:ascii="Arial" w:hAnsi="Arial" w:cs="Arial"/>
          <w:sz w:val="22"/>
          <w:szCs w:val="22"/>
          <w:highlight w:val="yellow"/>
          <w:lang w:val="en-GB"/>
        </w:rPr>
        <w:t>he development of mercantile-oriented societies, where both the local nobility and the growing middle class were involved in trade activities</w:t>
      </w:r>
      <w:r w:rsidR="00832B6A" w:rsidRPr="001F7693">
        <w:rPr>
          <w:rFonts w:ascii="Arial" w:hAnsi="Arial" w:cs="Arial"/>
          <w:sz w:val="22"/>
          <w:szCs w:val="22"/>
          <w:highlight w:val="yellow"/>
          <w:lang w:val="en-GB"/>
        </w:rPr>
        <w:t>.</w:t>
      </w:r>
    </w:p>
    <w:p w14:paraId="197C30CF" w14:textId="77777777" w:rsidR="00A63388" w:rsidRPr="00A63388" w:rsidRDefault="00A63388" w:rsidP="00A63388">
      <w:pPr>
        <w:jc w:val="both"/>
        <w:rPr>
          <w:rFonts w:ascii="Arial" w:hAnsi="Arial" w:cs="Arial"/>
          <w:sz w:val="22"/>
          <w:szCs w:val="22"/>
          <w:lang w:val="en-GB"/>
        </w:rPr>
      </w:pPr>
    </w:p>
    <w:p w14:paraId="0634C65A" w14:textId="42EDCEA3" w:rsidR="005B79F4" w:rsidRPr="00A63388"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social doctrine of the Roman Catholic Church.</w:t>
      </w:r>
    </w:p>
    <w:p w14:paraId="31AA1FF8" w14:textId="77777777" w:rsidR="00D84AFA" w:rsidRDefault="00D84AFA" w:rsidP="00C55824">
      <w:pPr>
        <w:autoSpaceDE w:val="0"/>
        <w:autoSpaceDN w:val="0"/>
        <w:adjustRightInd w:val="0"/>
        <w:jc w:val="both"/>
        <w:rPr>
          <w:rFonts w:ascii="Arial" w:hAnsi="Arial" w:cs="Arial"/>
          <w:sz w:val="22"/>
          <w:szCs w:val="22"/>
        </w:rPr>
      </w:pPr>
    </w:p>
    <w:p w14:paraId="66994C8D"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21AA6CC" w14:textId="77777777" w:rsidR="00E9597C" w:rsidRPr="00B9639B" w:rsidRDefault="00E9597C" w:rsidP="00C55824">
      <w:pPr>
        <w:autoSpaceDE w:val="0"/>
        <w:autoSpaceDN w:val="0"/>
        <w:adjustRightInd w:val="0"/>
        <w:jc w:val="both"/>
        <w:rPr>
          <w:rFonts w:ascii="Arial" w:hAnsi="Arial" w:cs="Arial"/>
          <w:sz w:val="22"/>
          <w:szCs w:val="22"/>
        </w:rPr>
      </w:pPr>
    </w:p>
    <w:p w14:paraId="3D807992" w14:textId="77777777" w:rsidR="00D84AFA" w:rsidRDefault="00D84AFA" w:rsidP="00D84AFA">
      <w:pPr>
        <w:ind w:left="720" w:hanging="720"/>
        <w:jc w:val="both"/>
        <w:rPr>
          <w:rFonts w:ascii="Arial" w:hAnsi="Arial" w:cs="Arial"/>
          <w:sz w:val="22"/>
          <w:szCs w:val="22"/>
          <w:lang w:val="en-GB"/>
        </w:rPr>
      </w:pPr>
      <w:r>
        <w:rPr>
          <w:rFonts w:ascii="Arial" w:hAnsi="Arial" w:cs="Arial"/>
          <w:sz w:val="22"/>
          <w:szCs w:val="22"/>
          <w:lang w:val="en-GB"/>
        </w:rPr>
        <w:t>In order to be executed, a deed of mortgage over real estate needs to be:</w:t>
      </w:r>
    </w:p>
    <w:p w14:paraId="04C49E20" w14:textId="77777777" w:rsidR="00D84AFA" w:rsidRDefault="00D84AFA" w:rsidP="00D84AFA">
      <w:pPr>
        <w:ind w:left="720" w:hanging="720"/>
        <w:jc w:val="both"/>
        <w:rPr>
          <w:rFonts w:ascii="Arial" w:hAnsi="Arial" w:cs="Arial"/>
          <w:sz w:val="22"/>
          <w:szCs w:val="22"/>
          <w:lang w:val="en-GB"/>
        </w:rPr>
      </w:pPr>
    </w:p>
    <w:p w14:paraId="05F2DB10" w14:textId="5702AF6B"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at least one of the parties;</w:t>
      </w:r>
    </w:p>
    <w:p w14:paraId="1D108200" w14:textId="77777777" w:rsidR="00A63388" w:rsidRPr="00A63388" w:rsidRDefault="00A63388" w:rsidP="00A63388">
      <w:pPr>
        <w:jc w:val="both"/>
        <w:rPr>
          <w:rFonts w:ascii="Arial" w:hAnsi="Arial" w:cs="Arial"/>
          <w:sz w:val="22"/>
          <w:szCs w:val="22"/>
          <w:lang w:val="en-GB"/>
        </w:rPr>
      </w:pPr>
    </w:p>
    <w:p w14:paraId="50CAB972" w14:textId="1D580395"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both parties;</w:t>
      </w:r>
    </w:p>
    <w:p w14:paraId="548E2CD7" w14:textId="77777777" w:rsidR="00A63388" w:rsidRPr="00A63388" w:rsidRDefault="00A63388" w:rsidP="00A63388">
      <w:pPr>
        <w:jc w:val="both"/>
        <w:rPr>
          <w:rFonts w:ascii="Arial" w:hAnsi="Arial" w:cs="Arial"/>
          <w:sz w:val="22"/>
          <w:szCs w:val="22"/>
          <w:lang w:val="en-GB"/>
        </w:rPr>
      </w:pPr>
    </w:p>
    <w:p w14:paraId="0C3932F1" w14:textId="6D5B1968"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signed by both parties and registered with the competent land registry;</w:t>
      </w:r>
    </w:p>
    <w:p w14:paraId="5AEA9ACC" w14:textId="77777777" w:rsidR="00A63388" w:rsidRPr="00A63388" w:rsidRDefault="00A63388" w:rsidP="00A63388">
      <w:pPr>
        <w:jc w:val="both"/>
        <w:rPr>
          <w:rFonts w:ascii="Arial" w:hAnsi="Arial" w:cs="Arial"/>
          <w:sz w:val="22"/>
          <w:szCs w:val="22"/>
          <w:lang w:val="en-GB"/>
        </w:rPr>
      </w:pPr>
    </w:p>
    <w:p w14:paraId="096409F1" w14:textId="59311AA1" w:rsidR="005B79F4" w:rsidRPr="001F7693" w:rsidRDefault="00801786" w:rsidP="00A63388">
      <w:pPr>
        <w:pStyle w:val="ListParagraph"/>
        <w:numPr>
          <w:ilvl w:val="0"/>
          <w:numId w:val="11"/>
        </w:numPr>
        <w:ind w:left="426"/>
        <w:jc w:val="both"/>
        <w:rPr>
          <w:rFonts w:ascii="Arial" w:hAnsi="Arial" w:cs="Arial"/>
          <w:sz w:val="22"/>
          <w:szCs w:val="22"/>
          <w:highlight w:val="yellow"/>
          <w:lang w:val="en-GB"/>
        </w:rPr>
      </w:pPr>
      <w:r w:rsidRPr="001F7693">
        <w:rPr>
          <w:rFonts w:ascii="Arial" w:hAnsi="Arial" w:cs="Arial"/>
          <w:sz w:val="22"/>
          <w:szCs w:val="22"/>
          <w:highlight w:val="yellow"/>
          <w:lang w:val="en-GB"/>
        </w:rPr>
        <w:t>d</w:t>
      </w:r>
      <w:r w:rsidR="00D84AFA" w:rsidRPr="001F7693">
        <w:rPr>
          <w:rFonts w:ascii="Arial" w:hAnsi="Arial" w:cs="Arial"/>
          <w:sz w:val="22"/>
          <w:szCs w:val="22"/>
          <w:highlight w:val="yellow"/>
          <w:lang w:val="en-GB"/>
        </w:rPr>
        <w:t xml:space="preserve">rafted in writing in a notarised form, signed and registered. </w:t>
      </w:r>
    </w:p>
    <w:p w14:paraId="5DDE137A" w14:textId="77777777" w:rsidR="00D84AFA" w:rsidRDefault="00D84AFA" w:rsidP="00C55824">
      <w:pPr>
        <w:jc w:val="both"/>
        <w:rPr>
          <w:rFonts w:ascii="Arial" w:hAnsi="Arial" w:cs="Arial"/>
          <w:sz w:val="22"/>
          <w:szCs w:val="22"/>
        </w:rPr>
      </w:pPr>
    </w:p>
    <w:p w14:paraId="2B9E209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6C55F316" w14:textId="77777777" w:rsidR="00E9597C" w:rsidRPr="00B9639B" w:rsidRDefault="00E9597C" w:rsidP="00C55824">
      <w:pPr>
        <w:jc w:val="both"/>
        <w:rPr>
          <w:rFonts w:ascii="Arial" w:hAnsi="Arial" w:cs="Arial"/>
          <w:sz w:val="22"/>
          <w:szCs w:val="22"/>
        </w:rPr>
      </w:pPr>
    </w:p>
    <w:p w14:paraId="7E565A67" w14:textId="40389A3C" w:rsidR="004A61A7" w:rsidRDefault="004A61A7" w:rsidP="004A61A7">
      <w:pPr>
        <w:ind w:left="720" w:hanging="720"/>
        <w:jc w:val="both"/>
        <w:rPr>
          <w:rFonts w:ascii="Arial" w:hAnsi="Arial" w:cs="Arial"/>
          <w:sz w:val="22"/>
          <w:szCs w:val="22"/>
          <w:lang w:val="en-GB"/>
        </w:rPr>
      </w:pPr>
      <w:r>
        <w:rPr>
          <w:rFonts w:ascii="Arial" w:hAnsi="Arial" w:cs="Arial"/>
          <w:sz w:val="22"/>
          <w:szCs w:val="22"/>
          <w:lang w:val="en-GB"/>
        </w:rPr>
        <w:t xml:space="preserve">Recent reforms (2015 </w:t>
      </w:r>
      <w:r w:rsidR="00300B24">
        <w:rPr>
          <w:rFonts w:ascii="Arial" w:hAnsi="Arial" w:cs="Arial"/>
          <w:sz w:val="22"/>
          <w:szCs w:val="22"/>
          <w:lang w:val="en-GB"/>
        </w:rPr>
        <w:t xml:space="preserve">and </w:t>
      </w:r>
      <w:r>
        <w:rPr>
          <w:rFonts w:ascii="Arial" w:hAnsi="Arial" w:cs="Arial"/>
          <w:sz w:val="22"/>
          <w:szCs w:val="22"/>
          <w:lang w:val="en-GB"/>
        </w:rPr>
        <w:t>onwards) on pre-insolvency compositions had the objective of:</w:t>
      </w:r>
    </w:p>
    <w:p w14:paraId="51D72D75" w14:textId="77777777" w:rsidR="004A61A7" w:rsidRDefault="004A61A7" w:rsidP="004A61A7">
      <w:pPr>
        <w:ind w:left="720" w:hanging="720"/>
        <w:jc w:val="both"/>
        <w:rPr>
          <w:rFonts w:ascii="Arial" w:hAnsi="Arial" w:cs="Arial"/>
          <w:sz w:val="22"/>
          <w:szCs w:val="22"/>
          <w:lang w:val="en-GB"/>
        </w:rPr>
      </w:pPr>
    </w:p>
    <w:p w14:paraId="46F7CE13" w14:textId="1542D348" w:rsidR="004A61A7" w:rsidRPr="001F7693" w:rsidRDefault="00801786" w:rsidP="00237AAF">
      <w:pPr>
        <w:pStyle w:val="ListParagraph"/>
        <w:numPr>
          <w:ilvl w:val="0"/>
          <w:numId w:val="13"/>
        </w:numPr>
        <w:ind w:left="426"/>
        <w:jc w:val="both"/>
        <w:rPr>
          <w:rFonts w:ascii="Arial" w:hAnsi="Arial" w:cs="Arial"/>
          <w:sz w:val="22"/>
          <w:szCs w:val="22"/>
          <w:highlight w:val="yellow"/>
          <w:lang w:val="en-GB"/>
        </w:rPr>
      </w:pPr>
      <w:r w:rsidRPr="001F7693">
        <w:rPr>
          <w:rFonts w:ascii="Arial" w:hAnsi="Arial" w:cs="Arial"/>
          <w:sz w:val="22"/>
          <w:szCs w:val="22"/>
          <w:highlight w:val="yellow"/>
          <w:lang w:val="en-GB"/>
        </w:rPr>
        <w:t>r</w:t>
      </w:r>
      <w:r w:rsidR="004A61A7" w:rsidRPr="001F7693">
        <w:rPr>
          <w:rFonts w:ascii="Arial" w:hAnsi="Arial" w:cs="Arial"/>
          <w:sz w:val="22"/>
          <w:szCs w:val="22"/>
          <w:highlight w:val="yellow"/>
          <w:lang w:val="en-GB"/>
        </w:rPr>
        <w:t xml:space="preserve">educing the use of these procedures, thus marking the end of the legislative </w:t>
      </w:r>
      <w:r w:rsidR="004A61A7" w:rsidRPr="001F7693">
        <w:rPr>
          <w:rFonts w:ascii="Arial" w:hAnsi="Arial" w:cs="Arial"/>
          <w:i/>
          <w:sz w:val="22"/>
          <w:szCs w:val="22"/>
          <w:highlight w:val="yellow"/>
          <w:lang w:val="en-GB"/>
        </w:rPr>
        <w:t xml:space="preserve">favour </w:t>
      </w:r>
      <w:r w:rsidR="004A61A7" w:rsidRPr="001F7693">
        <w:rPr>
          <w:rFonts w:ascii="Arial" w:hAnsi="Arial" w:cs="Arial"/>
          <w:sz w:val="22"/>
          <w:szCs w:val="22"/>
          <w:highlight w:val="yellow"/>
          <w:lang w:val="en-GB"/>
        </w:rPr>
        <w:t>towards their use</w:t>
      </w:r>
      <w:r w:rsidR="00EB7214" w:rsidRPr="001F7693">
        <w:rPr>
          <w:rFonts w:ascii="Arial" w:hAnsi="Arial" w:cs="Arial"/>
          <w:sz w:val="22"/>
          <w:szCs w:val="22"/>
          <w:highlight w:val="yellow"/>
          <w:lang w:val="en-GB"/>
        </w:rPr>
        <w:t>.</w:t>
      </w:r>
    </w:p>
    <w:p w14:paraId="3FB01FD6" w14:textId="77777777" w:rsidR="00237AAF" w:rsidRPr="00237AAF" w:rsidRDefault="00237AAF" w:rsidP="00237AAF">
      <w:pPr>
        <w:jc w:val="both"/>
        <w:rPr>
          <w:rFonts w:ascii="Arial" w:hAnsi="Arial" w:cs="Arial"/>
          <w:sz w:val="22"/>
          <w:szCs w:val="22"/>
          <w:lang w:val="en-GB"/>
        </w:rPr>
      </w:pPr>
    </w:p>
    <w:p w14:paraId="2BA99050" w14:textId="62C234CC" w:rsidR="004A61A7"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lastRenderedPageBreak/>
        <w:t>r</w:t>
      </w:r>
      <w:r w:rsidR="004A61A7" w:rsidRPr="00237AAF">
        <w:rPr>
          <w:rFonts w:ascii="Arial" w:hAnsi="Arial" w:cs="Arial"/>
          <w:sz w:val="22"/>
          <w:szCs w:val="22"/>
          <w:lang w:val="en-GB"/>
        </w:rPr>
        <w:t>educing the improper use of these procedures</w:t>
      </w:r>
      <w:r w:rsidR="00EB7214" w:rsidRPr="00237AAF">
        <w:rPr>
          <w:rFonts w:ascii="Arial" w:hAnsi="Arial" w:cs="Arial"/>
          <w:sz w:val="22"/>
          <w:szCs w:val="22"/>
          <w:lang w:val="en-GB"/>
        </w:rPr>
        <w:t>.</w:t>
      </w:r>
    </w:p>
    <w:p w14:paraId="4F707111" w14:textId="77777777" w:rsidR="00237AAF" w:rsidRPr="00237AAF" w:rsidRDefault="00237AAF" w:rsidP="00237AAF">
      <w:pPr>
        <w:jc w:val="both"/>
        <w:rPr>
          <w:rFonts w:ascii="Arial" w:hAnsi="Arial" w:cs="Arial"/>
          <w:sz w:val="22"/>
          <w:szCs w:val="22"/>
          <w:lang w:val="en-GB"/>
        </w:rPr>
      </w:pPr>
    </w:p>
    <w:p w14:paraId="231205A3" w14:textId="27AE75CA" w:rsidR="004A61A7"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t>e</w:t>
      </w:r>
      <w:r w:rsidR="004A61A7" w:rsidRPr="00237AAF">
        <w:rPr>
          <w:rFonts w:ascii="Arial" w:hAnsi="Arial" w:cs="Arial"/>
          <w:sz w:val="22"/>
          <w:szCs w:val="22"/>
          <w:lang w:val="en-GB"/>
        </w:rPr>
        <w:t>nsuring higher returns to all creditors and particularly to unsecured ones</w:t>
      </w:r>
      <w:r w:rsidR="00EB7214" w:rsidRPr="00237AAF">
        <w:rPr>
          <w:rFonts w:ascii="Arial" w:hAnsi="Arial" w:cs="Arial"/>
          <w:sz w:val="22"/>
          <w:szCs w:val="22"/>
          <w:lang w:val="en-GB"/>
        </w:rPr>
        <w:t>.</w:t>
      </w:r>
    </w:p>
    <w:p w14:paraId="6AE98D56" w14:textId="77777777" w:rsidR="00237AAF" w:rsidRPr="00237AAF" w:rsidRDefault="00237AAF" w:rsidP="00237AAF">
      <w:pPr>
        <w:jc w:val="both"/>
        <w:rPr>
          <w:rFonts w:ascii="Arial" w:hAnsi="Arial" w:cs="Arial"/>
          <w:sz w:val="22"/>
          <w:szCs w:val="22"/>
          <w:lang w:val="en-GB"/>
        </w:rPr>
      </w:pPr>
    </w:p>
    <w:p w14:paraId="056EF704" w14:textId="6BE654DE" w:rsidR="00D84AFA" w:rsidRPr="00237AAF"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 xml:space="preserve">armonising the Italian system </w:t>
      </w:r>
      <w:r w:rsidR="00300B24" w:rsidRPr="00237AAF">
        <w:rPr>
          <w:rFonts w:ascii="Arial" w:hAnsi="Arial" w:cs="Arial"/>
          <w:sz w:val="22"/>
          <w:szCs w:val="22"/>
          <w:lang w:val="en-GB"/>
        </w:rPr>
        <w:t>with</w:t>
      </w:r>
      <w:r w:rsidR="004A61A7" w:rsidRPr="00237AAF">
        <w:rPr>
          <w:rFonts w:ascii="Arial" w:hAnsi="Arial" w:cs="Arial"/>
          <w:sz w:val="22"/>
          <w:szCs w:val="22"/>
          <w:lang w:val="en-GB"/>
        </w:rPr>
        <w:t xml:space="preserve"> European rules and best practices.</w:t>
      </w:r>
    </w:p>
    <w:p w14:paraId="0D06FBCB" w14:textId="616CBE49" w:rsidR="004A61A7" w:rsidRDefault="004A61A7" w:rsidP="00C55824">
      <w:pPr>
        <w:jc w:val="both"/>
        <w:rPr>
          <w:rFonts w:ascii="Arial" w:eastAsiaTheme="minorHAnsi" w:hAnsi="Arial" w:cs="Arial"/>
          <w:sz w:val="22"/>
          <w:szCs w:val="22"/>
          <w:lang w:val="en-GB"/>
        </w:rPr>
      </w:pPr>
    </w:p>
    <w:p w14:paraId="17BEBD8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0B789578" w14:textId="77777777" w:rsidR="005B79F4" w:rsidRDefault="005B79F4" w:rsidP="00C55824">
      <w:pPr>
        <w:jc w:val="both"/>
        <w:rPr>
          <w:rFonts w:ascii="Arial" w:eastAsiaTheme="minorHAnsi" w:hAnsi="Arial" w:cs="Arial"/>
          <w:sz w:val="22"/>
          <w:szCs w:val="22"/>
          <w:lang w:val="en-GB"/>
        </w:rPr>
      </w:pPr>
    </w:p>
    <w:p w14:paraId="4DE51EDF" w14:textId="77777777"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9DE2275" w14:textId="77777777" w:rsidR="004A61A7" w:rsidRPr="004A61A7" w:rsidRDefault="004A61A7" w:rsidP="004A61A7">
      <w:pPr>
        <w:ind w:left="360" w:hanging="360"/>
        <w:jc w:val="both"/>
        <w:rPr>
          <w:rFonts w:ascii="Arial" w:hAnsi="Arial" w:cs="Arial"/>
          <w:sz w:val="22"/>
          <w:szCs w:val="22"/>
          <w:lang w:val="en-GB"/>
        </w:rPr>
      </w:pPr>
    </w:p>
    <w:p w14:paraId="09DCCD5B" w14:textId="5D9AAF06"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pply only to liquidation procedures</w:t>
      </w:r>
      <w:r w:rsidR="00EB7214" w:rsidRPr="00237AAF">
        <w:rPr>
          <w:rFonts w:ascii="Arial" w:hAnsi="Arial" w:cs="Arial"/>
          <w:sz w:val="22"/>
          <w:szCs w:val="22"/>
          <w:lang w:val="en-GB"/>
        </w:rPr>
        <w:t>.</w:t>
      </w:r>
    </w:p>
    <w:p w14:paraId="1239654E" w14:textId="77777777" w:rsidR="00237AAF" w:rsidRPr="00237AAF" w:rsidRDefault="00237AAF" w:rsidP="00237AAF">
      <w:pPr>
        <w:jc w:val="both"/>
        <w:rPr>
          <w:rFonts w:ascii="Arial" w:hAnsi="Arial" w:cs="Arial"/>
          <w:sz w:val="22"/>
          <w:szCs w:val="22"/>
          <w:lang w:val="en-GB"/>
        </w:rPr>
      </w:pPr>
    </w:p>
    <w:p w14:paraId="76BED048" w14:textId="3EF018EF" w:rsidR="004A61A7" w:rsidRPr="001F7693" w:rsidRDefault="00801786" w:rsidP="00237AAF">
      <w:pPr>
        <w:pStyle w:val="ListParagraph"/>
        <w:numPr>
          <w:ilvl w:val="0"/>
          <w:numId w:val="15"/>
        </w:numPr>
        <w:ind w:left="426"/>
        <w:jc w:val="both"/>
        <w:rPr>
          <w:rFonts w:ascii="Arial" w:hAnsi="Arial" w:cs="Arial"/>
          <w:sz w:val="22"/>
          <w:szCs w:val="22"/>
          <w:highlight w:val="yellow"/>
          <w:lang w:val="en-GB"/>
        </w:rPr>
      </w:pPr>
      <w:r w:rsidRPr="001F7693">
        <w:rPr>
          <w:rFonts w:ascii="Arial" w:hAnsi="Arial" w:cs="Arial"/>
          <w:sz w:val="22"/>
          <w:szCs w:val="22"/>
          <w:highlight w:val="yellow"/>
          <w:lang w:val="en-GB"/>
        </w:rPr>
        <w:t>r</w:t>
      </w:r>
      <w:r w:rsidR="004A61A7" w:rsidRPr="001F7693">
        <w:rPr>
          <w:rFonts w:ascii="Arial" w:hAnsi="Arial" w:cs="Arial"/>
          <w:sz w:val="22"/>
          <w:szCs w:val="22"/>
          <w:highlight w:val="yellow"/>
          <w:lang w:val="en-GB"/>
        </w:rPr>
        <w:t>estrict the validity of contractually negotiated clauses</w:t>
      </w:r>
      <w:r w:rsidR="00EB7214" w:rsidRPr="001F7693">
        <w:rPr>
          <w:rFonts w:ascii="Arial" w:hAnsi="Arial" w:cs="Arial"/>
          <w:sz w:val="22"/>
          <w:szCs w:val="22"/>
          <w:highlight w:val="yellow"/>
          <w:lang w:val="en-GB"/>
        </w:rPr>
        <w:t>.</w:t>
      </w:r>
    </w:p>
    <w:p w14:paraId="1BF95A20" w14:textId="77777777" w:rsidR="00237AAF" w:rsidRPr="00237AAF" w:rsidRDefault="00237AAF" w:rsidP="00237AAF">
      <w:pPr>
        <w:jc w:val="both"/>
        <w:rPr>
          <w:rFonts w:ascii="Arial" w:hAnsi="Arial" w:cs="Arial"/>
          <w:sz w:val="22"/>
          <w:szCs w:val="22"/>
          <w:lang w:val="en-GB"/>
        </w:rPr>
      </w:pPr>
    </w:p>
    <w:p w14:paraId="11494B27" w14:textId="4803342C"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equire claims to be quantified, certain and preferably due</w:t>
      </w:r>
      <w:r w:rsidR="00EB7214" w:rsidRPr="00237AAF">
        <w:rPr>
          <w:rFonts w:ascii="Arial" w:hAnsi="Arial" w:cs="Arial"/>
          <w:sz w:val="22"/>
          <w:szCs w:val="22"/>
          <w:lang w:val="en-GB"/>
        </w:rPr>
        <w:t>.</w:t>
      </w:r>
    </w:p>
    <w:p w14:paraId="3DF55ED1" w14:textId="77777777" w:rsidR="00237AAF" w:rsidRPr="00237AAF" w:rsidRDefault="00237AAF" w:rsidP="00237AAF">
      <w:pPr>
        <w:jc w:val="both"/>
        <w:rPr>
          <w:rFonts w:ascii="Arial" w:hAnsi="Arial" w:cs="Arial"/>
          <w:sz w:val="22"/>
          <w:szCs w:val="22"/>
          <w:lang w:val="en-GB"/>
        </w:rPr>
      </w:pPr>
    </w:p>
    <w:p w14:paraId="43D4C759" w14:textId="38DAE61A" w:rsidR="004A61A7" w:rsidRPr="00237AAF"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re not codified in the </w:t>
      </w:r>
      <w:r w:rsidR="004A61A7" w:rsidRPr="00237AAF">
        <w:rPr>
          <w:rFonts w:ascii="Arial" w:hAnsi="Arial" w:cs="Arial"/>
          <w:i/>
          <w:iCs/>
          <w:sz w:val="22"/>
          <w:szCs w:val="22"/>
          <w:lang w:val="en-GB"/>
        </w:rPr>
        <w:t>legge fallimentare</w:t>
      </w:r>
      <w:r w:rsidR="004A61A7" w:rsidRPr="00237AAF">
        <w:rPr>
          <w:rFonts w:ascii="Arial" w:hAnsi="Arial" w:cs="Arial"/>
          <w:sz w:val="22"/>
          <w:szCs w:val="22"/>
          <w:lang w:val="en-GB"/>
        </w:rPr>
        <w:t>.</w:t>
      </w:r>
    </w:p>
    <w:p w14:paraId="54F0734D" w14:textId="740ED77B" w:rsidR="004A61A7" w:rsidRDefault="004A61A7" w:rsidP="004A61A7">
      <w:pPr>
        <w:jc w:val="both"/>
        <w:rPr>
          <w:rFonts w:ascii="Arial" w:hAnsi="Arial" w:cs="Arial"/>
          <w:sz w:val="22"/>
          <w:szCs w:val="22"/>
        </w:rPr>
      </w:pPr>
    </w:p>
    <w:p w14:paraId="2784463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8874FE7" w14:textId="77777777" w:rsidR="00E9597C" w:rsidRDefault="00E9597C" w:rsidP="00C55824">
      <w:pPr>
        <w:jc w:val="both"/>
        <w:rPr>
          <w:rFonts w:ascii="Arial" w:hAnsi="Arial" w:cs="Arial"/>
          <w:sz w:val="22"/>
          <w:szCs w:val="22"/>
        </w:rPr>
      </w:pPr>
    </w:p>
    <w:p w14:paraId="4C68DB90" w14:textId="4E7EBB83" w:rsidR="004A61A7" w:rsidRDefault="004A61A7" w:rsidP="004A61A7">
      <w:pPr>
        <w:jc w:val="both"/>
        <w:rPr>
          <w:rFonts w:ascii="Arial" w:hAnsi="Arial" w:cs="Arial"/>
          <w:sz w:val="22"/>
          <w:szCs w:val="22"/>
          <w:lang w:val="en-GB"/>
        </w:rPr>
      </w:pPr>
      <w:r>
        <w:rPr>
          <w:rFonts w:ascii="Arial" w:hAnsi="Arial" w:cs="Arial"/>
          <w:sz w:val="22"/>
          <w:szCs w:val="22"/>
          <w:lang w:val="en-GB"/>
        </w:rPr>
        <w:t>To determine jurisdiction in cross-border corporate insolvency cases, Italian courts adopt:</w:t>
      </w:r>
    </w:p>
    <w:p w14:paraId="6DBBFF52" w14:textId="77777777" w:rsidR="004A61A7" w:rsidRDefault="004A61A7" w:rsidP="004A61A7">
      <w:pPr>
        <w:jc w:val="both"/>
        <w:rPr>
          <w:rFonts w:ascii="Arial" w:hAnsi="Arial" w:cs="Arial"/>
          <w:sz w:val="22"/>
          <w:szCs w:val="22"/>
          <w:lang w:val="en-GB"/>
        </w:rPr>
      </w:pPr>
    </w:p>
    <w:p w14:paraId="603EEF16" w14:textId="105B30AA" w:rsidR="004A61A7" w:rsidRDefault="005169DC" w:rsidP="00237AAF">
      <w:pPr>
        <w:pStyle w:val="ListParagraph"/>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territorialist approach, as evidenced by the rules set out in art</w:t>
      </w:r>
      <w:r w:rsidRPr="00237AAF">
        <w:rPr>
          <w:rFonts w:ascii="Arial" w:hAnsi="Arial" w:cs="Arial"/>
          <w:sz w:val="22"/>
          <w:szCs w:val="22"/>
          <w:lang w:val="en-GB"/>
        </w:rPr>
        <w:t>icle</w:t>
      </w:r>
      <w:r w:rsidR="004A61A7" w:rsidRPr="00237AAF">
        <w:rPr>
          <w:rFonts w:ascii="Arial" w:hAnsi="Arial" w:cs="Arial"/>
          <w:sz w:val="22"/>
          <w:szCs w:val="22"/>
          <w:lang w:val="en-GB"/>
        </w:rPr>
        <w:t xml:space="preserve"> 9</w:t>
      </w:r>
      <w:r w:rsidR="00EB7214" w:rsidRPr="00237AAF">
        <w:rPr>
          <w:rFonts w:ascii="Arial" w:hAnsi="Arial" w:cs="Arial"/>
          <w:sz w:val="22"/>
          <w:szCs w:val="22"/>
          <w:lang w:val="en-GB"/>
        </w:rPr>
        <w:t xml:space="preserve"> </w:t>
      </w:r>
      <w:r w:rsidRPr="00237AAF">
        <w:rPr>
          <w:rFonts w:ascii="Arial" w:hAnsi="Arial" w:cs="Arial"/>
          <w:sz w:val="22"/>
          <w:szCs w:val="22"/>
          <w:lang w:val="en-GB"/>
        </w:rPr>
        <w:t>of the</w:t>
      </w:r>
      <w:r w:rsidR="004A61A7" w:rsidRPr="00237AAF">
        <w:rPr>
          <w:rFonts w:ascii="Arial" w:hAnsi="Arial" w:cs="Arial"/>
          <w:sz w:val="22"/>
          <w:szCs w:val="22"/>
          <w:lang w:val="en-GB"/>
        </w:rPr>
        <w:t xml:space="preserve"> </w:t>
      </w:r>
      <w:r w:rsidR="004A61A7" w:rsidRPr="00237AAF">
        <w:rPr>
          <w:rFonts w:ascii="Arial" w:hAnsi="Arial" w:cs="Arial"/>
          <w:i/>
          <w:sz w:val="22"/>
          <w:szCs w:val="22"/>
          <w:lang w:val="en-GB"/>
        </w:rPr>
        <w:t>legge fallimentare</w:t>
      </w:r>
      <w:r w:rsidR="00237AAF">
        <w:rPr>
          <w:rFonts w:ascii="Arial" w:hAnsi="Arial" w:cs="Arial"/>
          <w:sz w:val="22"/>
          <w:szCs w:val="22"/>
          <w:lang w:val="en-GB"/>
        </w:rPr>
        <w:t>.</w:t>
      </w:r>
    </w:p>
    <w:p w14:paraId="3030B4BB" w14:textId="77777777" w:rsidR="00237AAF" w:rsidRPr="00237AAF" w:rsidRDefault="00237AAF" w:rsidP="00237AAF">
      <w:pPr>
        <w:jc w:val="both"/>
        <w:rPr>
          <w:rFonts w:ascii="Arial" w:hAnsi="Arial" w:cs="Arial"/>
          <w:sz w:val="22"/>
          <w:szCs w:val="22"/>
          <w:lang w:val="en-GB"/>
        </w:rPr>
      </w:pPr>
    </w:p>
    <w:p w14:paraId="69671A66" w14:textId="579238C2" w:rsidR="004A61A7" w:rsidRDefault="005169DC" w:rsidP="00237AAF">
      <w:pPr>
        <w:pStyle w:val="ListParagraph"/>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modified territorialist approach, where the jurisdiction of the Italian courts is alternatively expanded or restricted depending on the behaviour of the parties and for the purpose of restricting the strategic use of insolvency provisions and loopholes</w:t>
      </w:r>
      <w:r w:rsidR="00C4163B" w:rsidRPr="00237AAF">
        <w:rPr>
          <w:rFonts w:ascii="Arial" w:hAnsi="Arial" w:cs="Arial"/>
          <w:sz w:val="22"/>
          <w:szCs w:val="22"/>
          <w:lang w:val="en-GB"/>
        </w:rPr>
        <w:t>.</w:t>
      </w:r>
    </w:p>
    <w:p w14:paraId="1F98479D" w14:textId="77777777" w:rsidR="00237AAF" w:rsidRPr="00237AAF" w:rsidRDefault="00237AAF" w:rsidP="00237AAF">
      <w:pPr>
        <w:jc w:val="both"/>
        <w:rPr>
          <w:rFonts w:ascii="Arial" w:hAnsi="Arial" w:cs="Arial"/>
          <w:sz w:val="22"/>
          <w:szCs w:val="22"/>
          <w:lang w:val="en-GB"/>
        </w:rPr>
      </w:pPr>
    </w:p>
    <w:p w14:paraId="336C9B1D" w14:textId="1566A21B" w:rsidR="004A61A7" w:rsidRPr="001F7693" w:rsidRDefault="005169DC" w:rsidP="00237AAF">
      <w:pPr>
        <w:pStyle w:val="ListParagraph"/>
        <w:numPr>
          <w:ilvl w:val="0"/>
          <w:numId w:val="17"/>
        </w:numPr>
        <w:ind w:left="426"/>
        <w:jc w:val="both"/>
        <w:rPr>
          <w:rFonts w:ascii="Arial" w:hAnsi="Arial" w:cs="Arial"/>
          <w:sz w:val="22"/>
          <w:szCs w:val="22"/>
          <w:highlight w:val="yellow"/>
          <w:lang w:val="en-GB"/>
        </w:rPr>
      </w:pPr>
      <w:r w:rsidRPr="001F7693">
        <w:rPr>
          <w:rFonts w:ascii="Arial" w:hAnsi="Arial" w:cs="Arial"/>
          <w:sz w:val="22"/>
          <w:szCs w:val="22"/>
          <w:highlight w:val="yellow"/>
          <w:lang w:val="en-GB"/>
        </w:rPr>
        <w:t>a</w:t>
      </w:r>
      <w:r w:rsidR="004A61A7" w:rsidRPr="001F7693">
        <w:rPr>
          <w:rFonts w:ascii="Arial" w:hAnsi="Arial" w:cs="Arial"/>
          <w:sz w:val="22"/>
          <w:szCs w:val="22"/>
          <w:highlight w:val="yellow"/>
          <w:lang w:val="en-GB"/>
        </w:rPr>
        <w:t xml:space="preserve"> modified universalist approach, as suggested by the jurisprudence of the Court of Justice of the European Union and relevant European laws</w:t>
      </w:r>
      <w:r w:rsidR="00C4163B" w:rsidRPr="001F7693">
        <w:rPr>
          <w:rFonts w:ascii="Arial" w:hAnsi="Arial" w:cs="Arial"/>
          <w:sz w:val="22"/>
          <w:szCs w:val="22"/>
          <w:highlight w:val="yellow"/>
          <w:lang w:val="en-GB"/>
        </w:rPr>
        <w:t>.</w:t>
      </w:r>
    </w:p>
    <w:p w14:paraId="1D65B011" w14:textId="77777777" w:rsidR="00237AAF" w:rsidRPr="00237AAF" w:rsidRDefault="00237AAF" w:rsidP="00237AAF">
      <w:pPr>
        <w:jc w:val="both"/>
        <w:rPr>
          <w:rFonts w:ascii="Arial" w:hAnsi="Arial" w:cs="Arial"/>
          <w:sz w:val="22"/>
          <w:szCs w:val="22"/>
          <w:lang w:val="en-GB"/>
        </w:rPr>
      </w:pPr>
    </w:p>
    <w:p w14:paraId="68877C21" w14:textId="44800F8C" w:rsidR="004A61A7" w:rsidRPr="00237AAF" w:rsidRDefault="005169DC" w:rsidP="00237AAF">
      <w:pPr>
        <w:pStyle w:val="ListParagraph"/>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purely universalist approach</w:t>
      </w:r>
      <w:r w:rsidRPr="00237AAF">
        <w:rPr>
          <w:rFonts w:ascii="Arial" w:hAnsi="Arial" w:cs="Arial"/>
          <w:sz w:val="22"/>
          <w:szCs w:val="22"/>
          <w:lang w:val="en-GB"/>
        </w:rPr>
        <w:t>.</w:t>
      </w:r>
    </w:p>
    <w:p w14:paraId="30B1DA9A" w14:textId="77777777" w:rsidR="004A61A7" w:rsidRDefault="004A61A7" w:rsidP="00C55824">
      <w:pPr>
        <w:jc w:val="both"/>
        <w:rPr>
          <w:rFonts w:ascii="Arial" w:hAnsi="Arial" w:cs="Arial"/>
          <w:sz w:val="22"/>
          <w:szCs w:val="22"/>
        </w:rPr>
      </w:pPr>
    </w:p>
    <w:p w14:paraId="321C0CE7"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927D447" w14:textId="77777777" w:rsidR="00E9597C" w:rsidRPr="00B9639B" w:rsidRDefault="00E9597C" w:rsidP="0020090A">
      <w:pPr>
        <w:keepNext/>
        <w:jc w:val="both"/>
        <w:rPr>
          <w:rFonts w:ascii="Arial" w:hAnsi="Arial" w:cs="Arial"/>
          <w:sz w:val="22"/>
          <w:szCs w:val="22"/>
        </w:rPr>
      </w:pPr>
    </w:p>
    <w:p w14:paraId="0962FFAF" w14:textId="757DBA88" w:rsidR="004A61A7" w:rsidRDefault="004A61A7" w:rsidP="00237AAF">
      <w:pPr>
        <w:jc w:val="both"/>
        <w:rPr>
          <w:rFonts w:ascii="Arial" w:hAnsi="Arial" w:cs="Arial"/>
          <w:sz w:val="22"/>
          <w:szCs w:val="22"/>
          <w:lang w:val="en-GB"/>
        </w:rPr>
      </w:pPr>
      <w:r>
        <w:rPr>
          <w:rFonts w:ascii="Arial" w:hAnsi="Arial" w:cs="Arial"/>
          <w:sz w:val="22"/>
          <w:szCs w:val="22"/>
          <w:lang w:val="en-GB"/>
        </w:rPr>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r w:rsidRPr="004A3D10">
        <w:rPr>
          <w:rFonts w:ascii="Arial" w:hAnsi="Arial" w:cs="Arial"/>
          <w:sz w:val="22"/>
          <w:szCs w:val="22"/>
          <w:lang w:val="en-GB"/>
        </w:rPr>
        <w:t>Rordorf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35F78B8E" w14:textId="77777777" w:rsidR="004A61A7" w:rsidRDefault="004A61A7" w:rsidP="004A61A7">
      <w:pPr>
        <w:ind w:left="720" w:hanging="720"/>
        <w:jc w:val="both"/>
        <w:rPr>
          <w:rFonts w:ascii="Arial" w:hAnsi="Arial" w:cs="Arial"/>
          <w:sz w:val="22"/>
          <w:szCs w:val="22"/>
          <w:lang w:val="en-GB"/>
        </w:rPr>
      </w:pPr>
    </w:p>
    <w:p w14:paraId="74B19C27" w14:textId="7D026926" w:rsidR="004A61A7" w:rsidRPr="009D1484" w:rsidRDefault="005169DC" w:rsidP="00237AAF">
      <w:pPr>
        <w:pStyle w:val="ListParagraph"/>
        <w:numPr>
          <w:ilvl w:val="0"/>
          <w:numId w:val="19"/>
        </w:numPr>
        <w:ind w:left="426"/>
        <w:jc w:val="both"/>
        <w:rPr>
          <w:rFonts w:ascii="Arial" w:hAnsi="Arial" w:cs="Arial"/>
          <w:sz w:val="22"/>
          <w:szCs w:val="22"/>
          <w:highlight w:val="yellow"/>
          <w:lang w:val="en-GB"/>
        </w:rPr>
      </w:pPr>
      <w:r w:rsidRPr="009D1484">
        <w:rPr>
          <w:rFonts w:ascii="Arial" w:hAnsi="Arial" w:cs="Arial"/>
          <w:sz w:val="22"/>
          <w:szCs w:val="22"/>
          <w:highlight w:val="yellow"/>
          <w:lang w:val="en-GB"/>
        </w:rPr>
        <w:t>b</w:t>
      </w:r>
      <w:r w:rsidR="004A61A7" w:rsidRPr="009D1484">
        <w:rPr>
          <w:rFonts w:ascii="Arial" w:hAnsi="Arial" w:cs="Arial"/>
          <w:sz w:val="22"/>
          <w:szCs w:val="22"/>
          <w:highlight w:val="yellow"/>
          <w:lang w:val="en-GB"/>
        </w:rPr>
        <w:t>enchmark international best practices and European recommendations</w:t>
      </w:r>
      <w:r w:rsidR="00C4163B" w:rsidRPr="009D1484">
        <w:rPr>
          <w:rFonts w:ascii="Arial" w:hAnsi="Arial" w:cs="Arial"/>
          <w:sz w:val="22"/>
          <w:szCs w:val="22"/>
          <w:highlight w:val="yellow"/>
          <w:lang w:val="en-GB"/>
        </w:rPr>
        <w:t>.</w:t>
      </w:r>
    </w:p>
    <w:p w14:paraId="6088E1B8" w14:textId="77777777" w:rsidR="00237AAF" w:rsidRPr="00237AAF" w:rsidRDefault="00237AAF" w:rsidP="00237AAF">
      <w:pPr>
        <w:jc w:val="both"/>
        <w:rPr>
          <w:rFonts w:ascii="Arial" w:hAnsi="Arial" w:cs="Arial"/>
          <w:sz w:val="22"/>
          <w:szCs w:val="22"/>
          <w:lang w:val="en-GB"/>
        </w:rPr>
      </w:pPr>
    </w:p>
    <w:p w14:paraId="5CC06EA4" w14:textId="7E48470D"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o not introduce significant changes to the current law</w:t>
      </w:r>
      <w:r w:rsidR="00C4163B" w:rsidRPr="00237AAF">
        <w:rPr>
          <w:rFonts w:ascii="Arial" w:hAnsi="Arial" w:cs="Arial"/>
          <w:sz w:val="22"/>
          <w:szCs w:val="22"/>
          <w:lang w:val="en-GB"/>
        </w:rPr>
        <w:t>.</w:t>
      </w:r>
    </w:p>
    <w:p w14:paraId="35DABD8D" w14:textId="77777777" w:rsidR="00237AAF" w:rsidRPr="00237AAF" w:rsidRDefault="00237AAF" w:rsidP="00237AAF">
      <w:pPr>
        <w:jc w:val="both"/>
        <w:rPr>
          <w:rFonts w:ascii="Arial" w:hAnsi="Arial" w:cs="Arial"/>
          <w:sz w:val="22"/>
          <w:szCs w:val="22"/>
          <w:lang w:val="en-GB"/>
        </w:rPr>
      </w:pPr>
    </w:p>
    <w:p w14:paraId="5D6167C3" w14:textId="23A69F91"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4A44533E" w14:textId="77777777" w:rsidR="00237AAF" w:rsidRPr="00237AAF" w:rsidRDefault="00237AAF" w:rsidP="00237AAF">
      <w:pPr>
        <w:jc w:val="both"/>
        <w:rPr>
          <w:rFonts w:ascii="Arial" w:hAnsi="Arial" w:cs="Arial"/>
          <w:sz w:val="22"/>
          <w:szCs w:val="22"/>
          <w:lang w:val="en-GB"/>
        </w:rPr>
      </w:pPr>
    </w:p>
    <w:p w14:paraId="7CD68A0A" w14:textId="36CF1D3B" w:rsidR="004A61A7" w:rsidRPr="00237AAF"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ave not yet been enacted by Parliament</w:t>
      </w:r>
      <w:r w:rsidR="00C4163B" w:rsidRPr="00237AAF">
        <w:rPr>
          <w:rFonts w:ascii="Arial" w:hAnsi="Arial" w:cs="Arial"/>
          <w:sz w:val="22"/>
          <w:szCs w:val="22"/>
          <w:lang w:val="en-GB"/>
        </w:rPr>
        <w:t>.</w:t>
      </w:r>
    </w:p>
    <w:p w14:paraId="4D7A988B" w14:textId="77777777" w:rsidR="00C55824" w:rsidRDefault="00C55824" w:rsidP="002A37BB">
      <w:pPr>
        <w:jc w:val="both"/>
        <w:rPr>
          <w:rFonts w:ascii="Arial" w:hAnsi="Arial" w:cs="Arial"/>
          <w:bCs/>
          <w:sz w:val="22"/>
          <w:szCs w:val="22"/>
          <w:lang w:val="en-GB"/>
        </w:rPr>
      </w:pPr>
    </w:p>
    <w:p w14:paraId="733AF086" w14:textId="4DE51E1E" w:rsidR="008F228E" w:rsidRDefault="008F228E" w:rsidP="002A37BB">
      <w:pPr>
        <w:jc w:val="both"/>
        <w:rPr>
          <w:rFonts w:ascii="Arial" w:hAnsi="Arial" w:cs="Arial"/>
          <w:bCs/>
          <w:sz w:val="22"/>
          <w:szCs w:val="22"/>
          <w:lang w:val="en-GB"/>
        </w:rPr>
      </w:pPr>
    </w:p>
    <w:p w14:paraId="69C13E5C" w14:textId="35824AFB" w:rsidR="00237AAF" w:rsidRDefault="00237AAF" w:rsidP="002A37BB">
      <w:pPr>
        <w:jc w:val="both"/>
        <w:rPr>
          <w:rFonts w:ascii="Arial" w:hAnsi="Arial" w:cs="Arial"/>
          <w:bCs/>
          <w:sz w:val="22"/>
          <w:szCs w:val="22"/>
          <w:lang w:val="en-GB"/>
        </w:rPr>
      </w:pPr>
    </w:p>
    <w:p w14:paraId="628346D0" w14:textId="61408C47" w:rsidR="00237AAF" w:rsidRDefault="00237AAF" w:rsidP="002A37BB">
      <w:pPr>
        <w:jc w:val="both"/>
        <w:rPr>
          <w:rFonts w:ascii="Arial" w:hAnsi="Arial" w:cs="Arial"/>
          <w:bCs/>
          <w:sz w:val="22"/>
          <w:szCs w:val="22"/>
          <w:lang w:val="en-GB"/>
        </w:rPr>
      </w:pPr>
    </w:p>
    <w:p w14:paraId="04525D28" w14:textId="66CC8771" w:rsidR="00237AAF" w:rsidRDefault="00237AAF" w:rsidP="002A37BB">
      <w:pPr>
        <w:jc w:val="both"/>
        <w:rPr>
          <w:rFonts w:ascii="Arial" w:hAnsi="Arial" w:cs="Arial"/>
          <w:bCs/>
          <w:sz w:val="22"/>
          <w:szCs w:val="22"/>
          <w:lang w:val="en-GB"/>
        </w:rPr>
      </w:pPr>
    </w:p>
    <w:p w14:paraId="4F74F7EE" w14:textId="5558454B" w:rsidR="00237AAF" w:rsidRDefault="00237AAF" w:rsidP="002A37BB">
      <w:pPr>
        <w:jc w:val="both"/>
        <w:rPr>
          <w:rFonts w:ascii="Arial" w:hAnsi="Arial" w:cs="Arial"/>
          <w:bCs/>
          <w:sz w:val="22"/>
          <w:szCs w:val="22"/>
          <w:lang w:val="en-GB"/>
        </w:rPr>
      </w:pPr>
    </w:p>
    <w:p w14:paraId="3667344D" w14:textId="304E3096" w:rsidR="00237AAF" w:rsidRDefault="00237AAF" w:rsidP="002A37BB">
      <w:pPr>
        <w:jc w:val="both"/>
        <w:rPr>
          <w:rFonts w:ascii="Arial" w:hAnsi="Arial" w:cs="Arial"/>
          <w:bCs/>
          <w:sz w:val="22"/>
          <w:szCs w:val="22"/>
          <w:lang w:val="en-GB"/>
        </w:rPr>
      </w:pPr>
    </w:p>
    <w:p w14:paraId="42AAB053" w14:textId="293B4515" w:rsidR="00237AAF" w:rsidRDefault="00237AAF" w:rsidP="002A37BB">
      <w:pPr>
        <w:jc w:val="both"/>
        <w:rPr>
          <w:rFonts w:ascii="Arial" w:hAnsi="Arial" w:cs="Arial"/>
          <w:bCs/>
          <w:sz w:val="22"/>
          <w:szCs w:val="22"/>
          <w:lang w:val="en-GB"/>
        </w:rPr>
      </w:pPr>
    </w:p>
    <w:p w14:paraId="61D603CE" w14:textId="77777777" w:rsidR="00237AAF" w:rsidRPr="00C55824" w:rsidRDefault="00237AAF" w:rsidP="002A37BB">
      <w:pPr>
        <w:jc w:val="both"/>
        <w:rPr>
          <w:rFonts w:ascii="Arial" w:hAnsi="Arial" w:cs="Arial"/>
          <w:bCs/>
          <w:sz w:val="22"/>
          <w:szCs w:val="22"/>
          <w:lang w:val="en-GB"/>
        </w:rPr>
      </w:pPr>
    </w:p>
    <w:p w14:paraId="372A31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8B325AD" w14:textId="77777777" w:rsidR="00962045" w:rsidRDefault="00962045" w:rsidP="002A37BB">
      <w:pPr>
        <w:ind w:left="720" w:hanging="720"/>
        <w:jc w:val="both"/>
        <w:rPr>
          <w:rFonts w:ascii="Arial" w:hAnsi="Arial" w:cs="Arial"/>
          <w:sz w:val="22"/>
          <w:szCs w:val="22"/>
          <w:lang w:val="en-GB"/>
        </w:rPr>
      </w:pPr>
    </w:p>
    <w:p w14:paraId="3BB94699" w14:textId="77777777" w:rsidR="004A61A7" w:rsidRDefault="004A61A7" w:rsidP="004A61A7">
      <w:pPr>
        <w:jc w:val="both"/>
        <w:rPr>
          <w:rFonts w:ascii="Arial" w:hAnsi="Arial" w:cs="Arial"/>
          <w:sz w:val="22"/>
          <w:szCs w:val="22"/>
          <w:lang w:val="en-GB"/>
        </w:rPr>
      </w:pPr>
      <w:r>
        <w:rPr>
          <w:rFonts w:ascii="Arial" w:hAnsi="Arial" w:cs="Arial"/>
          <w:sz w:val="22"/>
          <w:szCs w:val="22"/>
          <w:lang w:val="en-GB"/>
        </w:rPr>
        <w:t xml:space="preserve">Outline the main changes introduced by the post-2005 reforms under Italian insolvency law and reflect on the extent to which these reforms have been successful in addressing the shortcomings evidenced in authoritative international publications, such as the World Bank’s </w:t>
      </w:r>
      <w:r>
        <w:rPr>
          <w:rFonts w:ascii="Arial" w:hAnsi="Arial" w:cs="Arial"/>
          <w:i/>
          <w:sz w:val="22"/>
          <w:szCs w:val="22"/>
          <w:lang w:val="en-GB"/>
        </w:rPr>
        <w:t xml:space="preserve">Doing Business </w:t>
      </w:r>
      <w:r>
        <w:rPr>
          <w:rFonts w:ascii="Arial" w:hAnsi="Arial" w:cs="Arial"/>
          <w:sz w:val="22"/>
          <w:szCs w:val="22"/>
          <w:lang w:val="en-GB"/>
        </w:rPr>
        <w:t xml:space="preserve">Report. </w:t>
      </w:r>
    </w:p>
    <w:p w14:paraId="4DD632DF" w14:textId="77777777" w:rsidR="004A61A7" w:rsidRDefault="004A61A7" w:rsidP="004A61A7">
      <w:pPr>
        <w:jc w:val="both"/>
        <w:rPr>
          <w:rFonts w:ascii="Arial" w:hAnsi="Arial" w:cs="Arial"/>
          <w:sz w:val="22"/>
          <w:szCs w:val="22"/>
          <w:lang w:val="en-GB"/>
        </w:rPr>
      </w:pPr>
    </w:p>
    <w:p w14:paraId="2D6A864E" w14:textId="6A5CD31F" w:rsidR="009B07AD" w:rsidRDefault="004A61A7" w:rsidP="004A61A7">
      <w:pPr>
        <w:jc w:val="both"/>
        <w:rPr>
          <w:rFonts w:ascii="Arial" w:hAnsi="Arial" w:cs="Arial"/>
          <w:sz w:val="22"/>
          <w:szCs w:val="22"/>
          <w:lang w:val="en-GB"/>
        </w:rPr>
      </w:pPr>
      <w:r>
        <w:rPr>
          <w:rFonts w:ascii="Arial" w:hAnsi="Arial" w:cs="Arial"/>
          <w:sz w:val="22"/>
          <w:szCs w:val="22"/>
          <w:lang w:val="en-GB"/>
        </w:rPr>
        <w:t>Please include reference to the changes recently approved by Parliament after the work of the</w:t>
      </w:r>
      <w:r w:rsidR="00C4163B">
        <w:rPr>
          <w:rFonts w:ascii="Arial" w:hAnsi="Arial" w:cs="Arial"/>
          <w:sz w:val="22"/>
          <w:szCs w:val="22"/>
          <w:lang w:val="en-GB"/>
        </w:rPr>
        <w:t xml:space="preserve"> “</w:t>
      </w:r>
      <w:r>
        <w:rPr>
          <w:rFonts w:ascii="Arial" w:hAnsi="Arial" w:cs="Arial"/>
          <w:sz w:val="22"/>
          <w:szCs w:val="22"/>
          <w:lang w:val="en-GB"/>
        </w:rPr>
        <w:t>Rordorf Commission</w:t>
      </w:r>
      <w:r w:rsidR="00C4163B">
        <w:rPr>
          <w:rFonts w:ascii="Arial" w:hAnsi="Arial" w:cs="Arial"/>
          <w:sz w:val="22"/>
          <w:szCs w:val="22"/>
          <w:lang w:val="en-GB"/>
        </w:rPr>
        <w:t>”</w:t>
      </w:r>
      <w:r>
        <w:rPr>
          <w:rFonts w:ascii="Arial" w:hAnsi="Arial" w:cs="Arial"/>
          <w:sz w:val="22"/>
          <w:szCs w:val="22"/>
          <w:lang w:val="en-GB"/>
        </w:rPr>
        <w:t xml:space="preserve"> (law 155/2017</w:t>
      </w:r>
      <w:r w:rsidR="00672D8E">
        <w:rPr>
          <w:rFonts w:ascii="Arial" w:hAnsi="Arial" w:cs="Arial"/>
          <w:sz w:val="22"/>
          <w:szCs w:val="22"/>
          <w:lang w:val="en-GB"/>
        </w:rPr>
        <w:t xml:space="preserve"> and legislative decree 14/2019</w:t>
      </w:r>
      <w:r>
        <w:rPr>
          <w:rFonts w:ascii="Arial" w:hAnsi="Arial" w:cs="Arial"/>
          <w:sz w:val="22"/>
          <w:szCs w:val="22"/>
          <w:lang w:val="en-GB"/>
        </w:rPr>
        <w:t>).</w:t>
      </w:r>
    </w:p>
    <w:p w14:paraId="6AAF2A63" w14:textId="77777777" w:rsidR="00007BF3" w:rsidRPr="002A37BB" w:rsidRDefault="00007BF3" w:rsidP="002A37BB">
      <w:pPr>
        <w:ind w:left="720" w:hanging="720"/>
        <w:jc w:val="both"/>
        <w:rPr>
          <w:rFonts w:ascii="Arial" w:hAnsi="Arial" w:cs="Arial"/>
          <w:sz w:val="22"/>
          <w:szCs w:val="22"/>
        </w:rPr>
      </w:pPr>
    </w:p>
    <w:p w14:paraId="0685209C" w14:textId="038EE09E" w:rsidR="00C60605" w:rsidRDefault="00C60605" w:rsidP="00C60605">
      <w:pPr>
        <w:jc w:val="both"/>
        <w:rPr>
          <w:rFonts w:ascii="Arial" w:hAnsi="Arial" w:cs="Arial"/>
          <w:sz w:val="22"/>
          <w:szCs w:val="22"/>
        </w:rPr>
      </w:pPr>
      <w:r w:rsidRPr="00882A34">
        <w:rPr>
          <w:rFonts w:ascii="Arial" w:hAnsi="Arial" w:cs="Arial"/>
          <w:sz w:val="22"/>
          <w:szCs w:val="22"/>
        </w:rPr>
        <w:t>Among main reforms approved by Italian parliament were:</w:t>
      </w:r>
    </w:p>
    <w:p w14:paraId="1B4BACF2" w14:textId="77777777" w:rsidR="005158C7" w:rsidRPr="00882A34" w:rsidRDefault="005158C7" w:rsidP="00C60605">
      <w:pPr>
        <w:jc w:val="both"/>
        <w:rPr>
          <w:rFonts w:ascii="Arial" w:hAnsi="Arial" w:cs="Arial"/>
          <w:sz w:val="22"/>
          <w:szCs w:val="22"/>
        </w:rPr>
      </w:pPr>
    </w:p>
    <w:p w14:paraId="3C40B6B2" w14:textId="77777777" w:rsidR="00C60605" w:rsidRPr="00882A34" w:rsidRDefault="00C60605" w:rsidP="00C60605">
      <w:pPr>
        <w:pStyle w:val="ListParagraph"/>
        <w:widowControl w:val="0"/>
        <w:numPr>
          <w:ilvl w:val="0"/>
          <w:numId w:val="21"/>
        </w:numPr>
        <w:autoSpaceDE w:val="0"/>
        <w:autoSpaceDN w:val="0"/>
        <w:contextualSpacing w:val="0"/>
        <w:jc w:val="both"/>
        <w:rPr>
          <w:rFonts w:ascii="Arial" w:hAnsi="Arial" w:cs="Arial"/>
          <w:sz w:val="22"/>
          <w:szCs w:val="22"/>
        </w:rPr>
      </w:pPr>
      <w:r w:rsidRPr="00882A34">
        <w:rPr>
          <w:rFonts w:ascii="Arial" w:hAnsi="Arial" w:cs="Arial"/>
          <w:b/>
          <w:bCs/>
          <w:sz w:val="22"/>
          <w:szCs w:val="22"/>
        </w:rPr>
        <w:t>Law 80/2005:</w:t>
      </w:r>
      <w:r w:rsidRPr="00882A34">
        <w:rPr>
          <w:rFonts w:ascii="Arial" w:hAnsi="Arial" w:cs="Arial"/>
          <w:sz w:val="22"/>
          <w:szCs w:val="22"/>
        </w:rPr>
        <w:t xml:space="preserve"> It regulated agreements with creditors and</w:t>
      </w:r>
      <w:r w:rsidRPr="00882A34">
        <w:rPr>
          <w:rFonts w:ascii="Arial" w:hAnsi="Arial" w:cs="Arial"/>
          <w:spacing w:val="1"/>
          <w:sz w:val="22"/>
          <w:szCs w:val="22"/>
        </w:rPr>
        <w:t xml:space="preserve"> </w:t>
      </w:r>
      <w:r w:rsidRPr="00882A34">
        <w:rPr>
          <w:rFonts w:ascii="Arial" w:hAnsi="Arial" w:cs="Arial"/>
          <w:sz w:val="22"/>
          <w:szCs w:val="22"/>
        </w:rPr>
        <w:t>reduced the “suspect period” varied from one year to six months prior to insolvency declaration in which transactions are subject to claw-back</w:t>
      </w:r>
      <w:r w:rsidRPr="00882A34">
        <w:rPr>
          <w:rFonts w:ascii="Arial" w:hAnsi="Arial" w:cs="Arial"/>
          <w:spacing w:val="-2"/>
          <w:sz w:val="22"/>
          <w:szCs w:val="22"/>
        </w:rPr>
        <w:t xml:space="preserve"> </w:t>
      </w:r>
      <w:r w:rsidRPr="00882A34">
        <w:rPr>
          <w:rFonts w:ascii="Arial" w:hAnsi="Arial" w:cs="Arial"/>
          <w:sz w:val="22"/>
          <w:szCs w:val="22"/>
        </w:rPr>
        <w:t>actions. In addition, it tried to encourage a rescue culture regarding Pre-insolvency compositions.</w:t>
      </w:r>
    </w:p>
    <w:p w14:paraId="19ADA315" w14:textId="77777777" w:rsidR="00C60605" w:rsidRPr="00882A34" w:rsidRDefault="00C60605" w:rsidP="00C60605">
      <w:pPr>
        <w:pStyle w:val="ListParagraph"/>
        <w:jc w:val="both"/>
        <w:rPr>
          <w:rFonts w:ascii="Arial" w:hAnsi="Arial" w:cs="Arial"/>
          <w:sz w:val="22"/>
          <w:szCs w:val="22"/>
        </w:rPr>
      </w:pPr>
      <w:r w:rsidRPr="00882A34">
        <w:rPr>
          <w:rFonts w:ascii="Arial" w:hAnsi="Arial" w:cs="Arial"/>
          <w:sz w:val="22"/>
          <w:szCs w:val="22"/>
        </w:rPr>
        <w:t xml:space="preserve"> </w:t>
      </w:r>
    </w:p>
    <w:p w14:paraId="35561CFE" w14:textId="77777777" w:rsidR="00C60605" w:rsidRPr="00882A34" w:rsidRDefault="00C60605" w:rsidP="00C60605">
      <w:pPr>
        <w:pStyle w:val="ListParagraph"/>
        <w:widowControl w:val="0"/>
        <w:numPr>
          <w:ilvl w:val="0"/>
          <w:numId w:val="21"/>
        </w:numPr>
        <w:autoSpaceDE w:val="0"/>
        <w:autoSpaceDN w:val="0"/>
        <w:contextualSpacing w:val="0"/>
        <w:jc w:val="both"/>
        <w:rPr>
          <w:rFonts w:ascii="Arial" w:hAnsi="Arial" w:cs="Arial"/>
          <w:sz w:val="22"/>
          <w:szCs w:val="22"/>
        </w:rPr>
      </w:pPr>
      <w:r w:rsidRPr="00882A34">
        <w:rPr>
          <w:rFonts w:ascii="Arial" w:hAnsi="Arial" w:cs="Arial"/>
          <w:b/>
          <w:bCs/>
          <w:sz w:val="22"/>
          <w:szCs w:val="22"/>
        </w:rPr>
        <w:t>Legislative decree 5/2006:</w:t>
      </w:r>
      <w:r w:rsidRPr="00882A34">
        <w:rPr>
          <w:rFonts w:ascii="Arial" w:hAnsi="Arial" w:cs="Arial"/>
          <w:sz w:val="22"/>
          <w:szCs w:val="22"/>
        </w:rPr>
        <w:t xml:space="preserve"> It change regulations about corporate liquidations and created the</w:t>
      </w:r>
      <w:r w:rsidRPr="00882A34">
        <w:rPr>
          <w:rFonts w:ascii="Arial" w:hAnsi="Arial" w:cs="Arial"/>
          <w:spacing w:val="-8"/>
          <w:sz w:val="22"/>
          <w:szCs w:val="22"/>
        </w:rPr>
        <w:t xml:space="preserve"> </w:t>
      </w:r>
      <w:proofErr w:type="spellStart"/>
      <w:r w:rsidRPr="00882A34">
        <w:rPr>
          <w:rFonts w:ascii="Arial" w:hAnsi="Arial" w:cs="Arial"/>
          <w:i/>
          <w:sz w:val="22"/>
          <w:szCs w:val="22"/>
        </w:rPr>
        <w:t>amministrazione</w:t>
      </w:r>
      <w:proofErr w:type="spellEnd"/>
      <w:r w:rsidRPr="00882A34">
        <w:rPr>
          <w:rFonts w:ascii="Arial" w:hAnsi="Arial" w:cs="Arial"/>
          <w:i/>
          <w:spacing w:val="-8"/>
          <w:sz w:val="22"/>
          <w:szCs w:val="22"/>
        </w:rPr>
        <w:t xml:space="preserve"> </w:t>
      </w:r>
      <w:proofErr w:type="spellStart"/>
      <w:r w:rsidRPr="00882A34">
        <w:rPr>
          <w:rFonts w:ascii="Arial" w:hAnsi="Arial" w:cs="Arial"/>
          <w:i/>
          <w:sz w:val="22"/>
          <w:szCs w:val="22"/>
        </w:rPr>
        <w:t>controllata</w:t>
      </w:r>
      <w:proofErr w:type="spellEnd"/>
      <w:r w:rsidRPr="00882A34">
        <w:rPr>
          <w:rFonts w:ascii="Arial" w:hAnsi="Arial" w:cs="Arial"/>
          <w:sz w:val="22"/>
          <w:szCs w:val="22"/>
        </w:rPr>
        <w:t>,</w:t>
      </w:r>
      <w:r w:rsidRPr="00882A34">
        <w:rPr>
          <w:rFonts w:ascii="Arial" w:hAnsi="Arial" w:cs="Arial"/>
          <w:spacing w:val="-8"/>
          <w:sz w:val="22"/>
          <w:szCs w:val="22"/>
        </w:rPr>
        <w:t xml:space="preserve"> </w:t>
      </w:r>
      <w:r w:rsidRPr="00882A34">
        <w:rPr>
          <w:rFonts w:ascii="Arial" w:hAnsi="Arial" w:cs="Arial"/>
          <w:sz w:val="22"/>
          <w:szCs w:val="22"/>
        </w:rPr>
        <w:t>a</w:t>
      </w:r>
      <w:r w:rsidRPr="00882A34">
        <w:rPr>
          <w:rFonts w:ascii="Arial" w:hAnsi="Arial" w:cs="Arial"/>
          <w:spacing w:val="-7"/>
          <w:sz w:val="22"/>
          <w:szCs w:val="22"/>
        </w:rPr>
        <w:t xml:space="preserve"> </w:t>
      </w:r>
      <w:r w:rsidRPr="00882A34">
        <w:rPr>
          <w:rFonts w:ascii="Arial" w:hAnsi="Arial" w:cs="Arial"/>
          <w:sz w:val="22"/>
          <w:szCs w:val="22"/>
        </w:rPr>
        <w:t>proceeding</w:t>
      </w:r>
      <w:r w:rsidRPr="00882A34">
        <w:rPr>
          <w:rFonts w:ascii="Arial" w:hAnsi="Arial" w:cs="Arial"/>
          <w:spacing w:val="-8"/>
          <w:sz w:val="22"/>
          <w:szCs w:val="22"/>
        </w:rPr>
        <w:t xml:space="preserve"> </w:t>
      </w:r>
      <w:r w:rsidRPr="00882A34">
        <w:rPr>
          <w:rFonts w:ascii="Arial" w:hAnsi="Arial" w:cs="Arial"/>
          <w:sz w:val="22"/>
          <w:szCs w:val="22"/>
        </w:rPr>
        <w:t>which</w:t>
      </w:r>
      <w:r w:rsidRPr="00882A34">
        <w:rPr>
          <w:rFonts w:ascii="Arial" w:hAnsi="Arial" w:cs="Arial"/>
          <w:spacing w:val="-7"/>
          <w:sz w:val="22"/>
          <w:szCs w:val="22"/>
        </w:rPr>
        <w:t xml:space="preserve"> </w:t>
      </w:r>
      <w:r w:rsidRPr="00882A34">
        <w:rPr>
          <w:rFonts w:ascii="Arial" w:hAnsi="Arial" w:cs="Arial"/>
          <w:sz w:val="22"/>
          <w:szCs w:val="22"/>
        </w:rPr>
        <w:t>gave</w:t>
      </w:r>
      <w:r w:rsidRPr="00882A34">
        <w:rPr>
          <w:rFonts w:ascii="Arial" w:hAnsi="Arial" w:cs="Arial"/>
          <w:spacing w:val="-8"/>
          <w:sz w:val="22"/>
          <w:szCs w:val="22"/>
        </w:rPr>
        <w:t xml:space="preserve"> </w:t>
      </w:r>
      <w:r w:rsidRPr="00882A34">
        <w:rPr>
          <w:rFonts w:ascii="Arial" w:hAnsi="Arial" w:cs="Arial"/>
          <w:sz w:val="22"/>
          <w:szCs w:val="22"/>
        </w:rPr>
        <w:t>to</w:t>
      </w:r>
      <w:r w:rsidRPr="00882A34">
        <w:rPr>
          <w:rFonts w:ascii="Arial" w:hAnsi="Arial" w:cs="Arial"/>
          <w:spacing w:val="-7"/>
          <w:sz w:val="22"/>
          <w:szCs w:val="22"/>
        </w:rPr>
        <w:t xml:space="preserve"> </w:t>
      </w:r>
      <w:r w:rsidRPr="00882A34">
        <w:rPr>
          <w:rFonts w:ascii="Arial" w:hAnsi="Arial" w:cs="Arial"/>
          <w:spacing w:val="-8"/>
          <w:sz w:val="22"/>
          <w:szCs w:val="22"/>
        </w:rPr>
        <w:t>enterprises</w:t>
      </w:r>
      <w:r w:rsidRPr="00882A34">
        <w:rPr>
          <w:rFonts w:ascii="Arial" w:hAnsi="Arial" w:cs="Arial"/>
          <w:spacing w:val="-7"/>
          <w:sz w:val="22"/>
          <w:szCs w:val="22"/>
        </w:rPr>
        <w:t xml:space="preserve"> </w:t>
      </w:r>
      <w:r w:rsidRPr="00882A34">
        <w:rPr>
          <w:rFonts w:ascii="Arial" w:hAnsi="Arial" w:cs="Arial"/>
          <w:sz w:val="22"/>
          <w:szCs w:val="22"/>
        </w:rPr>
        <w:t>in</w:t>
      </w:r>
      <w:r w:rsidRPr="00882A34">
        <w:rPr>
          <w:rFonts w:ascii="Arial" w:hAnsi="Arial" w:cs="Arial"/>
          <w:spacing w:val="-8"/>
          <w:sz w:val="22"/>
          <w:szCs w:val="22"/>
        </w:rPr>
        <w:t xml:space="preserve"> </w:t>
      </w:r>
      <w:r w:rsidRPr="00882A34">
        <w:rPr>
          <w:rFonts w:ascii="Arial" w:hAnsi="Arial" w:cs="Arial"/>
          <w:sz w:val="22"/>
          <w:szCs w:val="22"/>
        </w:rPr>
        <w:t>distress the possibility of continuing trading for up to two years under the supervision of a</w:t>
      </w:r>
      <w:r w:rsidRPr="00882A34">
        <w:rPr>
          <w:rFonts w:ascii="Arial" w:hAnsi="Arial" w:cs="Arial"/>
          <w:spacing w:val="1"/>
          <w:sz w:val="22"/>
          <w:szCs w:val="22"/>
        </w:rPr>
        <w:t xml:space="preserve"> </w:t>
      </w:r>
      <w:r w:rsidRPr="00882A34">
        <w:rPr>
          <w:rFonts w:ascii="Arial" w:hAnsi="Arial" w:cs="Arial"/>
          <w:sz w:val="22"/>
          <w:szCs w:val="22"/>
        </w:rPr>
        <w:t>receiver</w:t>
      </w:r>
      <w:r w:rsidRPr="00882A34">
        <w:rPr>
          <w:rFonts w:ascii="Arial" w:hAnsi="Arial" w:cs="Arial"/>
          <w:spacing w:val="-2"/>
          <w:sz w:val="22"/>
          <w:szCs w:val="22"/>
        </w:rPr>
        <w:t xml:space="preserve"> </w:t>
      </w:r>
      <w:r w:rsidRPr="00882A34">
        <w:rPr>
          <w:rFonts w:ascii="Arial" w:hAnsi="Arial" w:cs="Arial"/>
          <w:sz w:val="22"/>
          <w:szCs w:val="22"/>
        </w:rPr>
        <w:t>and</w:t>
      </w:r>
      <w:r w:rsidRPr="00882A34">
        <w:rPr>
          <w:rFonts w:ascii="Arial" w:hAnsi="Arial" w:cs="Arial"/>
          <w:spacing w:val="-1"/>
          <w:sz w:val="22"/>
          <w:szCs w:val="22"/>
        </w:rPr>
        <w:t xml:space="preserve"> </w:t>
      </w:r>
      <w:r w:rsidRPr="00882A34">
        <w:rPr>
          <w:rFonts w:ascii="Arial" w:hAnsi="Arial" w:cs="Arial"/>
          <w:sz w:val="22"/>
          <w:szCs w:val="22"/>
        </w:rPr>
        <w:t>the</w:t>
      </w:r>
      <w:r w:rsidRPr="00882A34">
        <w:rPr>
          <w:rFonts w:ascii="Arial" w:hAnsi="Arial" w:cs="Arial"/>
          <w:spacing w:val="-1"/>
          <w:sz w:val="22"/>
          <w:szCs w:val="22"/>
        </w:rPr>
        <w:t xml:space="preserve"> </w:t>
      </w:r>
      <w:r w:rsidRPr="00882A34">
        <w:rPr>
          <w:rFonts w:ascii="Arial" w:hAnsi="Arial" w:cs="Arial"/>
          <w:sz w:val="22"/>
          <w:szCs w:val="22"/>
        </w:rPr>
        <w:t>insolvency</w:t>
      </w:r>
      <w:r w:rsidRPr="00882A34">
        <w:rPr>
          <w:rFonts w:ascii="Arial" w:hAnsi="Arial" w:cs="Arial"/>
          <w:spacing w:val="-1"/>
          <w:sz w:val="22"/>
          <w:szCs w:val="22"/>
        </w:rPr>
        <w:t xml:space="preserve"> </w:t>
      </w:r>
      <w:r w:rsidRPr="00882A34">
        <w:rPr>
          <w:rFonts w:ascii="Arial" w:hAnsi="Arial" w:cs="Arial"/>
          <w:sz w:val="22"/>
          <w:szCs w:val="22"/>
        </w:rPr>
        <w:t xml:space="preserve">court. </w:t>
      </w:r>
    </w:p>
    <w:p w14:paraId="43A3173D" w14:textId="77777777" w:rsidR="00C60605" w:rsidRPr="00882A34" w:rsidRDefault="00C60605" w:rsidP="00C60605">
      <w:pPr>
        <w:pStyle w:val="ListParagraph"/>
        <w:jc w:val="both"/>
        <w:rPr>
          <w:rFonts w:ascii="Arial" w:hAnsi="Arial" w:cs="Arial"/>
          <w:sz w:val="22"/>
          <w:szCs w:val="22"/>
        </w:rPr>
      </w:pPr>
      <w:r w:rsidRPr="00882A34">
        <w:rPr>
          <w:rFonts w:ascii="Arial" w:hAnsi="Arial" w:cs="Arial"/>
          <w:sz w:val="22"/>
          <w:szCs w:val="22"/>
        </w:rPr>
        <w:t xml:space="preserve"> </w:t>
      </w:r>
    </w:p>
    <w:p w14:paraId="62BF4644" w14:textId="77777777" w:rsidR="00C60605" w:rsidRPr="00882A34" w:rsidRDefault="00C60605" w:rsidP="00C60605">
      <w:pPr>
        <w:pStyle w:val="ListParagraph"/>
        <w:widowControl w:val="0"/>
        <w:numPr>
          <w:ilvl w:val="0"/>
          <w:numId w:val="21"/>
        </w:numPr>
        <w:autoSpaceDE w:val="0"/>
        <w:autoSpaceDN w:val="0"/>
        <w:contextualSpacing w:val="0"/>
        <w:jc w:val="both"/>
        <w:rPr>
          <w:rFonts w:ascii="Arial" w:hAnsi="Arial" w:cs="Arial"/>
          <w:sz w:val="22"/>
          <w:szCs w:val="22"/>
        </w:rPr>
      </w:pPr>
      <w:r w:rsidRPr="00882A34">
        <w:rPr>
          <w:rFonts w:ascii="Arial" w:hAnsi="Arial" w:cs="Arial"/>
          <w:b/>
          <w:bCs/>
          <w:sz w:val="22"/>
          <w:szCs w:val="22"/>
        </w:rPr>
        <w:t>Legislative</w:t>
      </w:r>
      <w:r w:rsidRPr="00882A34">
        <w:rPr>
          <w:rFonts w:ascii="Arial" w:hAnsi="Arial" w:cs="Arial"/>
          <w:b/>
          <w:bCs/>
          <w:spacing w:val="-9"/>
          <w:sz w:val="22"/>
          <w:szCs w:val="22"/>
        </w:rPr>
        <w:t xml:space="preserve"> </w:t>
      </w:r>
      <w:r w:rsidRPr="00882A34">
        <w:rPr>
          <w:rFonts w:ascii="Arial" w:hAnsi="Arial" w:cs="Arial"/>
          <w:b/>
          <w:bCs/>
          <w:sz w:val="22"/>
          <w:szCs w:val="22"/>
        </w:rPr>
        <w:t>decree</w:t>
      </w:r>
      <w:r w:rsidRPr="00882A34">
        <w:rPr>
          <w:rFonts w:ascii="Arial" w:hAnsi="Arial" w:cs="Arial"/>
          <w:b/>
          <w:bCs/>
          <w:spacing w:val="-8"/>
          <w:sz w:val="22"/>
          <w:szCs w:val="22"/>
        </w:rPr>
        <w:t xml:space="preserve"> </w:t>
      </w:r>
      <w:r w:rsidRPr="00882A34">
        <w:rPr>
          <w:rFonts w:ascii="Arial" w:hAnsi="Arial" w:cs="Arial"/>
          <w:b/>
          <w:bCs/>
          <w:sz w:val="22"/>
          <w:szCs w:val="22"/>
        </w:rPr>
        <w:t>169/2007:</w:t>
      </w:r>
      <w:r w:rsidRPr="00882A34">
        <w:rPr>
          <w:rFonts w:ascii="Arial" w:hAnsi="Arial" w:cs="Arial"/>
          <w:sz w:val="22"/>
          <w:szCs w:val="22"/>
        </w:rPr>
        <w:t xml:space="preserve"> It reformed</w:t>
      </w:r>
      <w:r w:rsidRPr="00882A34">
        <w:rPr>
          <w:rFonts w:ascii="Arial" w:hAnsi="Arial" w:cs="Arial"/>
          <w:spacing w:val="-9"/>
          <w:sz w:val="22"/>
          <w:szCs w:val="22"/>
        </w:rPr>
        <w:t xml:space="preserve"> </w:t>
      </w:r>
      <w:r w:rsidRPr="00882A34">
        <w:rPr>
          <w:rFonts w:ascii="Arial" w:hAnsi="Arial" w:cs="Arial"/>
          <w:sz w:val="22"/>
          <w:szCs w:val="22"/>
        </w:rPr>
        <w:t>the</w:t>
      </w:r>
      <w:r w:rsidRPr="00882A34">
        <w:rPr>
          <w:rFonts w:ascii="Arial" w:hAnsi="Arial" w:cs="Arial"/>
          <w:spacing w:val="-8"/>
          <w:sz w:val="22"/>
          <w:szCs w:val="22"/>
        </w:rPr>
        <w:t xml:space="preserve"> </w:t>
      </w:r>
      <w:r w:rsidRPr="00882A34">
        <w:rPr>
          <w:rFonts w:ascii="Arial" w:hAnsi="Arial" w:cs="Arial"/>
          <w:sz w:val="22"/>
          <w:szCs w:val="22"/>
        </w:rPr>
        <w:t>procedure</w:t>
      </w:r>
      <w:r w:rsidRPr="00882A34">
        <w:rPr>
          <w:rFonts w:ascii="Arial" w:hAnsi="Arial" w:cs="Arial"/>
          <w:spacing w:val="-9"/>
          <w:sz w:val="22"/>
          <w:szCs w:val="22"/>
        </w:rPr>
        <w:t xml:space="preserve"> </w:t>
      </w:r>
      <w:r w:rsidRPr="00882A34">
        <w:rPr>
          <w:rFonts w:ascii="Arial" w:hAnsi="Arial" w:cs="Arial"/>
          <w:sz w:val="22"/>
          <w:szCs w:val="22"/>
        </w:rPr>
        <w:t>of</w:t>
      </w:r>
      <w:r w:rsidRPr="00882A34">
        <w:rPr>
          <w:rFonts w:ascii="Arial" w:hAnsi="Arial" w:cs="Arial"/>
          <w:spacing w:val="-8"/>
          <w:sz w:val="22"/>
          <w:szCs w:val="22"/>
        </w:rPr>
        <w:t xml:space="preserve"> </w:t>
      </w:r>
      <w:r w:rsidRPr="00882A34">
        <w:rPr>
          <w:rFonts w:ascii="Arial" w:hAnsi="Arial" w:cs="Arial"/>
          <w:sz w:val="22"/>
          <w:szCs w:val="22"/>
        </w:rPr>
        <w:t>forced</w:t>
      </w:r>
      <w:r w:rsidRPr="00882A34">
        <w:rPr>
          <w:rFonts w:ascii="Arial" w:hAnsi="Arial" w:cs="Arial"/>
          <w:spacing w:val="-1"/>
          <w:sz w:val="22"/>
          <w:szCs w:val="22"/>
        </w:rPr>
        <w:t xml:space="preserve"> </w:t>
      </w:r>
      <w:r w:rsidRPr="00882A34">
        <w:rPr>
          <w:rFonts w:ascii="Arial" w:hAnsi="Arial" w:cs="Arial"/>
          <w:sz w:val="22"/>
          <w:szCs w:val="22"/>
        </w:rPr>
        <w:t>administrative</w:t>
      </w:r>
      <w:r w:rsidRPr="00882A34">
        <w:rPr>
          <w:rFonts w:ascii="Arial" w:hAnsi="Arial" w:cs="Arial"/>
          <w:spacing w:val="-2"/>
          <w:sz w:val="22"/>
          <w:szCs w:val="22"/>
        </w:rPr>
        <w:t xml:space="preserve"> </w:t>
      </w:r>
      <w:r w:rsidRPr="00882A34">
        <w:rPr>
          <w:rFonts w:ascii="Arial" w:hAnsi="Arial" w:cs="Arial"/>
          <w:sz w:val="22"/>
          <w:szCs w:val="22"/>
        </w:rPr>
        <w:t>liquidation</w:t>
      </w:r>
      <w:r w:rsidRPr="00882A34">
        <w:rPr>
          <w:rFonts w:ascii="Arial" w:hAnsi="Arial" w:cs="Arial"/>
          <w:i/>
          <w:sz w:val="22"/>
          <w:szCs w:val="22"/>
        </w:rPr>
        <w:t xml:space="preserve"> (</w:t>
      </w:r>
      <w:proofErr w:type="spellStart"/>
      <w:r w:rsidRPr="00882A34">
        <w:rPr>
          <w:rFonts w:ascii="Arial" w:hAnsi="Arial" w:cs="Arial"/>
          <w:i/>
          <w:sz w:val="22"/>
          <w:szCs w:val="22"/>
        </w:rPr>
        <w:t>liquidazione</w:t>
      </w:r>
      <w:proofErr w:type="spellEnd"/>
      <w:r w:rsidRPr="00882A34">
        <w:rPr>
          <w:rFonts w:ascii="Arial" w:hAnsi="Arial" w:cs="Arial"/>
          <w:i/>
          <w:spacing w:val="-9"/>
          <w:sz w:val="22"/>
          <w:szCs w:val="22"/>
        </w:rPr>
        <w:t xml:space="preserve"> </w:t>
      </w:r>
      <w:proofErr w:type="spellStart"/>
      <w:r w:rsidRPr="00882A34">
        <w:rPr>
          <w:rFonts w:ascii="Arial" w:hAnsi="Arial" w:cs="Arial"/>
          <w:i/>
          <w:sz w:val="22"/>
          <w:szCs w:val="22"/>
        </w:rPr>
        <w:t>coatta</w:t>
      </w:r>
      <w:proofErr w:type="spellEnd"/>
      <w:r w:rsidRPr="00882A34">
        <w:rPr>
          <w:rFonts w:ascii="Arial" w:hAnsi="Arial" w:cs="Arial"/>
          <w:i/>
          <w:spacing w:val="-58"/>
          <w:sz w:val="22"/>
          <w:szCs w:val="22"/>
        </w:rPr>
        <w:t xml:space="preserve"> </w:t>
      </w:r>
      <w:proofErr w:type="spellStart"/>
      <w:r w:rsidRPr="00882A34">
        <w:rPr>
          <w:rFonts w:ascii="Arial" w:hAnsi="Arial" w:cs="Arial"/>
          <w:i/>
          <w:sz w:val="22"/>
          <w:szCs w:val="22"/>
        </w:rPr>
        <w:t>amministrativa</w:t>
      </w:r>
      <w:proofErr w:type="spellEnd"/>
      <w:r w:rsidRPr="00882A34">
        <w:rPr>
          <w:rFonts w:ascii="Arial" w:hAnsi="Arial" w:cs="Arial"/>
          <w:i/>
          <w:sz w:val="22"/>
          <w:szCs w:val="22"/>
        </w:rPr>
        <w:t xml:space="preserve">). </w:t>
      </w:r>
      <w:r w:rsidRPr="00882A34">
        <w:rPr>
          <w:rFonts w:ascii="Arial" w:hAnsi="Arial" w:cs="Arial"/>
          <w:iCs/>
          <w:sz w:val="22"/>
          <w:szCs w:val="22"/>
        </w:rPr>
        <w:t xml:space="preserve">Furthermore, this decree removed the possibility of the court declaring the commencing of a corporate liquidation proceeding if it should not meet the eligibility criteria. </w:t>
      </w:r>
    </w:p>
    <w:p w14:paraId="5EF78700" w14:textId="77777777" w:rsidR="00C60605" w:rsidRPr="00882A34" w:rsidRDefault="00C60605" w:rsidP="00C60605">
      <w:pPr>
        <w:pStyle w:val="ListParagraph"/>
        <w:jc w:val="both"/>
        <w:rPr>
          <w:rFonts w:ascii="Arial" w:hAnsi="Arial" w:cs="Arial"/>
          <w:sz w:val="22"/>
          <w:szCs w:val="22"/>
        </w:rPr>
      </w:pPr>
    </w:p>
    <w:p w14:paraId="59030535" w14:textId="77777777" w:rsidR="00C60605" w:rsidRPr="00882A34" w:rsidRDefault="00C60605" w:rsidP="00C60605">
      <w:pPr>
        <w:pStyle w:val="ListParagraph"/>
        <w:widowControl w:val="0"/>
        <w:numPr>
          <w:ilvl w:val="0"/>
          <w:numId w:val="21"/>
        </w:numPr>
        <w:autoSpaceDE w:val="0"/>
        <w:autoSpaceDN w:val="0"/>
        <w:contextualSpacing w:val="0"/>
        <w:jc w:val="both"/>
        <w:rPr>
          <w:rFonts w:ascii="Arial" w:hAnsi="Arial" w:cs="Arial"/>
          <w:sz w:val="22"/>
          <w:szCs w:val="22"/>
        </w:rPr>
      </w:pPr>
      <w:r w:rsidRPr="00882A34">
        <w:rPr>
          <w:rFonts w:ascii="Arial" w:hAnsi="Arial" w:cs="Arial"/>
          <w:b/>
          <w:bCs/>
          <w:sz w:val="22"/>
          <w:szCs w:val="22"/>
        </w:rPr>
        <w:t>Law 134/2012:</w:t>
      </w:r>
      <w:r w:rsidRPr="00882A34">
        <w:rPr>
          <w:rFonts w:ascii="Arial" w:hAnsi="Arial" w:cs="Arial"/>
          <w:sz w:val="22"/>
          <w:szCs w:val="22"/>
        </w:rPr>
        <w:t xml:space="preserve"> This regulation introduced material innovations regarding pre-insolvency</w:t>
      </w:r>
      <w:r w:rsidRPr="00882A34">
        <w:rPr>
          <w:rFonts w:ascii="Arial" w:hAnsi="Arial" w:cs="Arial"/>
          <w:spacing w:val="1"/>
          <w:sz w:val="22"/>
          <w:szCs w:val="22"/>
        </w:rPr>
        <w:t xml:space="preserve"> </w:t>
      </w:r>
      <w:r w:rsidRPr="00882A34">
        <w:rPr>
          <w:rFonts w:ascii="Arial" w:hAnsi="Arial" w:cs="Arial"/>
          <w:sz w:val="22"/>
          <w:szCs w:val="22"/>
        </w:rPr>
        <w:t xml:space="preserve">compositions, using the </w:t>
      </w:r>
      <w:proofErr w:type="spellStart"/>
      <w:r w:rsidRPr="00882A34">
        <w:rPr>
          <w:rFonts w:ascii="Arial" w:hAnsi="Arial" w:cs="Arial"/>
          <w:i/>
          <w:iCs/>
          <w:sz w:val="22"/>
          <w:szCs w:val="22"/>
        </w:rPr>
        <w:t>concordato</w:t>
      </w:r>
      <w:proofErr w:type="spellEnd"/>
      <w:r w:rsidRPr="00882A34">
        <w:rPr>
          <w:rFonts w:ascii="Arial" w:hAnsi="Arial" w:cs="Arial"/>
          <w:i/>
          <w:iCs/>
          <w:sz w:val="22"/>
          <w:szCs w:val="22"/>
        </w:rPr>
        <w:t xml:space="preserve"> in </w:t>
      </w:r>
      <w:proofErr w:type="spellStart"/>
      <w:r w:rsidRPr="00882A34">
        <w:rPr>
          <w:rFonts w:ascii="Arial" w:hAnsi="Arial" w:cs="Arial"/>
          <w:i/>
          <w:iCs/>
          <w:sz w:val="22"/>
          <w:szCs w:val="22"/>
        </w:rPr>
        <w:t>bianco</w:t>
      </w:r>
      <w:proofErr w:type="spellEnd"/>
      <w:r w:rsidRPr="00882A34">
        <w:rPr>
          <w:rFonts w:ascii="Arial" w:hAnsi="Arial" w:cs="Arial"/>
          <w:sz w:val="22"/>
          <w:szCs w:val="22"/>
        </w:rPr>
        <w:t>, introducing new rules for post-commencement financing, and, imposing the principle of tacit consent for the determination of the creditors’ quorum needed to approve the plan.</w:t>
      </w:r>
    </w:p>
    <w:p w14:paraId="63EBA5E8" w14:textId="77777777" w:rsidR="00C60605" w:rsidRPr="00882A34" w:rsidRDefault="00C60605" w:rsidP="00C60605">
      <w:pPr>
        <w:pStyle w:val="ListParagraph"/>
        <w:jc w:val="both"/>
        <w:rPr>
          <w:rFonts w:ascii="Arial" w:hAnsi="Arial" w:cs="Arial"/>
          <w:sz w:val="22"/>
          <w:szCs w:val="22"/>
        </w:rPr>
      </w:pPr>
    </w:p>
    <w:p w14:paraId="6248A572" w14:textId="77777777" w:rsidR="00C60605" w:rsidRPr="00882A34" w:rsidRDefault="00C60605" w:rsidP="00C60605">
      <w:pPr>
        <w:pStyle w:val="ListParagraph"/>
        <w:widowControl w:val="0"/>
        <w:numPr>
          <w:ilvl w:val="0"/>
          <w:numId w:val="21"/>
        </w:numPr>
        <w:autoSpaceDE w:val="0"/>
        <w:autoSpaceDN w:val="0"/>
        <w:contextualSpacing w:val="0"/>
        <w:jc w:val="both"/>
        <w:rPr>
          <w:rFonts w:ascii="Arial" w:hAnsi="Arial" w:cs="Arial"/>
          <w:sz w:val="22"/>
          <w:szCs w:val="22"/>
        </w:rPr>
      </w:pPr>
      <w:r w:rsidRPr="00882A34">
        <w:rPr>
          <w:rFonts w:ascii="Arial" w:hAnsi="Arial" w:cs="Arial"/>
          <w:b/>
          <w:bCs/>
          <w:sz w:val="22"/>
          <w:szCs w:val="22"/>
        </w:rPr>
        <w:t>Law decree 69/2013 and law 132/2015:</w:t>
      </w:r>
      <w:r w:rsidRPr="00882A34">
        <w:rPr>
          <w:rFonts w:ascii="Arial" w:hAnsi="Arial" w:cs="Arial"/>
          <w:sz w:val="22"/>
          <w:szCs w:val="22"/>
        </w:rPr>
        <w:t xml:space="preserve"> Both impulse changes to pre-</w:t>
      </w:r>
      <w:r w:rsidRPr="00882A34">
        <w:rPr>
          <w:rFonts w:ascii="Arial" w:hAnsi="Arial" w:cs="Arial"/>
          <w:spacing w:val="-59"/>
          <w:sz w:val="22"/>
          <w:szCs w:val="22"/>
        </w:rPr>
        <w:t xml:space="preserve"> </w:t>
      </w:r>
      <w:r w:rsidRPr="00882A34">
        <w:rPr>
          <w:rFonts w:ascii="Arial" w:hAnsi="Arial" w:cs="Arial"/>
          <w:sz w:val="22"/>
          <w:szCs w:val="22"/>
        </w:rPr>
        <w:t>insolvency</w:t>
      </w:r>
      <w:r w:rsidRPr="00882A34">
        <w:rPr>
          <w:rFonts w:ascii="Arial" w:hAnsi="Arial" w:cs="Arial"/>
          <w:spacing w:val="-2"/>
          <w:sz w:val="22"/>
          <w:szCs w:val="22"/>
        </w:rPr>
        <w:t xml:space="preserve"> </w:t>
      </w:r>
      <w:r w:rsidRPr="00882A34">
        <w:rPr>
          <w:rFonts w:ascii="Arial" w:hAnsi="Arial" w:cs="Arial"/>
          <w:sz w:val="22"/>
          <w:szCs w:val="22"/>
        </w:rPr>
        <w:t>compositions</w:t>
      </w:r>
      <w:r w:rsidRPr="00882A34">
        <w:rPr>
          <w:rFonts w:ascii="Arial" w:hAnsi="Arial" w:cs="Arial"/>
          <w:spacing w:val="-2"/>
          <w:sz w:val="22"/>
          <w:szCs w:val="22"/>
        </w:rPr>
        <w:t xml:space="preserve"> </w:t>
      </w:r>
      <w:r w:rsidRPr="00882A34">
        <w:rPr>
          <w:rFonts w:ascii="Arial" w:hAnsi="Arial" w:cs="Arial"/>
          <w:sz w:val="22"/>
          <w:szCs w:val="22"/>
        </w:rPr>
        <w:t>and</w:t>
      </w:r>
      <w:r w:rsidRPr="00882A34">
        <w:rPr>
          <w:rFonts w:ascii="Arial" w:hAnsi="Arial" w:cs="Arial"/>
          <w:spacing w:val="-2"/>
          <w:sz w:val="22"/>
          <w:szCs w:val="22"/>
        </w:rPr>
        <w:t xml:space="preserve"> </w:t>
      </w:r>
      <w:r w:rsidRPr="00882A34">
        <w:rPr>
          <w:rFonts w:ascii="Arial" w:hAnsi="Arial" w:cs="Arial"/>
          <w:sz w:val="22"/>
          <w:szCs w:val="22"/>
        </w:rPr>
        <w:t>debt</w:t>
      </w:r>
      <w:r w:rsidRPr="00882A34">
        <w:rPr>
          <w:rFonts w:ascii="Arial" w:hAnsi="Arial" w:cs="Arial"/>
          <w:spacing w:val="-2"/>
          <w:sz w:val="22"/>
          <w:szCs w:val="22"/>
        </w:rPr>
        <w:t xml:space="preserve"> </w:t>
      </w:r>
      <w:r w:rsidRPr="00882A34">
        <w:rPr>
          <w:rFonts w:ascii="Arial" w:hAnsi="Arial" w:cs="Arial"/>
          <w:sz w:val="22"/>
          <w:szCs w:val="22"/>
        </w:rPr>
        <w:t>restructuring</w:t>
      </w:r>
      <w:r w:rsidRPr="00882A34">
        <w:rPr>
          <w:rFonts w:ascii="Arial" w:hAnsi="Arial" w:cs="Arial"/>
          <w:spacing w:val="-1"/>
          <w:sz w:val="22"/>
          <w:szCs w:val="22"/>
        </w:rPr>
        <w:t xml:space="preserve"> </w:t>
      </w:r>
      <w:r w:rsidRPr="00882A34">
        <w:rPr>
          <w:rFonts w:ascii="Arial" w:hAnsi="Arial" w:cs="Arial"/>
          <w:sz w:val="22"/>
          <w:szCs w:val="22"/>
        </w:rPr>
        <w:t>arrangements. For example, it re-introduced the</w:t>
      </w:r>
      <w:r w:rsidRPr="00882A34">
        <w:rPr>
          <w:rFonts w:ascii="Arial" w:hAnsi="Arial" w:cs="Arial"/>
          <w:spacing w:val="1"/>
          <w:sz w:val="22"/>
          <w:szCs w:val="22"/>
        </w:rPr>
        <w:t xml:space="preserve"> </w:t>
      </w:r>
      <w:r w:rsidRPr="00882A34">
        <w:rPr>
          <w:rFonts w:ascii="Arial" w:hAnsi="Arial" w:cs="Arial"/>
          <w:sz w:val="22"/>
          <w:szCs w:val="22"/>
        </w:rPr>
        <w:t>obligation</w:t>
      </w:r>
      <w:r w:rsidRPr="00882A34">
        <w:rPr>
          <w:rFonts w:ascii="Arial" w:hAnsi="Arial" w:cs="Arial"/>
          <w:spacing w:val="-3"/>
          <w:sz w:val="22"/>
          <w:szCs w:val="22"/>
        </w:rPr>
        <w:t xml:space="preserve"> </w:t>
      </w:r>
      <w:r w:rsidRPr="00882A34">
        <w:rPr>
          <w:rFonts w:ascii="Arial" w:hAnsi="Arial" w:cs="Arial"/>
          <w:sz w:val="22"/>
          <w:szCs w:val="22"/>
        </w:rPr>
        <w:t>to</w:t>
      </w:r>
      <w:r w:rsidRPr="00882A34">
        <w:rPr>
          <w:rFonts w:ascii="Arial" w:hAnsi="Arial" w:cs="Arial"/>
          <w:spacing w:val="-2"/>
          <w:sz w:val="22"/>
          <w:szCs w:val="22"/>
        </w:rPr>
        <w:t xml:space="preserve"> </w:t>
      </w:r>
      <w:r w:rsidRPr="00882A34">
        <w:rPr>
          <w:rFonts w:ascii="Arial" w:hAnsi="Arial" w:cs="Arial"/>
          <w:sz w:val="22"/>
          <w:szCs w:val="22"/>
        </w:rPr>
        <w:t>pay</w:t>
      </w:r>
      <w:r w:rsidRPr="00882A34">
        <w:rPr>
          <w:rFonts w:ascii="Arial" w:hAnsi="Arial" w:cs="Arial"/>
          <w:spacing w:val="-2"/>
          <w:sz w:val="22"/>
          <w:szCs w:val="22"/>
        </w:rPr>
        <w:t xml:space="preserve"> </w:t>
      </w:r>
      <w:r w:rsidRPr="00882A34">
        <w:rPr>
          <w:rFonts w:ascii="Arial" w:hAnsi="Arial" w:cs="Arial"/>
          <w:sz w:val="22"/>
          <w:szCs w:val="22"/>
        </w:rPr>
        <w:t>a</w:t>
      </w:r>
      <w:r w:rsidRPr="00882A34">
        <w:rPr>
          <w:rFonts w:ascii="Arial" w:hAnsi="Arial" w:cs="Arial"/>
          <w:spacing w:val="-2"/>
          <w:sz w:val="22"/>
          <w:szCs w:val="22"/>
        </w:rPr>
        <w:t xml:space="preserve"> </w:t>
      </w:r>
      <w:r w:rsidRPr="00882A34">
        <w:rPr>
          <w:rFonts w:ascii="Arial" w:hAnsi="Arial" w:cs="Arial"/>
          <w:sz w:val="22"/>
          <w:szCs w:val="22"/>
        </w:rPr>
        <w:t>fixed</w:t>
      </w:r>
      <w:r w:rsidRPr="00882A34">
        <w:rPr>
          <w:rFonts w:ascii="Arial" w:hAnsi="Arial" w:cs="Arial"/>
          <w:spacing w:val="-2"/>
          <w:sz w:val="22"/>
          <w:szCs w:val="22"/>
        </w:rPr>
        <w:t xml:space="preserve"> </w:t>
      </w:r>
      <w:r w:rsidRPr="00882A34">
        <w:rPr>
          <w:rFonts w:ascii="Arial" w:hAnsi="Arial" w:cs="Arial"/>
          <w:sz w:val="22"/>
          <w:szCs w:val="22"/>
        </w:rPr>
        <w:t>percentage</w:t>
      </w:r>
      <w:r w:rsidRPr="00882A34">
        <w:rPr>
          <w:rFonts w:ascii="Arial" w:hAnsi="Arial" w:cs="Arial"/>
          <w:spacing w:val="-2"/>
          <w:sz w:val="22"/>
          <w:szCs w:val="22"/>
        </w:rPr>
        <w:t xml:space="preserve"> </w:t>
      </w:r>
      <w:r w:rsidRPr="00882A34">
        <w:rPr>
          <w:rFonts w:ascii="Arial" w:hAnsi="Arial" w:cs="Arial"/>
          <w:sz w:val="22"/>
          <w:szCs w:val="22"/>
        </w:rPr>
        <w:t>(20%)</w:t>
      </w:r>
      <w:r w:rsidRPr="00882A34">
        <w:rPr>
          <w:rFonts w:ascii="Arial" w:hAnsi="Arial" w:cs="Arial"/>
          <w:spacing w:val="-3"/>
          <w:sz w:val="22"/>
          <w:szCs w:val="22"/>
        </w:rPr>
        <w:t xml:space="preserve"> </w:t>
      </w:r>
      <w:r w:rsidRPr="00882A34">
        <w:rPr>
          <w:rFonts w:ascii="Arial" w:hAnsi="Arial" w:cs="Arial"/>
          <w:sz w:val="22"/>
          <w:szCs w:val="22"/>
        </w:rPr>
        <w:t>of</w:t>
      </w:r>
      <w:r w:rsidRPr="00882A34">
        <w:rPr>
          <w:rFonts w:ascii="Arial" w:hAnsi="Arial" w:cs="Arial"/>
          <w:spacing w:val="-2"/>
          <w:sz w:val="22"/>
          <w:szCs w:val="22"/>
        </w:rPr>
        <w:t xml:space="preserve"> </w:t>
      </w:r>
      <w:r w:rsidRPr="00882A34">
        <w:rPr>
          <w:rFonts w:ascii="Arial" w:hAnsi="Arial" w:cs="Arial"/>
          <w:sz w:val="22"/>
          <w:szCs w:val="22"/>
        </w:rPr>
        <w:t>unsecured</w:t>
      </w:r>
      <w:r w:rsidRPr="00882A34">
        <w:rPr>
          <w:rFonts w:ascii="Arial" w:hAnsi="Arial" w:cs="Arial"/>
          <w:spacing w:val="-2"/>
          <w:sz w:val="22"/>
          <w:szCs w:val="22"/>
        </w:rPr>
        <w:t xml:space="preserve"> </w:t>
      </w:r>
      <w:r w:rsidRPr="00882A34">
        <w:rPr>
          <w:rFonts w:ascii="Arial" w:hAnsi="Arial" w:cs="Arial"/>
          <w:sz w:val="22"/>
          <w:szCs w:val="22"/>
        </w:rPr>
        <w:t>creditors’</w:t>
      </w:r>
      <w:r w:rsidRPr="00882A34">
        <w:rPr>
          <w:rFonts w:ascii="Arial" w:hAnsi="Arial" w:cs="Arial"/>
          <w:spacing w:val="-2"/>
          <w:sz w:val="22"/>
          <w:szCs w:val="22"/>
        </w:rPr>
        <w:t xml:space="preserve"> </w:t>
      </w:r>
      <w:proofErr w:type="spellStart"/>
      <w:r w:rsidRPr="00882A34">
        <w:rPr>
          <w:rFonts w:ascii="Arial" w:hAnsi="Arial" w:cs="Arial"/>
          <w:sz w:val="22"/>
          <w:szCs w:val="22"/>
        </w:rPr>
        <w:t>claims.The</w:t>
      </w:r>
      <w:proofErr w:type="spellEnd"/>
      <w:r w:rsidRPr="00882A34">
        <w:rPr>
          <w:rFonts w:ascii="Arial" w:hAnsi="Arial" w:cs="Arial"/>
          <w:sz w:val="22"/>
          <w:szCs w:val="22"/>
        </w:rPr>
        <w:t xml:space="preserve"> latter law marked the end of the use of Pre-insolvency compositions.</w:t>
      </w:r>
    </w:p>
    <w:p w14:paraId="18000366" w14:textId="77777777" w:rsidR="00C60605" w:rsidRPr="00882A34" w:rsidRDefault="00C60605" w:rsidP="00C60605">
      <w:pPr>
        <w:jc w:val="both"/>
        <w:rPr>
          <w:rFonts w:ascii="Arial" w:hAnsi="Arial" w:cs="Arial"/>
          <w:sz w:val="22"/>
          <w:szCs w:val="22"/>
        </w:rPr>
      </w:pPr>
    </w:p>
    <w:p w14:paraId="538F12A1" w14:textId="6BF45CE0" w:rsidR="00C60605" w:rsidRPr="00882A34" w:rsidRDefault="00C60605" w:rsidP="00C60605">
      <w:pPr>
        <w:jc w:val="both"/>
        <w:rPr>
          <w:rFonts w:ascii="Arial" w:hAnsi="Arial" w:cs="Arial"/>
          <w:sz w:val="22"/>
          <w:szCs w:val="22"/>
        </w:rPr>
      </w:pPr>
      <w:r w:rsidRPr="00882A34">
        <w:rPr>
          <w:rFonts w:ascii="Arial" w:hAnsi="Arial" w:cs="Arial"/>
          <w:sz w:val="22"/>
          <w:szCs w:val="22"/>
        </w:rPr>
        <w:t>However, according to the World Bank 2019 Doing Business Report, an Italian first-instance court takes an average of 1,120 days (almost three years) to enforce a contract, of which 840 days (two years and three months) are for trial to reach a judgment and 270 days (nine months) for enforcing that judgment. Same results appeared in the World Bank 2020 Doing Business Report.</w:t>
      </w:r>
    </w:p>
    <w:p w14:paraId="189BFDA8" w14:textId="77777777" w:rsidR="00C60605" w:rsidRPr="00882A34" w:rsidRDefault="00C60605" w:rsidP="00C60605">
      <w:pPr>
        <w:jc w:val="both"/>
        <w:rPr>
          <w:rFonts w:ascii="Arial" w:hAnsi="Arial" w:cs="Arial"/>
          <w:sz w:val="22"/>
          <w:szCs w:val="22"/>
        </w:rPr>
      </w:pPr>
    </w:p>
    <w:p w14:paraId="32CA9BA2" w14:textId="335EC84F" w:rsidR="00C60605" w:rsidRPr="00882A34" w:rsidRDefault="00C60605" w:rsidP="00C60605">
      <w:pPr>
        <w:jc w:val="both"/>
        <w:rPr>
          <w:rFonts w:ascii="Arial" w:hAnsi="Arial" w:cs="Arial"/>
          <w:sz w:val="22"/>
          <w:szCs w:val="22"/>
        </w:rPr>
      </w:pPr>
      <w:r w:rsidRPr="00882A34">
        <w:rPr>
          <w:rFonts w:ascii="Arial" w:hAnsi="Arial" w:cs="Arial"/>
          <w:sz w:val="22"/>
          <w:szCs w:val="22"/>
        </w:rPr>
        <w:t>For this reason, the Italian government has enacted two main regulations to improve this data.</w:t>
      </w:r>
    </w:p>
    <w:p w14:paraId="563753F7" w14:textId="77777777" w:rsidR="00C60605" w:rsidRPr="00882A34" w:rsidRDefault="00C60605" w:rsidP="00C60605">
      <w:pPr>
        <w:jc w:val="both"/>
        <w:rPr>
          <w:rFonts w:ascii="Arial" w:hAnsi="Arial" w:cs="Arial"/>
          <w:sz w:val="22"/>
          <w:szCs w:val="22"/>
        </w:rPr>
      </w:pPr>
    </w:p>
    <w:p w14:paraId="21C153F8" w14:textId="77777777" w:rsidR="00C60605" w:rsidRPr="00882A34" w:rsidRDefault="00C60605" w:rsidP="00C60605">
      <w:pPr>
        <w:pStyle w:val="ListParagraph"/>
        <w:widowControl w:val="0"/>
        <w:numPr>
          <w:ilvl w:val="0"/>
          <w:numId w:val="21"/>
        </w:numPr>
        <w:autoSpaceDE w:val="0"/>
        <w:autoSpaceDN w:val="0"/>
        <w:contextualSpacing w:val="0"/>
        <w:jc w:val="both"/>
        <w:rPr>
          <w:rFonts w:ascii="Arial" w:hAnsi="Arial" w:cs="Arial"/>
          <w:sz w:val="22"/>
          <w:szCs w:val="22"/>
        </w:rPr>
      </w:pPr>
      <w:r w:rsidRPr="00882A34">
        <w:rPr>
          <w:rFonts w:ascii="Arial" w:hAnsi="Arial" w:cs="Arial"/>
          <w:b/>
          <w:bCs/>
          <w:sz w:val="22"/>
          <w:szCs w:val="22"/>
        </w:rPr>
        <w:t>Law 155/2017 (</w:t>
      </w:r>
      <w:proofErr w:type="spellStart"/>
      <w:r w:rsidRPr="00882A34">
        <w:rPr>
          <w:rFonts w:ascii="Arial" w:hAnsi="Arial" w:cs="Arial"/>
          <w:b/>
          <w:bCs/>
          <w:sz w:val="22"/>
          <w:szCs w:val="22"/>
        </w:rPr>
        <w:t>Rodorf</w:t>
      </w:r>
      <w:proofErr w:type="spellEnd"/>
      <w:r w:rsidRPr="00882A34">
        <w:rPr>
          <w:rFonts w:ascii="Arial" w:hAnsi="Arial" w:cs="Arial"/>
          <w:b/>
          <w:bCs/>
          <w:sz w:val="22"/>
          <w:szCs w:val="22"/>
        </w:rPr>
        <w:t xml:space="preserve"> reform): </w:t>
      </w:r>
      <w:r w:rsidRPr="00882A34">
        <w:rPr>
          <w:rFonts w:ascii="Arial" w:hAnsi="Arial" w:cs="Arial"/>
          <w:sz w:val="22"/>
          <w:szCs w:val="22"/>
        </w:rPr>
        <w:t>It gave</w:t>
      </w:r>
      <w:r w:rsidRPr="00882A34">
        <w:rPr>
          <w:rFonts w:ascii="Arial" w:hAnsi="Arial" w:cs="Arial"/>
          <w:b/>
          <w:bCs/>
          <w:sz w:val="22"/>
          <w:szCs w:val="22"/>
        </w:rPr>
        <w:t xml:space="preserve"> </w:t>
      </w:r>
      <w:r w:rsidRPr="00882A34">
        <w:rPr>
          <w:rFonts w:ascii="Arial" w:hAnsi="Arial" w:cs="Arial"/>
          <w:sz w:val="22"/>
          <w:szCs w:val="22"/>
        </w:rPr>
        <w:t>the Italian government the authority to complement the law by means of one or more law decrees. It kept a strict approach towards the opening and use of pre-insolvency</w:t>
      </w:r>
      <w:r w:rsidRPr="00882A34">
        <w:rPr>
          <w:rFonts w:ascii="Arial" w:hAnsi="Arial" w:cs="Arial"/>
          <w:spacing w:val="1"/>
          <w:sz w:val="22"/>
          <w:szCs w:val="22"/>
        </w:rPr>
        <w:t xml:space="preserve"> </w:t>
      </w:r>
      <w:r w:rsidRPr="00882A34">
        <w:rPr>
          <w:rFonts w:ascii="Arial" w:hAnsi="Arial" w:cs="Arial"/>
          <w:sz w:val="22"/>
          <w:szCs w:val="22"/>
        </w:rPr>
        <w:t>compositions aimed at liquidating the assets and not continuing the business of the debtor.</w:t>
      </w:r>
    </w:p>
    <w:p w14:paraId="10BF1AD4" w14:textId="77777777" w:rsidR="00C60605" w:rsidRPr="00882A34" w:rsidRDefault="00C60605" w:rsidP="00C60605">
      <w:pPr>
        <w:rPr>
          <w:rFonts w:ascii="Arial" w:hAnsi="Arial" w:cs="Arial"/>
          <w:sz w:val="22"/>
          <w:szCs w:val="22"/>
        </w:rPr>
      </w:pPr>
    </w:p>
    <w:p w14:paraId="0E74E04E" w14:textId="77777777" w:rsidR="00C60605" w:rsidRPr="00882A34" w:rsidRDefault="00C60605" w:rsidP="005158C7">
      <w:pPr>
        <w:pStyle w:val="ListParagraph"/>
        <w:widowControl w:val="0"/>
        <w:numPr>
          <w:ilvl w:val="0"/>
          <w:numId w:val="21"/>
        </w:numPr>
        <w:autoSpaceDE w:val="0"/>
        <w:autoSpaceDN w:val="0"/>
        <w:contextualSpacing w:val="0"/>
        <w:jc w:val="both"/>
        <w:rPr>
          <w:rFonts w:ascii="Arial" w:hAnsi="Arial" w:cs="Arial"/>
          <w:b/>
          <w:bCs/>
          <w:sz w:val="22"/>
          <w:szCs w:val="22"/>
        </w:rPr>
      </w:pPr>
      <w:r w:rsidRPr="00882A34">
        <w:rPr>
          <w:rFonts w:ascii="Arial" w:hAnsi="Arial" w:cs="Arial"/>
          <w:b/>
          <w:bCs/>
          <w:sz w:val="22"/>
          <w:szCs w:val="22"/>
        </w:rPr>
        <w:t>Legislative</w:t>
      </w:r>
      <w:r w:rsidRPr="00882A34">
        <w:rPr>
          <w:rFonts w:ascii="Arial" w:hAnsi="Arial" w:cs="Arial"/>
          <w:b/>
          <w:bCs/>
          <w:spacing w:val="-9"/>
          <w:sz w:val="22"/>
          <w:szCs w:val="22"/>
        </w:rPr>
        <w:t xml:space="preserve"> </w:t>
      </w:r>
      <w:r w:rsidRPr="00882A34">
        <w:rPr>
          <w:rFonts w:ascii="Arial" w:hAnsi="Arial" w:cs="Arial"/>
          <w:b/>
          <w:bCs/>
          <w:sz w:val="22"/>
          <w:szCs w:val="22"/>
        </w:rPr>
        <w:t>decree</w:t>
      </w:r>
      <w:r w:rsidRPr="00882A34">
        <w:rPr>
          <w:rFonts w:ascii="Arial" w:hAnsi="Arial" w:cs="Arial"/>
          <w:b/>
          <w:bCs/>
          <w:spacing w:val="-8"/>
          <w:sz w:val="22"/>
          <w:szCs w:val="22"/>
        </w:rPr>
        <w:t xml:space="preserve"> </w:t>
      </w:r>
      <w:r w:rsidRPr="00882A34">
        <w:rPr>
          <w:rFonts w:ascii="Arial" w:hAnsi="Arial" w:cs="Arial"/>
          <w:b/>
          <w:bCs/>
          <w:sz w:val="22"/>
          <w:szCs w:val="22"/>
        </w:rPr>
        <w:t xml:space="preserve">14/2021: </w:t>
      </w:r>
      <w:r w:rsidRPr="00882A34">
        <w:rPr>
          <w:rFonts w:ascii="Arial" w:hAnsi="Arial" w:cs="Arial"/>
          <w:sz w:val="22"/>
          <w:szCs w:val="22"/>
        </w:rPr>
        <w:t xml:space="preserve">It introduced the Italian insolvency code, </w:t>
      </w:r>
      <w:proofErr w:type="spellStart"/>
      <w:r w:rsidRPr="00882A34">
        <w:rPr>
          <w:rFonts w:ascii="Arial" w:hAnsi="Arial" w:cs="Arial"/>
          <w:i/>
          <w:iCs/>
          <w:sz w:val="22"/>
          <w:szCs w:val="22"/>
        </w:rPr>
        <w:t>Codice</w:t>
      </w:r>
      <w:proofErr w:type="spellEnd"/>
      <w:r w:rsidRPr="00882A34">
        <w:rPr>
          <w:rFonts w:ascii="Arial" w:hAnsi="Arial" w:cs="Arial"/>
          <w:i/>
          <w:iCs/>
          <w:sz w:val="22"/>
          <w:szCs w:val="22"/>
        </w:rPr>
        <w:t xml:space="preserve"> </w:t>
      </w:r>
      <w:proofErr w:type="spellStart"/>
      <w:r w:rsidRPr="00882A34">
        <w:rPr>
          <w:rFonts w:ascii="Arial" w:hAnsi="Arial" w:cs="Arial"/>
          <w:i/>
          <w:iCs/>
          <w:sz w:val="22"/>
          <w:szCs w:val="22"/>
        </w:rPr>
        <w:t>della</w:t>
      </w:r>
      <w:proofErr w:type="spellEnd"/>
      <w:r w:rsidRPr="00882A34">
        <w:rPr>
          <w:rFonts w:ascii="Arial" w:hAnsi="Arial" w:cs="Arial"/>
          <w:i/>
          <w:iCs/>
          <w:sz w:val="22"/>
          <w:szCs w:val="22"/>
        </w:rPr>
        <w:t xml:space="preserve"> </w:t>
      </w:r>
      <w:proofErr w:type="spellStart"/>
      <w:r w:rsidRPr="00882A34">
        <w:rPr>
          <w:rFonts w:ascii="Arial" w:hAnsi="Arial" w:cs="Arial"/>
          <w:i/>
          <w:iCs/>
          <w:sz w:val="22"/>
          <w:szCs w:val="22"/>
        </w:rPr>
        <w:t>Crisi</w:t>
      </w:r>
      <w:proofErr w:type="spellEnd"/>
      <w:r w:rsidRPr="00882A34">
        <w:rPr>
          <w:rFonts w:ascii="Arial" w:hAnsi="Arial" w:cs="Arial"/>
          <w:i/>
          <w:iCs/>
          <w:sz w:val="22"/>
          <w:szCs w:val="22"/>
        </w:rPr>
        <w:t xml:space="preserve"> </w:t>
      </w:r>
      <w:proofErr w:type="spellStart"/>
      <w:r w:rsidRPr="00882A34">
        <w:rPr>
          <w:rFonts w:ascii="Arial" w:hAnsi="Arial" w:cs="Arial"/>
          <w:i/>
          <w:iCs/>
          <w:sz w:val="22"/>
          <w:szCs w:val="22"/>
        </w:rPr>
        <w:t>d’Impresa</w:t>
      </w:r>
      <w:proofErr w:type="spellEnd"/>
      <w:r w:rsidRPr="00882A34">
        <w:rPr>
          <w:rFonts w:ascii="Arial" w:hAnsi="Arial" w:cs="Arial"/>
          <w:i/>
          <w:iCs/>
          <w:sz w:val="22"/>
          <w:szCs w:val="22"/>
        </w:rPr>
        <w:t xml:space="preserve"> e </w:t>
      </w:r>
      <w:proofErr w:type="spellStart"/>
      <w:r w:rsidRPr="00882A34">
        <w:rPr>
          <w:rFonts w:ascii="Arial" w:hAnsi="Arial" w:cs="Arial"/>
          <w:i/>
          <w:iCs/>
          <w:sz w:val="22"/>
          <w:szCs w:val="22"/>
        </w:rPr>
        <w:t>dell’Insolvenza</w:t>
      </w:r>
      <w:proofErr w:type="spellEnd"/>
      <w:r w:rsidRPr="00882A34">
        <w:rPr>
          <w:rFonts w:ascii="Arial" w:hAnsi="Arial" w:cs="Arial"/>
          <w:sz w:val="22"/>
          <w:szCs w:val="22"/>
        </w:rPr>
        <w:t xml:space="preserve"> (CCII), which Will be implemented in full in September 2021.</w:t>
      </w:r>
    </w:p>
    <w:p w14:paraId="34CDC709" w14:textId="77777777" w:rsidR="00C60605" w:rsidRPr="00882A34" w:rsidRDefault="00C60605" w:rsidP="00C60605">
      <w:pPr>
        <w:pStyle w:val="ListParagraph"/>
        <w:rPr>
          <w:rFonts w:ascii="Arial" w:hAnsi="Arial" w:cs="Arial"/>
          <w:b/>
          <w:bCs/>
          <w:sz w:val="22"/>
          <w:szCs w:val="22"/>
        </w:rPr>
      </w:pPr>
    </w:p>
    <w:p w14:paraId="55596EAC" w14:textId="5E16331F" w:rsidR="00C60605" w:rsidRDefault="00C60605" w:rsidP="00C60605">
      <w:pPr>
        <w:pStyle w:val="ListParagraph"/>
        <w:jc w:val="both"/>
        <w:rPr>
          <w:rFonts w:ascii="Arial" w:hAnsi="Arial" w:cs="Arial"/>
          <w:sz w:val="22"/>
          <w:szCs w:val="22"/>
        </w:rPr>
      </w:pPr>
      <w:r w:rsidRPr="00882A34">
        <w:rPr>
          <w:rFonts w:ascii="Arial" w:hAnsi="Arial" w:cs="Arial"/>
          <w:sz w:val="22"/>
          <w:szCs w:val="22"/>
        </w:rPr>
        <w:lastRenderedPageBreak/>
        <w:t>CCII encourages rescue over liquidation reducing the time and cost of judicial insolvency proceedings. The fundamental goal of this code is identified the factors of a business crisis through provision of warning systems, accompanied by the introduction of a body for the composition of corporate crisis being a partially non-judicial and confidential procedure carried out under the supervision of the C</w:t>
      </w:r>
      <w:r w:rsidR="00882A34" w:rsidRPr="00882A34">
        <w:rPr>
          <w:rFonts w:ascii="Arial" w:hAnsi="Arial" w:cs="Arial"/>
          <w:sz w:val="22"/>
          <w:szCs w:val="22"/>
        </w:rPr>
        <w:t>h</w:t>
      </w:r>
      <w:r w:rsidRPr="00882A34">
        <w:rPr>
          <w:rFonts w:ascii="Arial" w:hAnsi="Arial" w:cs="Arial"/>
          <w:sz w:val="22"/>
          <w:szCs w:val="22"/>
        </w:rPr>
        <w:t xml:space="preserve">amber of Commerce. </w:t>
      </w:r>
    </w:p>
    <w:p w14:paraId="14B40308" w14:textId="58E50A6B" w:rsidR="005576EC" w:rsidRDefault="005576EC" w:rsidP="00C60605">
      <w:pPr>
        <w:pStyle w:val="ListParagraph"/>
        <w:jc w:val="both"/>
        <w:rPr>
          <w:rFonts w:ascii="Arial" w:hAnsi="Arial" w:cs="Arial"/>
          <w:sz w:val="22"/>
          <w:szCs w:val="22"/>
        </w:rPr>
      </w:pPr>
    </w:p>
    <w:p w14:paraId="65CD93C5" w14:textId="23D75E5D" w:rsidR="005576EC" w:rsidRPr="00882A34" w:rsidRDefault="006F3744" w:rsidP="00C60605">
      <w:pPr>
        <w:pStyle w:val="ListParagraph"/>
        <w:jc w:val="both"/>
        <w:rPr>
          <w:rFonts w:ascii="Arial" w:hAnsi="Arial" w:cs="Arial"/>
          <w:sz w:val="22"/>
          <w:szCs w:val="22"/>
        </w:rPr>
      </w:pPr>
      <w:r>
        <w:rPr>
          <w:rFonts w:ascii="Arial" w:hAnsi="Arial" w:cs="Arial"/>
          <w:sz w:val="22"/>
          <w:szCs w:val="22"/>
        </w:rPr>
        <w:t xml:space="preserve">Additionally, </w:t>
      </w:r>
      <w:r w:rsidR="00A33711">
        <w:rPr>
          <w:rFonts w:ascii="Arial" w:hAnsi="Arial" w:cs="Arial"/>
          <w:sz w:val="22"/>
          <w:szCs w:val="22"/>
        </w:rPr>
        <w:t xml:space="preserve">the provisions of the CCII regulate the state of crisis and insolvency </w:t>
      </w:r>
      <w:r w:rsidR="00150726">
        <w:rPr>
          <w:rFonts w:ascii="Arial" w:hAnsi="Arial" w:cs="Arial"/>
          <w:sz w:val="22"/>
          <w:szCs w:val="22"/>
        </w:rPr>
        <w:t xml:space="preserve">of any debtor, including consumers, professionals and entrepreneurs </w:t>
      </w:r>
      <w:r w:rsidR="00E85E5A">
        <w:rPr>
          <w:rFonts w:ascii="Arial" w:hAnsi="Arial" w:cs="Arial"/>
          <w:sz w:val="22"/>
          <w:szCs w:val="22"/>
        </w:rPr>
        <w:t xml:space="preserve">of any size and nature </w:t>
      </w:r>
    </w:p>
    <w:p w14:paraId="62F7A47C" w14:textId="77777777" w:rsidR="00C60605" w:rsidRPr="00882A34" w:rsidRDefault="00C60605" w:rsidP="00C60605">
      <w:pPr>
        <w:rPr>
          <w:rFonts w:ascii="Arial" w:hAnsi="Arial" w:cs="Arial"/>
          <w:sz w:val="22"/>
          <w:szCs w:val="22"/>
        </w:rPr>
      </w:pPr>
    </w:p>
    <w:p w14:paraId="516E0761" w14:textId="77777777" w:rsidR="00C60605" w:rsidRPr="00882A34" w:rsidRDefault="00C60605" w:rsidP="00C60605">
      <w:pPr>
        <w:jc w:val="both"/>
        <w:rPr>
          <w:rFonts w:ascii="Arial" w:hAnsi="Arial" w:cs="Arial"/>
          <w:sz w:val="22"/>
          <w:szCs w:val="22"/>
        </w:rPr>
      </w:pPr>
      <w:r w:rsidRPr="00882A34">
        <w:rPr>
          <w:rFonts w:ascii="Arial" w:hAnsi="Arial" w:cs="Arial"/>
          <w:sz w:val="22"/>
          <w:szCs w:val="22"/>
        </w:rPr>
        <w:t>Definitely, the Italian reforms have not been enough to revert the data show by the World Bank reports due to the fact that duration and cost of the judicial insolvency proceedings. However, I strongly believe that some changes incorporated in the CCII will allow reducing the time of solving insolvency matters.</w:t>
      </w:r>
    </w:p>
    <w:p w14:paraId="59B9D72B" w14:textId="77777777" w:rsidR="008F228E" w:rsidRDefault="008F228E" w:rsidP="002A37BB">
      <w:pPr>
        <w:jc w:val="both"/>
        <w:rPr>
          <w:rFonts w:ascii="Arial" w:hAnsi="Arial" w:cs="Arial"/>
          <w:bCs/>
          <w:sz w:val="22"/>
          <w:szCs w:val="22"/>
          <w:lang w:val="en-GB"/>
        </w:rPr>
      </w:pPr>
    </w:p>
    <w:p w14:paraId="04E16240" w14:textId="77777777"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582E5EC" w14:textId="77777777" w:rsidR="004A61A7" w:rsidRDefault="004A61A7" w:rsidP="002A37BB">
      <w:pPr>
        <w:jc w:val="both"/>
        <w:rPr>
          <w:rFonts w:ascii="Arial" w:hAnsi="Arial" w:cs="Arial"/>
          <w:b/>
          <w:sz w:val="22"/>
          <w:szCs w:val="22"/>
          <w:lang w:val="en-GB"/>
        </w:rPr>
      </w:pPr>
    </w:p>
    <w:p w14:paraId="19BB832D" w14:textId="17E35190" w:rsidR="004A61A7" w:rsidRDefault="004A61A7" w:rsidP="004A61A7">
      <w:pPr>
        <w:jc w:val="both"/>
        <w:rPr>
          <w:rFonts w:ascii="Arial" w:hAnsi="Arial" w:cs="Arial"/>
          <w:sz w:val="22"/>
          <w:szCs w:val="22"/>
          <w:lang w:val="en-GB"/>
        </w:rPr>
      </w:pPr>
      <w:r>
        <w:rPr>
          <w:rFonts w:ascii="Arial" w:hAnsi="Arial" w:cs="Arial"/>
          <w:sz w:val="22"/>
          <w:szCs w:val="22"/>
          <w:lang w:val="en-GB"/>
        </w:rPr>
        <w:t>T</w:t>
      </w:r>
      <w:r w:rsidRPr="00D150A1">
        <w:rPr>
          <w:rFonts w:ascii="Arial" w:hAnsi="Arial" w:cs="Arial"/>
          <w:sz w:val="22"/>
          <w:szCs w:val="22"/>
          <w:lang w:val="en-GB"/>
        </w:rPr>
        <w:t>he principle of equality among</w:t>
      </w:r>
      <w:r w:rsidR="00C4163B">
        <w:rPr>
          <w:rFonts w:ascii="Arial" w:hAnsi="Arial" w:cs="Arial"/>
          <w:sz w:val="22"/>
          <w:szCs w:val="22"/>
          <w:lang w:val="en-GB"/>
        </w:rPr>
        <w:t>st</w:t>
      </w:r>
      <w:r w:rsidRPr="00D150A1">
        <w:rPr>
          <w:rFonts w:ascii="Arial" w:hAnsi="Arial" w:cs="Arial"/>
          <w:sz w:val="22"/>
          <w:szCs w:val="22"/>
          <w:lang w:val="en-GB"/>
        </w:rPr>
        <w:t xml:space="preserve"> creditors (</w:t>
      </w:r>
      <w:r w:rsidRPr="00D150A1">
        <w:rPr>
          <w:rFonts w:ascii="Arial" w:hAnsi="Arial" w:cs="Arial"/>
          <w:i/>
          <w:sz w:val="22"/>
          <w:szCs w:val="22"/>
          <w:lang w:val="en-GB"/>
        </w:rPr>
        <w:t>par condicio creditorum</w:t>
      </w:r>
      <w:r w:rsidRPr="00D150A1">
        <w:rPr>
          <w:rFonts w:ascii="Arial" w:hAnsi="Arial" w:cs="Arial"/>
          <w:sz w:val="22"/>
          <w:szCs w:val="22"/>
          <w:lang w:val="en-GB"/>
        </w:rPr>
        <w:t>) applies only with reference to classes of creditors.</w:t>
      </w:r>
      <w:r>
        <w:rPr>
          <w:rFonts w:ascii="Arial" w:hAnsi="Arial" w:cs="Arial"/>
          <w:sz w:val="22"/>
          <w:szCs w:val="22"/>
          <w:lang w:val="en-GB"/>
        </w:rPr>
        <w:t xml:space="preserve"> However, the current system of securities, privileges and guarantees under Italian law recognises a wide array of exceptions to the </w:t>
      </w:r>
      <w:r>
        <w:rPr>
          <w:rFonts w:ascii="Arial" w:hAnsi="Arial" w:cs="Arial"/>
          <w:i/>
          <w:sz w:val="22"/>
          <w:szCs w:val="22"/>
          <w:lang w:val="en-GB"/>
        </w:rPr>
        <w:t xml:space="preserve">par condictio creditorum </w:t>
      </w:r>
      <w:r>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49A4132A" w14:textId="77777777" w:rsidR="004A61A7" w:rsidRDefault="004A61A7" w:rsidP="004A61A7">
      <w:pPr>
        <w:ind w:left="720" w:hanging="720"/>
        <w:jc w:val="both"/>
        <w:rPr>
          <w:rFonts w:ascii="Arial" w:hAnsi="Arial" w:cs="Arial"/>
          <w:sz w:val="22"/>
          <w:szCs w:val="22"/>
          <w:lang w:val="en-GB"/>
        </w:rPr>
      </w:pPr>
    </w:p>
    <w:p w14:paraId="3680067A" w14:textId="77777777" w:rsidR="00C550C8" w:rsidRPr="004A61A7" w:rsidRDefault="004A61A7" w:rsidP="002A37BB">
      <w:pPr>
        <w:ind w:left="720" w:hanging="720"/>
        <w:jc w:val="both"/>
        <w:rPr>
          <w:rFonts w:ascii="Arial" w:hAnsi="Arial" w:cs="Arial"/>
          <w:sz w:val="22"/>
          <w:szCs w:val="22"/>
          <w:lang w:val="en-GB"/>
        </w:rPr>
      </w:pPr>
      <w:r>
        <w:rPr>
          <w:rFonts w:ascii="Arial" w:hAnsi="Arial" w:cs="Arial"/>
          <w:sz w:val="22"/>
          <w:szCs w:val="22"/>
          <w:lang w:val="en-GB"/>
        </w:rPr>
        <w:t xml:space="preserve">Discuss this statement with reference to relevant case law and statutes. </w:t>
      </w:r>
    </w:p>
    <w:p w14:paraId="68855673" w14:textId="77777777" w:rsidR="00241FA3" w:rsidRPr="002A37BB" w:rsidRDefault="00241FA3" w:rsidP="002A37BB">
      <w:pPr>
        <w:jc w:val="both"/>
        <w:rPr>
          <w:rFonts w:ascii="Arial" w:hAnsi="Arial" w:cs="Arial"/>
          <w:sz w:val="22"/>
          <w:szCs w:val="22"/>
        </w:rPr>
      </w:pPr>
    </w:p>
    <w:p w14:paraId="7923BAAF" w14:textId="77777777" w:rsidR="00AB3ECF" w:rsidRPr="00AB3ECF" w:rsidRDefault="00AB3ECF" w:rsidP="00AB3ECF">
      <w:pPr>
        <w:tabs>
          <w:tab w:val="left" w:pos="1247"/>
        </w:tabs>
        <w:spacing w:before="1" w:line="237" w:lineRule="auto"/>
        <w:ind w:right="224"/>
        <w:jc w:val="both"/>
        <w:rPr>
          <w:rFonts w:ascii="Arial" w:hAnsi="Arial" w:cs="Arial"/>
          <w:sz w:val="22"/>
          <w:szCs w:val="22"/>
        </w:rPr>
      </w:pPr>
      <w:r w:rsidRPr="00AB3ECF">
        <w:rPr>
          <w:rFonts w:ascii="Arial" w:hAnsi="Arial" w:cs="Arial"/>
          <w:sz w:val="22"/>
          <w:szCs w:val="22"/>
        </w:rPr>
        <w:t xml:space="preserve">In Italian insolvency law, a fundamental principle is the </w:t>
      </w:r>
      <w:r w:rsidRPr="00AB3ECF">
        <w:rPr>
          <w:rFonts w:ascii="Arial" w:hAnsi="Arial" w:cs="Arial"/>
          <w:i/>
          <w:iCs/>
          <w:sz w:val="22"/>
          <w:szCs w:val="22"/>
        </w:rPr>
        <w:t xml:space="preserve">par </w:t>
      </w:r>
      <w:proofErr w:type="spellStart"/>
      <w:r w:rsidRPr="00AB3ECF">
        <w:rPr>
          <w:rFonts w:ascii="Arial" w:hAnsi="Arial" w:cs="Arial"/>
          <w:i/>
          <w:iCs/>
          <w:sz w:val="22"/>
          <w:szCs w:val="22"/>
        </w:rPr>
        <w:t>condicio</w:t>
      </w:r>
      <w:proofErr w:type="spellEnd"/>
      <w:r w:rsidRPr="00AB3ECF">
        <w:rPr>
          <w:rFonts w:ascii="Arial" w:hAnsi="Arial" w:cs="Arial"/>
          <w:i/>
          <w:iCs/>
          <w:sz w:val="22"/>
          <w:szCs w:val="22"/>
        </w:rPr>
        <w:t xml:space="preserve"> </w:t>
      </w:r>
      <w:proofErr w:type="spellStart"/>
      <w:r w:rsidRPr="00AB3ECF">
        <w:rPr>
          <w:rFonts w:ascii="Arial" w:hAnsi="Arial" w:cs="Arial"/>
          <w:i/>
          <w:iCs/>
          <w:sz w:val="22"/>
          <w:szCs w:val="22"/>
        </w:rPr>
        <w:t>creditorum</w:t>
      </w:r>
      <w:proofErr w:type="spellEnd"/>
      <w:r w:rsidRPr="00AB3ECF">
        <w:rPr>
          <w:rFonts w:ascii="Arial" w:hAnsi="Arial" w:cs="Arial"/>
          <w:sz w:val="22"/>
          <w:szCs w:val="22"/>
        </w:rPr>
        <w:t>, which means that all creditors have an equal right to payment to their claims.  Nonetheless, there are two groups of creditors that enjoy preferential treatment creditors who (i) hold a security interest, and (ii) have a preference under law.</w:t>
      </w:r>
    </w:p>
    <w:p w14:paraId="6ABDD60A" w14:textId="77777777" w:rsidR="00AB3ECF" w:rsidRPr="00AB3ECF" w:rsidRDefault="00AB3ECF" w:rsidP="00AB3ECF">
      <w:pPr>
        <w:tabs>
          <w:tab w:val="left" w:pos="1247"/>
        </w:tabs>
        <w:spacing w:before="1" w:line="237" w:lineRule="auto"/>
        <w:ind w:right="224"/>
        <w:jc w:val="both"/>
        <w:rPr>
          <w:rFonts w:ascii="Arial" w:hAnsi="Arial" w:cs="Arial"/>
          <w:sz w:val="22"/>
          <w:szCs w:val="22"/>
        </w:rPr>
      </w:pPr>
    </w:p>
    <w:p w14:paraId="0FC93140" w14:textId="77777777" w:rsidR="00AB3ECF" w:rsidRPr="00AB3ECF" w:rsidRDefault="00AB3ECF" w:rsidP="00AB3ECF">
      <w:pPr>
        <w:tabs>
          <w:tab w:val="left" w:pos="1247"/>
        </w:tabs>
        <w:spacing w:before="1" w:line="237" w:lineRule="auto"/>
        <w:ind w:right="224"/>
        <w:jc w:val="both"/>
        <w:rPr>
          <w:rFonts w:ascii="Arial" w:hAnsi="Arial" w:cs="Arial"/>
          <w:sz w:val="22"/>
          <w:szCs w:val="22"/>
        </w:rPr>
      </w:pPr>
      <w:r w:rsidRPr="00AB3ECF">
        <w:rPr>
          <w:rFonts w:ascii="Arial" w:hAnsi="Arial" w:cs="Arial"/>
          <w:sz w:val="22"/>
          <w:szCs w:val="22"/>
        </w:rPr>
        <w:t>Under Italian law, there are some securities such as mortgages, consensual liens over registered movable properties, for example, vehicles, aircrafts, and ships; consensual pledges, usually over equity stock, debt instruments, and government bonds, as well as on receivables and bank accounts; and securitization transactions.</w:t>
      </w:r>
    </w:p>
    <w:p w14:paraId="34732224" w14:textId="77777777" w:rsidR="00AB3ECF" w:rsidRPr="00AB3ECF" w:rsidRDefault="00AB3ECF" w:rsidP="00AB3ECF">
      <w:pPr>
        <w:tabs>
          <w:tab w:val="left" w:pos="1247"/>
        </w:tabs>
        <w:spacing w:before="1" w:line="237" w:lineRule="auto"/>
        <w:ind w:right="224"/>
        <w:jc w:val="both"/>
        <w:rPr>
          <w:rFonts w:ascii="Arial" w:hAnsi="Arial" w:cs="Arial"/>
          <w:sz w:val="22"/>
          <w:szCs w:val="22"/>
        </w:rPr>
      </w:pPr>
    </w:p>
    <w:p w14:paraId="3FF19A44" w14:textId="77777777" w:rsidR="00AB3ECF" w:rsidRPr="00AB3ECF" w:rsidRDefault="00AB3ECF" w:rsidP="00AB3ECF">
      <w:pPr>
        <w:tabs>
          <w:tab w:val="left" w:pos="1247"/>
        </w:tabs>
        <w:spacing w:before="1" w:line="237" w:lineRule="auto"/>
        <w:ind w:right="224"/>
        <w:jc w:val="both"/>
        <w:rPr>
          <w:rFonts w:ascii="Arial" w:hAnsi="Arial" w:cs="Arial"/>
          <w:sz w:val="22"/>
          <w:szCs w:val="22"/>
        </w:rPr>
      </w:pPr>
      <w:r w:rsidRPr="00AB3ECF">
        <w:rPr>
          <w:rFonts w:ascii="Arial" w:hAnsi="Arial" w:cs="Arial"/>
          <w:sz w:val="22"/>
          <w:szCs w:val="22"/>
        </w:rPr>
        <w:t xml:space="preserve">On the other hand, liens can be classified as a) general liens over movable goods belonging to the debtor; b) special liens over both movable and immovable goods belonging to the debtor; and c) special liens under article 46 of legislative decree 385/1993. </w:t>
      </w:r>
    </w:p>
    <w:p w14:paraId="32B7FEB7" w14:textId="77777777" w:rsidR="00AB3ECF" w:rsidRPr="00AB3ECF" w:rsidRDefault="00AB3ECF" w:rsidP="00AB3ECF">
      <w:pPr>
        <w:tabs>
          <w:tab w:val="left" w:pos="1247"/>
        </w:tabs>
        <w:spacing w:before="1" w:line="237" w:lineRule="auto"/>
        <w:ind w:right="224"/>
        <w:jc w:val="both"/>
        <w:rPr>
          <w:rFonts w:ascii="Arial" w:hAnsi="Arial" w:cs="Arial"/>
          <w:sz w:val="22"/>
          <w:szCs w:val="22"/>
        </w:rPr>
      </w:pPr>
    </w:p>
    <w:p w14:paraId="57B38E6B" w14:textId="77777777" w:rsidR="00AB3ECF" w:rsidRPr="00AB3ECF" w:rsidRDefault="00AB3ECF" w:rsidP="00AB3ECF">
      <w:pPr>
        <w:tabs>
          <w:tab w:val="left" w:pos="1247"/>
        </w:tabs>
        <w:spacing w:before="1" w:line="237" w:lineRule="auto"/>
        <w:ind w:right="224"/>
        <w:jc w:val="both"/>
        <w:rPr>
          <w:rFonts w:ascii="Arial" w:hAnsi="Arial" w:cs="Arial"/>
          <w:sz w:val="22"/>
          <w:szCs w:val="22"/>
        </w:rPr>
      </w:pPr>
      <w:r w:rsidRPr="00AB3ECF">
        <w:rPr>
          <w:rFonts w:ascii="Arial" w:hAnsi="Arial" w:cs="Arial"/>
          <w:sz w:val="22"/>
          <w:szCs w:val="22"/>
        </w:rPr>
        <w:t>In addition, the equality principle only applies to those creditors who have an unsecured and non-preferred claim. They share pro-rata after satisfaction of secured and preferred creditors. Pledgees and preferred creditors holding a lien over movable assets also have a right of retention. This right allows those creditors (but only after their priorities have been finally ascertained) to seek authorization to sell the relevant assets outside the procedure but in accordance with rules set forth by the judge. Also, in these cases, the bankruptcy receiver may seek authorization from the delegate judge to redeem such assets.</w:t>
      </w:r>
    </w:p>
    <w:p w14:paraId="1E6B73D8" w14:textId="77777777" w:rsidR="00AB3ECF" w:rsidRPr="00AB3ECF" w:rsidRDefault="00AB3ECF" w:rsidP="00AB3ECF">
      <w:pPr>
        <w:tabs>
          <w:tab w:val="left" w:pos="1247"/>
        </w:tabs>
        <w:spacing w:before="1" w:line="237" w:lineRule="auto"/>
        <w:ind w:right="224"/>
        <w:jc w:val="both"/>
        <w:rPr>
          <w:rFonts w:ascii="Arial" w:hAnsi="Arial" w:cs="Arial"/>
          <w:sz w:val="22"/>
          <w:szCs w:val="22"/>
        </w:rPr>
      </w:pPr>
    </w:p>
    <w:p w14:paraId="1B47D833" w14:textId="77777777" w:rsidR="00AB3ECF" w:rsidRPr="00AB3ECF" w:rsidRDefault="00AB3ECF" w:rsidP="00AB3ECF">
      <w:pPr>
        <w:tabs>
          <w:tab w:val="left" w:pos="1247"/>
        </w:tabs>
        <w:spacing w:before="1" w:line="237" w:lineRule="auto"/>
        <w:ind w:right="224"/>
        <w:jc w:val="both"/>
        <w:rPr>
          <w:rFonts w:ascii="Arial" w:hAnsi="Arial" w:cs="Arial"/>
          <w:sz w:val="22"/>
          <w:szCs w:val="22"/>
        </w:rPr>
      </w:pPr>
      <w:r w:rsidRPr="00AB3ECF">
        <w:rPr>
          <w:rFonts w:ascii="Arial" w:hAnsi="Arial" w:cs="Arial"/>
          <w:sz w:val="22"/>
          <w:szCs w:val="22"/>
        </w:rPr>
        <w:t xml:space="preserve">However, I strongly believe that preferred creditors do not want to use the enforcement of their guarantees o preferences before the commencement of insolvency proceeding because these actions could be subject to </w:t>
      </w:r>
      <w:proofErr w:type="spellStart"/>
      <w:r w:rsidRPr="00AB3ECF">
        <w:rPr>
          <w:rFonts w:ascii="Arial" w:hAnsi="Arial" w:cs="Arial"/>
          <w:sz w:val="22"/>
          <w:szCs w:val="22"/>
        </w:rPr>
        <w:t>clawbacks</w:t>
      </w:r>
      <w:proofErr w:type="spellEnd"/>
      <w:r w:rsidRPr="00AB3ECF">
        <w:rPr>
          <w:rFonts w:ascii="Arial" w:hAnsi="Arial" w:cs="Arial"/>
          <w:sz w:val="22"/>
          <w:szCs w:val="22"/>
        </w:rPr>
        <w:t>.</w:t>
      </w:r>
    </w:p>
    <w:p w14:paraId="2E3DCEE1" w14:textId="77777777" w:rsidR="00AB3ECF" w:rsidRPr="00AB3ECF" w:rsidRDefault="00AB3ECF" w:rsidP="00AB3ECF">
      <w:pPr>
        <w:tabs>
          <w:tab w:val="left" w:pos="1247"/>
        </w:tabs>
        <w:spacing w:before="1" w:line="237" w:lineRule="auto"/>
        <w:ind w:right="224"/>
        <w:jc w:val="both"/>
        <w:rPr>
          <w:rFonts w:ascii="Arial" w:hAnsi="Arial" w:cs="Arial"/>
          <w:sz w:val="22"/>
          <w:szCs w:val="22"/>
        </w:rPr>
      </w:pPr>
    </w:p>
    <w:p w14:paraId="143669FA" w14:textId="77777777" w:rsidR="00AB3ECF" w:rsidRPr="00AB3ECF" w:rsidRDefault="00AB3ECF" w:rsidP="00AB3ECF">
      <w:pPr>
        <w:tabs>
          <w:tab w:val="left" w:pos="1247"/>
        </w:tabs>
        <w:spacing w:before="1" w:line="237" w:lineRule="auto"/>
        <w:ind w:right="224"/>
        <w:jc w:val="both"/>
        <w:rPr>
          <w:rFonts w:ascii="Arial" w:hAnsi="Arial" w:cs="Arial"/>
          <w:sz w:val="22"/>
          <w:szCs w:val="22"/>
        </w:rPr>
      </w:pPr>
      <w:r w:rsidRPr="00AB3ECF">
        <w:rPr>
          <w:rFonts w:ascii="Arial" w:hAnsi="Arial" w:cs="Arial"/>
          <w:sz w:val="22"/>
          <w:szCs w:val="22"/>
        </w:rPr>
        <w:lastRenderedPageBreak/>
        <w:t>Article 67 of the Italian insolvency law states transactions carried out by a debtor within six months or one year prior to the date of the insolvency declaration may be revoked by the insolvency practitioner, trustee, on behalf of the debtor and for the benefit of the creditors, among others, in the following cases:</w:t>
      </w:r>
    </w:p>
    <w:p w14:paraId="068C664E" w14:textId="77777777" w:rsidR="00AB3ECF" w:rsidRPr="00AB3ECF" w:rsidRDefault="00AB3ECF" w:rsidP="00AB3ECF">
      <w:pPr>
        <w:tabs>
          <w:tab w:val="left" w:pos="1247"/>
        </w:tabs>
        <w:spacing w:before="1" w:line="237" w:lineRule="auto"/>
        <w:ind w:right="224"/>
        <w:jc w:val="both"/>
        <w:rPr>
          <w:rFonts w:ascii="Arial" w:hAnsi="Arial" w:cs="Arial"/>
          <w:sz w:val="22"/>
          <w:szCs w:val="22"/>
        </w:rPr>
      </w:pPr>
    </w:p>
    <w:p w14:paraId="533D6094" w14:textId="77777777" w:rsidR="00AB3ECF" w:rsidRPr="00AB3ECF" w:rsidRDefault="00AB3ECF" w:rsidP="00AB3ECF">
      <w:pPr>
        <w:pStyle w:val="ListParagraph"/>
        <w:widowControl w:val="0"/>
        <w:numPr>
          <w:ilvl w:val="0"/>
          <w:numId w:val="22"/>
        </w:numPr>
        <w:tabs>
          <w:tab w:val="left" w:pos="1247"/>
        </w:tabs>
        <w:autoSpaceDE w:val="0"/>
        <w:autoSpaceDN w:val="0"/>
        <w:spacing w:before="1" w:line="237" w:lineRule="auto"/>
        <w:ind w:right="224"/>
        <w:jc w:val="both"/>
        <w:rPr>
          <w:rFonts w:ascii="Arial" w:hAnsi="Arial" w:cs="Arial"/>
          <w:sz w:val="22"/>
          <w:szCs w:val="22"/>
        </w:rPr>
      </w:pPr>
      <w:r w:rsidRPr="00AB3ECF">
        <w:rPr>
          <w:rFonts w:ascii="Arial" w:hAnsi="Arial" w:cs="Arial"/>
          <w:sz w:val="22"/>
          <w:szCs w:val="22"/>
        </w:rPr>
        <w:t>Pledges securities and mortgages voluntarily created within one year preceding a declaration of insolvency in respect of pre-existing debts which were not payable;</w:t>
      </w:r>
    </w:p>
    <w:p w14:paraId="74AEE7FA" w14:textId="77777777" w:rsidR="00AB3ECF" w:rsidRPr="00AB3ECF" w:rsidRDefault="00AB3ECF" w:rsidP="00AB3ECF">
      <w:pPr>
        <w:tabs>
          <w:tab w:val="left" w:pos="1247"/>
        </w:tabs>
        <w:spacing w:before="1" w:line="237" w:lineRule="auto"/>
        <w:ind w:right="224"/>
        <w:jc w:val="both"/>
        <w:rPr>
          <w:rFonts w:ascii="Arial" w:hAnsi="Arial" w:cs="Arial"/>
          <w:sz w:val="22"/>
          <w:szCs w:val="22"/>
        </w:rPr>
      </w:pPr>
    </w:p>
    <w:p w14:paraId="75065655" w14:textId="77777777" w:rsidR="00AB3ECF" w:rsidRPr="00AB3ECF" w:rsidRDefault="00AB3ECF" w:rsidP="00AB3ECF">
      <w:pPr>
        <w:pStyle w:val="ListParagraph"/>
        <w:widowControl w:val="0"/>
        <w:numPr>
          <w:ilvl w:val="0"/>
          <w:numId w:val="22"/>
        </w:numPr>
        <w:tabs>
          <w:tab w:val="left" w:pos="1247"/>
        </w:tabs>
        <w:autoSpaceDE w:val="0"/>
        <w:autoSpaceDN w:val="0"/>
        <w:spacing w:before="1" w:line="237" w:lineRule="auto"/>
        <w:ind w:right="224"/>
        <w:jc w:val="both"/>
        <w:rPr>
          <w:rFonts w:ascii="Arial" w:hAnsi="Arial" w:cs="Arial"/>
          <w:sz w:val="22"/>
          <w:szCs w:val="22"/>
        </w:rPr>
      </w:pPr>
      <w:r w:rsidRPr="00AB3ECF">
        <w:rPr>
          <w:rFonts w:ascii="Arial" w:hAnsi="Arial" w:cs="Arial"/>
          <w:sz w:val="22"/>
          <w:szCs w:val="22"/>
        </w:rPr>
        <w:t>Pledges, securities, and mortgages judicially imposed, or voluntarily constituted, within six months preceding the declaration of insolvency in respect of payable debts.</w:t>
      </w:r>
    </w:p>
    <w:p w14:paraId="1D6080E2" w14:textId="77777777" w:rsidR="00D17FDC" w:rsidRDefault="00D17FDC" w:rsidP="002A37BB">
      <w:pPr>
        <w:jc w:val="both"/>
        <w:rPr>
          <w:rFonts w:ascii="Arial" w:hAnsi="Arial" w:cs="Arial"/>
          <w:sz w:val="22"/>
          <w:szCs w:val="22"/>
        </w:rPr>
      </w:pPr>
    </w:p>
    <w:p w14:paraId="1A3D2570" w14:textId="77777777" w:rsidR="004A61A7" w:rsidRPr="002A37BB" w:rsidRDefault="004A61A7" w:rsidP="002A37BB">
      <w:pPr>
        <w:jc w:val="both"/>
        <w:rPr>
          <w:rFonts w:ascii="Arial" w:hAnsi="Arial" w:cs="Arial"/>
          <w:sz w:val="22"/>
          <w:szCs w:val="22"/>
          <w:shd w:val="clear" w:color="auto" w:fill="FFFFFF"/>
        </w:rPr>
      </w:pPr>
    </w:p>
    <w:p w14:paraId="36D1EA2B"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E113B1B" w14:textId="77777777" w:rsidR="009B0723" w:rsidRDefault="009B0723" w:rsidP="00087F21">
      <w:pPr>
        <w:jc w:val="both"/>
        <w:rPr>
          <w:rFonts w:ascii="Arial" w:hAnsi="Arial" w:cs="Arial"/>
          <w:sz w:val="22"/>
          <w:szCs w:val="22"/>
          <w:lang w:val="en-GB"/>
        </w:rPr>
      </w:pPr>
    </w:p>
    <w:p w14:paraId="66153939" w14:textId="00FCCF7F" w:rsidR="003505BA" w:rsidRDefault="003505BA" w:rsidP="003505BA">
      <w:pPr>
        <w:jc w:val="both"/>
        <w:rPr>
          <w:rFonts w:ascii="Arial" w:hAnsi="Arial" w:cs="Arial"/>
          <w:sz w:val="22"/>
          <w:szCs w:val="22"/>
          <w:lang w:val="en-GB"/>
        </w:rPr>
      </w:pPr>
      <w:r w:rsidRPr="005000F4">
        <w:rPr>
          <w:rFonts w:ascii="Arial" w:hAnsi="Arial" w:cs="Arial"/>
          <w:i/>
          <w:sz w:val="22"/>
          <w:szCs w:val="22"/>
          <w:lang w:val="en-GB"/>
        </w:rPr>
        <w:t>Buonapizza Srl</w:t>
      </w:r>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only factory is in Modena</w:t>
      </w:r>
      <w:r w:rsidR="00527988">
        <w:rPr>
          <w:rFonts w:ascii="Arial" w:hAnsi="Arial" w:cs="Arial"/>
          <w:sz w:val="22"/>
          <w:szCs w:val="22"/>
          <w:lang w:val="en-GB"/>
        </w:rPr>
        <w:t>,</w:t>
      </w:r>
      <w:r>
        <w:rPr>
          <w:rFonts w:ascii="Arial" w:hAnsi="Arial" w:cs="Arial"/>
          <w:sz w:val="22"/>
          <w:szCs w:val="22"/>
          <w:lang w:val="en-GB"/>
        </w:rPr>
        <w:t xml:space="preserve"> Italy</w:t>
      </w:r>
      <w:r w:rsidR="00AB692F">
        <w:rPr>
          <w:rFonts w:ascii="Arial" w:hAnsi="Arial" w:cs="Arial"/>
          <w:sz w:val="22"/>
          <w:szCs w:val="22"/>
          <w:lang w:val="en-GB"/>
        </w:rPr>
        <w:t>,</w:t>
      </w:r>
      <w:r>
        <w:rPr>
          <w:rFonts w:ascii="Arial" w:hAnsi="Arial" w:cs="Arial"/>
          <w:sz w:val="22"/>
          <w:szCs w:val="22"/>
          <w:lang w:val="en-GB"/>
        </w:rPr>
        <w:t xml:space="preserve"> </w:t>
      </w:r>
      <w:r w:rsidR="00AB692F">
        <w:rPr>
          <w:rFonts w:ascii="Arial" w:hAnsi="Arial" w:cs="Arial"/>
          <w:sz w:val="22"/>
          <w:szCs w:val="22"/>
          <w:lang w:val="en-GB"/>
        </w:rPr>
        <w:t xml:space="preserve">which is also the place </w:t>
      </w:r>
      <w:r>
        <w:rPr>
          <w:rFonts w:ascii="Arial" w:hAnsi="Arial" w:cs="Arial"/>
          <w:sz w:val="22"/>
          <w:szCs w:val="22"/>
          <w:lang w:val="en-GB"/>
        </w:rPr>
        <w:t xml:space="preserve">where the board of directors transferred the registered office to on 15 June 2017. Its main line of business consists of producing locally-sourced pizzas and selling them to large foreign grocery shops, such as </w:t>
      </w:r>
      <w:r w:rsidRPr="00672D8E">
        <w:rPr>
          <w:rFonts w:ascii="Arial" w:hAnsi="Arial" w:cs="Arial"/>
          <w:i/>
          <w:iCs/>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In July 2017, </w:t>
      </w:r>
      <w:r w:rsidRPr="005000F4">
        <w:rPr>
          <w:rFonts w:ascii="Arial" w:hAnsi="Arial" w:cs="Arial"/>
          <w:i/>
          <w:sz w:val="22"/>
          <w:szCs w:val="22"/>
          <w:lang w:val="en-GB"/>
        </w:rPr>
        <w:t>Buonapizza Srl</w:t>
      </w:r>
      <w:r>
        <w:rPr>
          <w:rFonts w:ascii="Arial" w:hAnsi="Arial" w:cs="Arial"/>
          <w:sz w:val="22"/>
          <w:szCs w:val="22"/>
          <w:lang w:val="en-GB"/>
        </w:rPr>
        <w:t xml:space="preserve"> ceased its operations due to industrial action and later that month filed for corporate liquidation (</w:t>
      </w:r>
      <w:r>
        <w:rPr>
          <w:rFonts w:ascii="Arial" w:hAnsi="Arial" w:cs="Arial"/>
          <w:i/>
          <w:sz w:val="22"/>
          <w:szCs w:val="22"/>
          <w:lang w:val="en-GB"/>
        </w:rPr>
        <w:t>fallimento</w:t>
      </w:r>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August 2017, the local court in Modena opened a corporate liquidation proceeding against </w:t>
      </w:r>
      <w:r w:rsidRPr="005000F4">
        <w:rPr>
          <w:rFonts w:ascii="Arial" w:hAnsi="Arial" w:cs="Arial"/>
          <w:i/>
          <w:sz w:val="22"/>
          <w:szCs w:val="22"/>
          <w:lang w:val="en-GB"/>
        </w:rPr>
        <w:t>Buonapizza Srl</w:t>
      </w:r>
      <w:r>
        <w:rPr>
          <w:rFonts w:ascii="Arial" w:hAnsi="Arial" w:cs="Arial"/>
          <w:sz w:val="22"/>
          <w:szCs w:val="22"/>
          <w:lang w:val="en-GB"/>
        </w:rPr>
        <w:t>.</w:t>
      </w:r>
    </w:p>
    <w:p w14:paraId="5741254F" w14:textId="77777777" w:rsidR="003505BA" w:rsidRDefault="003505BA" w:rsidP="003505BA">
      <w:pPr>
        <w:ind w:left="709" w:hanging="709"/>
        <w:jc w:val="both"/>
        <w:rPr>
          <w:rFonts w:ascii="Arial" w:hAnsi="Arial" w:cs="Arial"/>
          <w:sz w:val="22"/>
          <w:szCs w:val="22"/>
          <w:lang w:val="en-GB"/>
        </w:rPr>
      </w:pPr>
    </w:p>
    <w:p w14:paraId="79412D39" w14:textId="68B7F23E" w:rsidR="003505BA" w:rsidRDefault="003505BA" w:rsidP="003505BA">
      <w:pPr>
        <w:jc w:val="both"/>
        <w:rPr>
          <w:rFonts w:ascii="Arial" w:hAnsi="Arial" w:cs="Arial"/>
          <w:sz w:val="22"/>
          <w:szCs w:val="22"/>
          <w:lang w:val="en-GB"/>
        </w:rPr>
      </w:pPr>
      <w:r>
        <w:rPr>
          <w:rFonts w:ascii="Arial" w:hAnsi="Arial" w:cs="Arial"/>
          <w:sz w:val="22"/>
          <w:szCs w:val="22"/>
          <w:lang w:val="en-GB"/>
        </w:rPr>
        <w:t>During the proceeding, it emerged that since January 2016 one of the three executive directors withheld relevant information about the company’s state of affairs</w:t>
      </w:r>
      <w:r w:rsidR="00D501F9">
        <w:rPr>
          <w:rFonts w:ascii="Arial" w:hAnsi="Arial" w:cs="Arial"/>
          <w:sz w:val="22"/>
          <w:szCs w:val="22"/>
          <w:lang w:val="en-GB"/>
        </w:rPr>
        <w:t>.</w:t>
      </w:r>
      <w:r>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January 2017,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5470E8A1" w14:textId="77777777" w:rsidR="003505BA" w:rsidRDefault="003505BA" w:rsidP="003505BA">
      <w:pPr>
        <w:ind w:left="709" w:hanging="709"/>
        <w:jc w:val="both"/>
        <w:rPr>
          <w:rFonts w:ascii="Arial" w:hAnsi="Arial" w:cs="Arial"/>
          <w:sz w:val="22"/>
          <w:szCs w:val="22"/>
          <w:lang w:val="en-GB"/>
        </w:rPr>
      </w:pPr>
    </w:p>
    <w:p w14:paraId="0A994B53"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35EB52AB" w14:textId="77777777" w:rsidR="003505BA" w:rsidRDefault="003505BA" w:rsidP="003505BA">
      <w:pPr>
        <w:jc w:val="both"/>
        <w:rPr>
          <w:rFonts w:ascii="Arial" w:hAnsi="Arial" w:cs="Arial"/>
          <w:sz w:val="22"/>
          <w:szCs w:val="22"/>
          <w:lang w:val="en-GB"/>
        </w:rPr>
      </w:pPr>
    </w:p>
    <w:p w14:paraId="1FCF47B5" w14:textId="22A2972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r>
        <w:rPr>
          <w:rFonts w:ascii="Arial" w:hAnsi="Arial" w:cs="Arial"/>
          <w:i/>
          <w:sz w:val="22"/>
          <w:szCs w:val="22"/>
          <w:lang w:val="en-GB"/>
        </w:rPr>
        <w:t>Buonapizza Srl</w:t>
      </w:r>
      <w:r w:rsidR="00BA3548">
        <w:rPr>
          <w:rFonts w:ascii="Arial" w:hAnsi="Arial" w:cs="Arial"/>
          <w:sz w:val="22"/>
          <w:szCs w:val="22"/>
          <w:lang w:val="en-GB"/>
        </w:rPr>
        <w:t>’</w:t>
      </w:r>
      <w:r>
        <w:rPr>
          <w:rFonts w:ascii="Arial" w:hAnsi="Arial" w:cs="Arial"/>
          <w:sz w:val="22"/>
          <w:szCs w:val="22"/>
          <w:lang w:val="en-GB"/>
        </w:rPr>
        <w:t xml:space="preserve">s creditors, comes to your </w:t>
      </w:r>
      <w:r w:rsidR="002778E6">
        <w:rPr>
          <w:rFonts w:ascii="Arial" w:hAnsi="Arial" w:cs="Arial"/>
          <w:sz w:val="22"/>
          <w:szCs w:val="22"/>
          <w:lang w:val="en-GB"/>
        </w:rPr>
        <w:t>offices and raises the issues below with you.</w:t>
      </w:r>
    </w:p>
    <w:p w14:paraId="6DFEBF92" w14:textId="77777777" w:rsidR="00087F21" w:rsidRDefault="00087F21" w:rsidP="00087F21">
      <w:pPr>
        <w:jc w:val="both"/>
        <w:rPr>
          <w:rFonts w:ascii="Arial" w:hAnsi="Arial" w:cs="Arial"/>
          <w:sz w:val="22"/>
          <w:szCs w:val="22"/>
          <w:lang w:val="en-GB"/>
        </w:rPr>
      </w:pPr>
      <w:bookmarkStart w:id="0" w:name="_Hlk17745211"/>
    </w:p>
    <w:p w14:paraId="6108358E"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12FB699F" w14:textId="77777777" w:rsidR="00087F21" w:rsidRDefault="00087F21" w:rsidP="00087F21">
      <w:pPr>
        <w:jc w:val="both"/>
        <w:rPr>
          <w:rFonts w:ascii="Arial" w:hAnsi="Arial" w:cs="Arial"/>
          <w:sz w:val="22"/>
          <w:szCs w:val="22"/>
          <w:lang w:val="en-GB"/>
        </w:rPr>
      </w:pPr>
    </w:p>
    <w:p w14:paraId="3F9A02F6"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12706333" w14:textId="77777777" w:rsidR="002F75A3" w:rsidRDefault="002F75A3" w:rsidP="00087F21">
      <w:pPr>
        <w:jc w:val="both"/>
        <w:rPr>
          <w:rFonts w:ascii="Arial" w:hAnsi="Arial" w:cs="Arial"/>
          <w:b/>
          <w:bCs/>
          <w:sz w:val="22"/>
          <w:szCs w:val="22"/>
          <w:lang w:val="en-GB"/>
        </w:rPr>
      </w:pPr>
    </w:p>
    <w:p w14:paraId="7C9A481B"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r>
        <w:rPr>
          <w:rFonts w:ascii="Arial" w:hAnsi="Arial" w:cs="Arial"/>
          <w:i/>
          <w:sz w:val="22"/>
          <w:szCs w:val="22"/>
          <w:lang w:val="en-GB"/>
        </w:rPr>
        <w:t>Buonapizza Srl</w:t>
      </w:r>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p>
    <w:p w14:paraId="4D557BB5" w14:textId="5110B36C" w:rsidR="007F659B" w:rsidRDefault="007F659B" w:rsidP="00087F21">
      <w:pPr>
        <w:jc w:val="both"/>
        <w:rPr>
          <w:rFonts w:ascii="Arial" w:hAnsi="Arial" w:cs="Arial"/>
          <w:sz w:val="22"/>
          <w:szCs w:val="22"/>
          <w:lang w:val="en-GB"/>
        </w:rPr>
      </w:pPr>
    </w:p>
    <w:p w14:paraId="2024D008" w14:textId="0853949F" w:rsidR="002914B8" w:rsidRPr="002914B8" w:rsidRDefault="002914B8" w:rsidP="002914B8">
      <w:pPr>
        <w:jc w:val="both"/>
        <w:rPr>
          <w:rFonts w:ascii="Arial" w:hAnsi="Arial" w:cs="Arial"/>
          <w:sz w:val="22"/>
          <w:szCs w:val="22"/>
          <w:lang w:val="en-GB"/>
        </w:rPr>
      </w:pPr>
      <w:r w:rsidRPr="002914B8">
        <w:rPr>
          <w:rFonts w:ascii="Arial" w:hAnsi="Arial" w:cs="Arial"/>
          <w:sz w:val="22"/>
          <w:szCs w:val="22"/>
          <w:lang w:val="en-GB"/>
        </w:rPr>
        <w:t xml:space="preserve">According to the article 9 (1) of Italian insolvency law, procedures are commenced in the court where the debtors have their main place of business, commonly the company’s registered office. In addition, any changes in the registered office that occur in the year before the filing cannot affect the court’s jurisdiction (article 9 (2)). However, the majority of commentators and the Supreme Court argue that in the case of a real transfer of the headquarters of the debtor, the court responsible for opening and supervising the procedure </w:t>
      </w:r>
      <w:r w:rsidRPr="002914B8">
        <w:rPr>
          <w:rFonts w:ascii="Arial" w:hAnsi="Arial" w:cs="Arial"/>
          <w:sz w:val="22"/>
          <w:szCs w:val="22"/>
          <w:lang w:val="en-GB"/>
        </w:rPr>
        <w:lastRenderedPageBreak/>
        <w:t>would be the court of the new seat, even if the change occurred less than one year before the insolvency petition</w:t>
      </w:r>
      <w:r w:rsidR="00D62FDD">
        <w:rPr>
          <w:rStyle w:val="FootnoteReference"/>
          <w:rFonts w:ascii="Arial" w:hAnsi="Arial" w:cs="Arial"/>
          <w:sz w:val="22"/>
          <w:szCs w:val="22"/>
          <w:lang w:val="en-GB"/>
        </w:rPr>
        <w:footnoteReference w:id="1"/>
      </w:r>
      <w:r w:rsidRPr="002914B8">
        <w:rPr>
          <w:rFonts w:ascii="Arial" w:hAnsi="Arial" w:cs="Arial"/>
          <w:sz w:val="22"/>
          <w:szCs w:val="22"/>
          <w:lang w:val="en-GB"/>
        </w:rPr>
        <w:t>.</w:t>
      </w:r>
    </w:p>
    <w:p w14:paraId="3F4D7B54" w14:textId="77777777" w:rsidR="002914B8" w:rsidRPr="002914B8" w:rsidRDefault="002914B8" w:rsidP="002914B8">
      <w:pPr>
        <w:jc w:val="both"/>
        <w:rPr>
          <w:rFonts w:ascii="Arial" w:hAnsi="Arial" w:cs="Arial"/>
          <w:sz w:val="22"/>
          <w:szCs w:val="22"/>
          <w:lang w:val="en-GB"/>
        </w:rPr>
      </w:pPr>
    </w:p>
    <w:p w14:paraId="1A8116BE" w14:textId="77777777" w:rsidR="002914B8" w:rsidRPr="002914B8" w:rsidRDefault="002914B8" w:rsidP="002914B8">
      <w:pPr>
        <w:jc w:val="both"/>
        <w:rPr>
          <w:rFonts w:ascii="Arial" w:hAnsi="Arial" w:cs="Arial"/>
          <w:sz w:val="22"/>
          <w:szCs w:val="22"/>
          <w:lang w:val="en-GB"/>
        </w:rPr>
      </w:pPr>
      <w:r w:rsidRPr="002914B8">
        <w:rPr>
          <w:rFonts w:ascii="Arial" w:hAnsi="Arial" w:cs="Arial"/>
          <w:sz w:val="22"/>
          <w:szCs w:val="22"/>
          <w:lang w:val="en-GB"/>
        </w:rPr>
        <w:t xml:space="preserve">In the particular case, the court of Modena should commence and continue with the </w:t>
      </w:r>
      <w:proofErr w:type="spellStart"/>
      <w:r w:rsidRPr="002914B8">
        <w:rPr>
          <w:rFonts w:ascii="Arial" w:hAnsi="Arial" w:cs="Arial"/>
          <w:sz w:val="22"/>
          <w:szCs w:val="22"/>
          <w:lang w:val="en-GB"/>
        </w:rPr>
        <w:t>Buonapizza’s</w:t>
      </w:r>
      <w:proofErr w:type="spellEnd"/>
      <w:r w:rsidRPr="002914B8">
        <w:rPr>
          <w:rFonts w:ascii="Arial" w:hAnsi="Arial" w:cs="Arial"/>
          <w:sz w:val="22"/>
          <w:szCs w:val="22"/>
          <w:lang w:val="en-GB"/>
        </w:rPr>
        <w:t xml:space="preserve"> insolvency proceeding.</w:t>
      </w:r>
    </w:p>
    <w:p w14:paraId="6552269A" w14:textId="77777777" w:rsidR="002914B8" w:rsidRPr="002914B8" w:rsidRDefault="002914B8" w:rsidP="002914B8">
      <w:pPr>
        <w:jc w:val="both"/>
        <w:rPr>
          <w:rFonts w:ascii="Arial" w:hAnsi="Arial" w:cs="Arial"/>
          <w:sz w:val="22"/>
          <w:szCs w:val="22"/>
          <w:lang w:val="en-GB"/>
        </w:rPr>
      </w:pPr>
    </w:p>
    <w:p w14:paraId="08C00AAF" w14:textId="1B9FC8E6" w:rsidR="002914B8" w:rsidRDefault="002914B8" w:rsidP="002914B8">
      <w:pPr>
        <w:jc w:val="both"/>
        <w:rPr>
          <w:rFonts w:ascii="Arial" w:hAnsi="Arial" w:cs="Arial"/>
          <w:sz w:val="22"/>
          <w:szCs w:val="22"/>
          <w:lang w:val="en-GB"/>
        </w:rPr>
      </w:pPr>
      <w:r w:rsidRPr="002914B8">
        <w:rPr>
          <w:rFonts w:ascii="Arial" w:hAnsi="Arial" w:cs="Arial"/>
          <w:sz w:val="22"/>
          <w:szCs w:val="22"/>
          <w:lang w:val="en-GB"/>
        </w:rPr>
        <w:t>Furthermore, with law N° 155/2017, the court of Modena will keep with the case due to the fact that one of the incorporations with this regulation is that a single court will have a supervisory role over the procedure and a sole officeholder will be entitled to run the companies for the duration of the procedure.</w:t>
      </w:r>
    </w:p>
    <w:p w14:paraId="6377A37F" w14:textId="77777777" w:rsidR="00EC6F96" w:rsidRDefault="00EC6F96" w:rsidP="00087F21">
      <w:pPr>
        <w:jc w:val="both"/>
        <w:rPr>
          <w:rFonts w:ascii="Arial" w:hAnsi="Arial" w:cs="Arial"/>
          <w:sz w:val="22"/>
          <w:szCs w:val="22"/>
          <w:lang w:val="en-GB"/>
        </w:rPr>
      </w:pPr>
    </w:p>
    <w:p w14:paraId="783CF8DA"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623C592" w14:textId="77777777" w:rsidR="00102CC9" w:rsidRDefault="00102CC9" w:rsidP="00087F21">
      <w:pPr>
        <w:jc w:val="both"/>
        <w:rPr>
          <w:rFonts w:ascii="Arial" w:hAnsi="Arial" w:cs="Arial"/>
          <w:sz w:val="22"/>
          <w:szCs w:val="22"/>
          <w:lang w:val="en-GB"/>
        </w:rPr>
      </w:pPr>
    </w:p>
    <w:p w14:paraId="355F4DFA"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Were the debtor, its directors or the local court under any obligation to file for insolvency at an earlier stage? Are there any compensatory or punitive remedies for the parties’ failure to act promptly? </w:t>
      </w:r>
    </w:p>
    <w:p w14:paraId="471D44AC" w14:textId="7193F5D6" w:rsidR="002D3473" w:rsidRDefault="002D3473" w:rsidP="00087F21">
      <w:pPr>
        <w:autoSpaceDE w:val="0"/>
        <w:autoSpaceDN w:val="0"/>
        <w:adjustRightInd w:val="0"/>
        <w:jc w:val="both"/>
        <w:rPr>
          <w:rFonts w:ascii="Arial" w:hAnsi="Arial" w:cs="Arial"/>
          <w:sz w:val="22"/>
          <w:szCs w:val="22"/>
          <w:lang w:val="en-GB"/>
        </w:rPr>
      </w:pPr>
    </w:p>
    <w:p w14:paraId="5CA19C6D" w14:textId="77777777" w:rsidR="00516CF7" w:rsidRPr="00516CF7" w:rsidRDefault="00516CF7" w:rsidP="00516CF7">
      <w:pPr>
        <w:jc w:val="both"/>
        <w:rPr>
          <w:rFonts w:ascii="Arial" w:hAnsi="Arial" w:cs="Arial"/>
          <w:sz w:val="22"/>
          <w:szCs w:val="22"/>
        </w:rPr>
      </w:pPr>
      <w:r w:rsidRPr="00516CF7">
        <w:rPr>
          <w:rFonts w:ascii="Arial" w:hAnsi="Arial" w:cs="Arial"/>
          <w:sz w:val="22"/>
          <w:szCs w:val="22"/>
        </w:rPr>
        <w:t>The directors of a company must act with a duty of care, avoid conflicts of interest and comply with the law and the company´s by-laws in the day-to-day management of the company.so, the directors are jointly liable if they fail to adequately supervise the general conduct of the company’s affairs or if, being aware of prejudicial acts, they do not act to prevent any harmful activities, or to eliminate or reduce the harmful consequences of such activities.</w:t>
      </w:r>
    </w:p>
    <w:p w14:paraId="3EFAD944" w14:textId="77777777" w:rsidR="00516CF7" w:rsidRPr="00516CF7" w:rsidRDefault="00516CF7" w:rsidP="00516CF7">
      <w:pPr>
        <w:jc w:val="both"/>
        <w:rPr>
          <w:rFonts w:ascii="Arial" w:hAnsi="Arial" w:cs="Arial"/>
          <w:sz w:val="22"/>
          <w:szCs w:val="22"/>
        </w:rPr>
      </w:pPr>
    </w:p>
    <w:p w14:paraId="386DCD1C" w14:textId="77777777" w:rsidR="00516CF7" w:rsidRPr="00516CF7" w:rsidRDefault="00516CF7" w:rsidP="00516CF7">
      <w:pPr>
        <w:pStyle w:val="BodyText"/>
        <w:ind w:right="1083"/>
      </w:pPr>
      <w:r w:rsidRPr="00516CF7">
        <w:t>In insolvency procedures, liability</w:t>
      </w:r>
      <w:r w:rsidRPr="00516CF7">
        <w:rPr>
          <w:spacing w:val="-1"/>
        </w:rPr>
        <w:t xml:space="preserve"> </w:t>
      </w:r>
      <w:r w:rsidRPr="00516CF7">
        <w:t>is</w:t>
      </w:r>
      <w:r w:rsidRPr="00516CF7">
        <w:rPr>
          <w:spacing w:val="-1"/>
        </w:rPr>
        <w:t xml:space="preserve"> </w:t>
      </w:r>
      <w:r w:rsidRPr="00516CF7">
        <w:t>proven against directors</w:t>
      </w:r>
      <w:r w:rsidRPr="00516CF7">
        <w:rPr>
          <w:spacing w:val="-1"/>
        </w:rPr>
        <w:t xml:space="preserve"> </w:t>
      </w:r>
      <w:r w:rsidRPr="00516CF7">
        <w:t>if:</w:t>
      </w:r>
    </w:p>
    <w:p w14:paraId="676288FB" w14:textId="77777777" w:rsidR="00516CF7" w:rsidRPr="00516CF7" w:rsidRDefault="00516CF7" w:rsidP="00516CF7">
      <w:pPr>
        <w:pStyle w:val="BodyText"/>
        <w:spacing w:before="11"/>
      </w:pPr>
    </w:p>
    <w:p w14:paraId="4A2DEEE8" w14:textId="77777777" w:rsidR="00516CF7" w:rsidRPr="00516CF7" w:rsidRDefault="00516CF7" w:rsidP="00516CF7">
      <w:pPr>
        <w:pStyle w:val="ListParagraph"/>
        <w:widowControl w:val="0"/>
        <w:numPr>
          <w:ilvl w:val="0"/>
          <w:numId w:val="23"/>
        </w:numPr>
        <w:tabs>
          <w:tab w:val="left" w:pos="1246"/>
        </w:tabs>
        <w:autoSpaceDE w:val="0"/>
        <w:autoSpaceDN w:val="0"/>
        <w:ind w:right="230"/>
        <w:jc w:val="both"/>
        <w:rPr>
          <w:rFonts w:ascii="Arial" w:hAnsi="Arial" w:cs="Arial"/>
          <w:sz w:val="22"/>
          <w:szCs w:val="22"/>
        </w:rPr>
      </w:pPr>
      <w:r w:rsidRPr="00516CF7">
        <w:rPr>
          <w:rFonts w:ascii="Arial" w:hAnsi="Arial" w:cs="Arial"/>
          <w:sz w:val="22"/>
          <w:szCs w:val="22"/>
        </w:rPr>
        <w:t>They failed to act with normal diligence in supervising the conduct of the</w:t>
      </w:r>
      <w:r w:rsidRPr="00516CF7">
        <w:rPr>
          <w:rFonts w:ascii="Arial" w:hAnsi="Arial" w:cs="Arial"/>
          <w:spacing w:val="1"/>
          <w:sz w:val="22"/>
          <w:szCs w:val="22"/>
        </w:rPr>
        <w:t xml:space="preserve"> </w:t>
      </w:r>
      <w:r w:rsidRPr="00516CF7">
        <w:rPr>
          <w:rFonts w:ascii="Arial" w:hAnsi="Arial" w:cs="Arial"/>
          <w:sz w:val="22"/>
          <w:szCs w:val="22"/>
        </w:rPr>
        <w:t>company’s affairs, to do their best to prevent the occurrence of prejudicial acts or reduce</w:t>
      </w:r>
      <w:r w:rsidRPr="00516CF7">
        <w:rPr>
          <w:rFonts w:ascii="Arial" w:hAnsi="Arial" w:cs="Arial"/>
          <w:spacing w:val="-2"/>
          <w:sz w:val="22"/>
          <w:szCs w:val="22"/>
        </w:rPr>
        <w:t xml:space="preserve"> </w:t>
      </w:r>
      <w:r w:rsidRPr="00516CF7">
        <w:rPr>
          <w:rFonts w:ascii="Arial" w:hAnsi="Arial" w:cs="Arial"/>
          <w:sz w:val="22"/>
          <w:szCs w:val="22"/>
        </w:rPr>
        <w:t>their</w:t>
      </w:r>
      <w:r w:rsidRPr="00516CF7">
        <w:rPr>
          <w:rFonts w:ascii="Arial" w:hAnsi="Arial" w:cs="Arial"/>
          <w:spacing w:val="-2"/>
          <w:sz w:val="22"/>
          <w:szCs w:val="22"/>
        </w:rPr>
        <w:t xml:space="preserve"> </w:t>
      </w:r>
      <w:r w:rsidRPr="00516CF7">
        <w:rPr>
          <w:rFonts w:ascii="Arial" w:hAnsi="Arial" w:cs="Arial"/>
          <w:sz w:val="22"/>
          <w:szCs w:val="22"/>
        </w:rPr>
        <w:t>harmful</w:t>
      </w:r>
      <w:r w:rsidRPr="00516CF7">
        <w:rPr>
          <w:rFonts w:ascii="Arial" w:hAnsi="Arial" w:cs="Arial"/>
          <w:spacing w:val="-1"/>
          <w:sz w:val="22"/>
          <w:szCs w:val="22"/>
        </w:rPr>
        <w:t xml:space="preserve"> </w:t>
      </w:r>
      <w:r w:rsidRPr="00516CF7">
        <w:rPr>
          <w:rFonts w:ascii="Arial" w:hAnsi="Arial" w:cs="Arial"/>
          <w:sz w:val="22"/>
          <w:szCs w:val="22"/>
        </w:rPr>
        <w:t>effect or</w:t>
      </w:r>
      <w:r w:rsidRPr="00516CF7">
        <w:rPr>
          <w:rFonts w:ascii="Arial" w:hAnsi="Arial" w:cs="Arial"/>
          <w:spacing w:val="-2"/>
          <w:sz w:val="22"/>
          <w:szCs w:val="22"/>
        </w:rPr>
        <w:t xml:space="preserve"> </w:t>
      </w:r>
      <w:r w:rsidRPr="00516CF7">
        <w:rPr>
          <w:rFonts w:ascii="Arial" w:hAnsi="Arial" w:cs="Arial"/>
          <w:sz w:val="22"/>
          <w:szCs w:val="22"/>
        </w:rPr>
        <w:t>have</w:t>
      </w:r>
      <w:r w:rsidRPr="00516CF7">
        <w:rPr>
          <w:rFonts w:ascii="Arial" w:hAnsi="Arial" w:cs="Arial"/>
          <w:spacing w:val="-1"/>
          <w:sz w:val="22"/>
          <w:szCs w:val="22"/>
        </w:rPr>
        <w:t xml:space="preserve"> </w:t>
      </w:r>
      <w:r w:rsidRPr="00516CF7">
        <w:rPr>
          <w:rFonts w:ascii="Arial" w:hAnsi="Arial" w:cs="Arial"/>
          <w:sz w:val="22"/>
          <w:szCs w:val="22"/>
        </w:rPr>
        <w:t>acted</w:t>
      </w:r>
      <w:r w:rsidRPr="00516CF7">
        <w:rPr>
          <w:rFonts w:ascii="Arial" w:hAnsi="Arial" w:cs="Arial"/>
          <w:spacing w:val="-2"/>
          <w:sz w:val="22"/>
          <w:szCs w:val="22"/>
        </w:rPr>
        <w:t xml:space="preserve"> </w:t>
      </w:r>
      <w:r w:rsidRPr="00516CF7">
        <w:rPr>
          <w:rFonts w:ascii="Arial" w:hAnsi="Arial" w:cs="Arial"/>
          <w:sz w:val="22"/>
          <w:szCs w:val="22"/>
        </w:rPr>
        <w:t>in</w:t>
      </w:r>
      <w:r w:rsidRPr="00516CF7">
        <w:rPr>
          <w:rFonts w:ascii="Arial" w:hAnsi="Arial" w:cs="Arial"/>
          <w:spacing w:val="-2"/>
          <w:sz w:val="22"/>
          <w:szCs w:val="22"/>
        </w:rPr>
        <w:t xml:space="preserve"> </w:t>
      </w:r>
      <w:r w:rsidRPr="00516CF7">
        <w:rPr>
          <w:rFonts w:ascii="Arial" w:hAnsi="Arial" w:cs="Arial"/>
          <w:sz w:val="22"/>
          <w:szCs w:val="22"/>
        </w:rPr>
        <w:t>conflict</w:t>
      </w:r>
      <w:r w:rsidRPr="00516CF7">
        <w:rPr>
          <w:rFonts w:ascii="Arial" w:hAnsi="Arial" w:cs="Arial"/>
          <w:spacing w:val="-1"/>
          <w:sz w:val="22"/>
          <w:szCs w:val="22"/>
        </w:rPr>
        <w:t xml:space="preserve"> </w:t>
      </w:r>
      <w:r w:rsidRPr="00516CF7">
        <w:rPr>
          <w:rFonts w:ascii="Arial" w:hAnsi="Arial" w:cs="Arial"/>
          <w:sz w:val="22"/>
          <w:szCs w:val="22"/>
        </w:rPr>
        <w:t>of</w:t>
      </w:r>
      <w:r w:rsidRPr="00516CF7">
        <w:rPr>
          <w:rFonts w:ascii="Arial" w:hAnsi="Arial" w:cs="Arial"/>
          <w:spacing w:val="-2"/>
          <w:sz w:val="22"/>
          <w:szCs w:val="22"/>
        </w:rPr>
        <w:t xml:space="preserve"> </w:t>
      </w:r>
      <w:r w:rsidRPr="00516CF7">
        <w:rPr>
          <w:rFonts w:ascii="Arial" w:hAnsi="Arial" w:cs="Arial"/>
          <w:sz w:val="22"/>
          <w:szCs w:val="22"/>
        </w:rPr>
        <w:t>interest.</w:t>
      </w:r>
    </w:p>
    <w:p w14:paraId="5F331F6F" w14:textId="77777777" w:rsidR="00516CF7" w:rsidRPr="00516CF7" w:rsidRDefault="00516CF7" w:rsidP="00516CF7">
      <w:pPr>
        <w:tabs>
          <w:tab w:val="left" w:pos="1246"/>
        </w:tabs>
        <w:rPr>
          <w:rFonts w:ascii="Arial" w:hAnsi="Arial" w:cs="Arial"/>
          <w:sz w:val="22"/>
          <w:szCs w:val="22"/>
        </w:rPr>
      </w:pPr>
    </w:p>
    <w:p w14:paraId="4749C768" w14:textId="77777777" w:rsidR="00516CF7" w:rsidRPr="00516CF7" w:rsidRDefault="00516CF7" w:rsidP="00516CF7">
      <w:pPr>
        <w:pStyle w:val="ListParagraph"/>
        <w:widowControl w:val="0"/>
        <w:numPr>
          <w:ilvl w:val="0"/>
          <w:numId w:val="23"/>
        </w:numPr>
        <w:tabs>
          <w:tab w:val="left" w:pos="1246"/>
        </w:tabs>
        <w:autoSpaceDE w:val="0"/>
        <w:autoSpaceDN w:val="0"/>
        <w:rPr>
          <w:rFonts w:ascii="Arial" w:hAnsi="Arial" w:cs="Arial"/>
          <w:sz w:val="22"/>
          <w:szCs w:val="22"/>
        </w:rPr>
      </w:pPr>
      <w:r w:rsidRPr="00516CF7">
        <w:rPr>
          <w:rFonts w:ascii="Arial" w:hAnsi="Arial" w:cs="Arial"/>
          <w:sz w:val="22"/>
          <w:szCs w:val="22"/>
        </w:rPr>
        <w:t>The</w:t>
      </w:r>
      <w:r w:rsidRPr="00516CF7">
        <w:rPr>
          <w:rFonts w:ascii="Arial" w:hAnsi="Arial" w:cs="Arial"/>
          <w:spacing w:val="-4"/>
          <w:sz w:val="22"/>
          <w:szCs w:val="22"/>
        </w:rPr>
        <w:t xml:space="preserve">y </w:t>
      </w:r>
      <w:r w:rsidRPr="00516CF7">
        <w:rPr>
          <w:rFonts w:ascii="Arial" w:hAnsi="Arial" w:cs="Arial"/>
          <w:sz w:val="22"/>
          <w:szCs w:val="22"/>
        </w:rPr>
        <w:t>actions</w:t>
      </w:r>
      <w:r w:rsidRPr="00516CF7">
        <w:rPr>
          <w:rFonts w:ascii="Arial" w:hAnsi="Arial" w:cs="Arial"/>
          <w:spacing w:val="-3"/>
          <w:sz w:val="22"/>
          <w:szCs w:val="22"/>
        </w:rPr>
        <w:t xml:space="preserve"> </w:t>
      </w:r>
      <w:r w:rsidRPr="00516CF7">
        <w:rPr>
          <w:rFonts w:ascii="Arial" w:hAnsi="Arial" w:cs="Arial"/>
          <w:sz w:val="22"/>
          <w:szCs w:val="22"/>
        </w:rPr>
        <w:t>caused</w:t>
      </w:r>
      <w:r w:rsidRPr="00516CF7">
        <w:rPr>
          <w:rFonts w:ascii="Arial" w:hAnsi="Arial" w:cs="Arial"/>
          <w:spacing w:val="-4"/>
          <w:sz w:val="22"/>
          <w:szCs w:val="22"/>
        </w:rPr>
        <w:t xml:space="preserve"> </w:t>
      </w:r>
      <w:r w:rsidRPr="00516CF7">
        <w:rPr>
          <w:rFonts w:ascii="Arial" w:hAnsi="Arial" w:cs="Arial"/>
          <w:sz w:val="22"/>
          <w:szCs w:val="22"/>
        </w:rPr>
        <w:t>immediate</w:t>
      </w:r>
      <w:r w:rsidRPr="00516CF7">
        <w:rPr>
          <w:rFonts w:ascii="Arial" w:hAnsi="Arial" w:cs="Arial"/>
          <w:spacing w:val="-3"/>
          <w:sz w:val="22"/>
          <w:szCs w:val="22"/>
        </w:rPr>
        <w:t xml:space="preserve"> </w:t>
      </w:r>
      <w:r w:rsidRPr="00516CF7">
        <w:rPr>
          <w:rFonts w:ascii="Arial" w:hAnsi="Arial" w:cs="Arial"/>
          <w:sz w:val="22"/>
          <w:szCs w:val="22"/>
        </w:rPr>
        <w:t>and</w:t>
      </w:r>
      <w:r w:rsidRPr="00516CF7">
        <w:rPr>
          <w:rFonts w:ascii="Arial" w:hAnsi="Arial" w:cs="Arial"/>
          <w:spacing w:val="-4"/>
          <w:sz w:val="22"/>
          <w:szCs w:val="22"/>
        </w:rPr>
        <w:t xml:space="preserve"> </w:t>
      </w:r>
      <w:r w:rsidRPr="00516CF7">
        <w:rPr>
          <w:rFonts w:ascii="Arial" w:hAnsi="Arial" w:cs="Arial"/>
          <w:sz w:val="22"/>
          <w:szCs w:val="22"/>
        </w:rPr>
        <w:t>direct</w:t>
      </w:r>
      <w:r w:rsidRPr="00516CF7">
        <w:rPr>
          <w:rFonts w:ascii="Arial" w:hAnsi="Arial" w:cs="Arial"/>
          <w:spacing w:val="-3"/>
          <w:sz w:val="22"/>
          <w:szCs w:val="22"/>
        </w:rPr>
        <w:t xml:space="preserve"> </w:t>
      </w:r>
      <w:r w:rsidRPr="00516CF7">
        <w:rPr>
          <w:rFonts w:ascii="Arial" w:hAnsi="Arial" w:cs="Arial"/>
          <w:sz w:val="22"/>
          <w:szCs w:val="22"/>
        </w:rPr>
        <w:t>damage</w:t>
      </w:r>
      <w:r w:rsidRPr="00516CF7">
        <w:rPr>
          <w:rFonts w:ascii="Arial" w:hAnsi="Arial" w:cs="Arial"/>
          <w:spacing w:val="-4"/>
          <w:sz w:val="22"/>
          <w:szCs w:val="22"/>
        </w:rPr>
        <w:t xml:space="preserve"> </w:t>
      </w:r>
      <w:r w:rsidRPr="00516CF7">
        <w:rPr>
          <w:rFonts w:ascii="Arial" w:hAnsi="Arial" w:cs="Arial"/>
          <w:sz w:val="22"/>
          <w:szCs w:val="22"/>
        </w:rPr>
        <w:t>to</w:t>
      </w:r>
      <w:r w:rsidRPr="00516CF7">
        <w:rPr>
          <w:rFonts w:ascii="Arial" w:hAnsi="Arial" w:cs="Arial"/>
          <w:spacing w:val="-3"/>
          <w:sz w:val="22"/>
          <w:szCs w:val="22"/>
        </w:rPr>
        <w:t xml:space="preserve"> </w:t>
      </w:r>
      <w:r w:rsidRPr="00516CF7">
        <w:rPr>
          <w:rFonts w:ascii="Arial" w:hAnsi="Arial" w:cs="Arial"/>
          <w:sz w:val="22"/>
          <w:szCs w:val="22"/>
        </w:rPr>
        <w:t>the</w:t>
      </w:r>
      <w:r w:rsidRPr="00516CF7">
        <w:rPr>
          <w:rFonts w:ascii="Arial" w:hAnsi="Arial" w:cs="Arial"/>
          <w:spacing w:val="-4"/>
          <w:sz w:val="22"/>
          <w:szCs w:val="22"/>
        </w:rPr>
        <w:t xml:space="preserve"> </w:t>
      </w:r>
      <w:r w:rsidRPr="00516CF7">
        <w:rPr>
          <w:rFonts w:ascii="Arial" w:hAnsi="Arial" w:cs="Arial"/>
          <w:sz w:val="22"/>
          <w:szCs w:val="22"/>
        </w:rPr>
        <w:t>company.</w:t>
      </w:r>
    </w:p>
    <w:p w14:paraId="7473B1B3" w14:textId="77777777" w:rsidR="00516CF7" w:rsidRPr="00516CF7" w:rsidRDefault="00516CF7" w:rsidP="00516CF7">
      <w:pPr>
        <w:jc w:val="both"/>
        <w:rPr>
          <w:rFonts w:ascii="Arial" w:hAnsi="Arial" w:cs="Arial"/>
          <w:sz w:val="22"/>
          <w:szCs w:val="22"/>
        </w:rPr>
      </w:pPr>
    </w:p>
    <w:p w14:paraId="157526D4" w14:textId="77777777" w:rsidR="00516CF7" w:rsidRPr="00516CF7" w:rsidRDefault="00516CF7" w:rsidP="00516CF7">
      <w:pPr>
        <w:jc w:val="both"/>
        <w:rPr>
          <w:rFonts w:ascii="Arial" w:hAnsi="Arial" w:cs="Arial"/>
          <w:sz w:val="22"/>
          <w:szCs w:val="22"/>
        </w:rPr>
      </w:pPr>
      <w:r w:rsidRPr="00516CF7">
        <w:rPr>
          <w:rFonts w:ascii="Arial" w:hAnsi="Arial" w:cs="Arial"/>
          <w:sz w:val="22"/>
          <w:szCs w:val="22"/>
        </w:rPr>
        <w:t>According to article 224 of Italian insolvency law, criminal liability for simple bankruptcy to directors, managers, auditors, and officeholders. These persons can be punished with imprisonment of between six months to two years if they unreasonably delayed the commencement of a corporate insolvency procedure, or they have concurred in altering the company’s accounting entries.</w:t>
      </w:r>
    </w:p>
    <w:p w14:paraId="4A5F3DCD" w14:textId="77777777" w:rsidR="00516CF7" w:rsidRPr="00516CF7" w:rsidRDefault="00516CF7" w:rsidP="00516CF7">
      <w:pPr>
        <w:jc w:val="both"/>
        <w:rPr>
          <w:rFonts w:ascii="Arial" w:hAnsi="Arial" w:cs="Arial"/>
          <w:sz w:val="22"/>
          <w:szCs w:val="22"/>
        </w:rPr>
      </w:pPr>
    </w:p>
    <w:p w14:paraId="42D2B072" w14:textId="77777777" w:rsidR="00516CF7" w:rsidRPr="00516CF7" w:rsidRDefault="00516CF7" w:rsidP="00516CF7">
      <w:pPr>
        <w:jc w:val="both"/>
        <w:rPr>
          <w:rFonts w:ascii="Arial" w:hAnsi="Arial" w:cs="Arial"/>
          <w:sz w:val="22"/>
          <w:szCs w:val="22"/>
        </w:rPr>
      </w:pPr>
      <w:r w:rsidRPr="00516CF7">
        <w:rPr>
          <w:rFonts w:ascii="Arial" w:hAnsi="Arial" w:cs="Arial"/>
          <w:sz w:val="22"/>
          <w:szCs w:val="22"/>
        </w:rPr>
        <w:t xml:space="preserve">In the particular case, a director of </w:t>
      </w:r>
      <w:proofErr w:type="spellStart"/>
      <w:r w:rsidRPr="00516CF7">
        <w:rPr>
          <w:rFonts w:ascii="Arial" w:hAnsi="Arial" w:cs="Arial"/>
          <w:sz w:val="22"/>
          <w:szCs w:val="22"/>
        </w:rPr>
        <w:t>Buonapizza</w:t>
      </w:r>
      <w:proofErr w:type="spellEnd"/>
      <w:r w:rsidRPr="00516CF7">
        <w:rPr>
          <w:rFonts w:ascii="Arial" w:hAnsi="Arial" w:cs="Arial"/>
          <w:sz w:val="22"/>
          <w:szCs w:val="22"/>
        </w:rPr>
        <w:t xml:space="preserve"> is responsible for these acts who withheld relevant information about the company’s state of affairs and devised a complex scheme, divert funds to offshore accounts and alter the company’s balance sheet) because this director did not act with normal diligence and did detrimental acts against the debtor´s assets.</w:t>
      </w:r>
    </w:p>
    <w:p w14:paraId="27C7F07D" w14:textId="77777777" w:rsidR="00516CF7" w:rsidRPr="00516CF7" w:rsidRDefault="00516CF7" w:rsidP="00516CF7">
      <w:pPr>
        <w:jc w:val="both"/>
        <w:rPr>
          <w:rFonts w:ascii="Arial" w:hAnsi="Arial" w:cs="Arial"/>
          <w:sz w:val="22"/>
          <w:szCs w:val="22"/>
        </w:rPr>
      </w:pPr>
    </w:p>
    <w:p w14:paraId="3C61B48A" w14:textId="77777777" w:rsidR="00516CF7" w:rsidRPr="00516CF7" w:rsidRDefault="00516CF7" w:rsidP="00516CF7">
      <w:pPr>
        <w:jc w:val="both"/>
        <w:rPr>
          <w:rFonts w:ascii="Arial" w:hAnsi="Arial" w:cs="Arial"/>
          <w:sz w:val="22"/>
          <w:szCs w:val="22"/>
        </w:rPr>
      </w:pPr>
      <w:r w:rsidRPr="00516CF7">
        <w:rPr>
          <w:rFonts w:ascii="Arial" w:hAnsi="Arial" w:cs="Arial"/>
          <w:sz w:val="22"/>
          <w:szCs w:val="22"/>
        </w:rPr>
        <w:t xml:space="preserve">Moreover, </w:t>
      </w:r>
      <w:proofErr w:type="spellStart"/>
      <w:r w:rsidRPr="00516CF7">
        <w:rPr>
          <w:rFonts w:ascii="Arial" w:hAnsi="Arial" w:cs="Arial"/>
          <w:sz w:val="22"/>
          <w:szCs w:val="22"/>
        </w:rPr>
        <w:t>Buonapizza’s</w:t>
      </w:r>
      <w:proofErr w:type="spellEnd"/>
      <w:r w:rsidRPr="00516CF7">
        <w:rPr>
          <w:rFonts w:ascii="Arial" w:hAnsi="Arial" w:cs="Arial"/>
          <w:sz w:val="22"/>
          <w:szCs w:val="22"/>
        </w:rPr>
        <w:t xml:space="preserve"> auditor or accountant will be responsible for altering the company’s balance sheet. In contrast, in the provided example, it is not clear that managers or officeholders knew of these misconducts.</w:t>
      </w:r>
    </w:p>
    <w:p w14:paraId="0B57F6C4" w14:textId="77777777" w:rsidR="00516CF7" w:rsidRPr="00516CF7" w:rsidRDefault="00516CF7" w:rsidP="00516CF7">
      <w:pPr>
        <w:jc w:val="both"/>
        <w:rPr>
          <w:rFonts w:ascii="Arial" w:hAnsi="Arial" w:cs="Arial"/>
          <w:sz w:val="22"/>
          <w:szCs w:val="22"/>
        </w:rPr>
      </w:pPr>
    </w:p>
    <w:p w14:paraId="544B023C" w14:textId="3025330D" w:rsidR="00516CF7" w:rsidRPr="00516CF7" w:rsidRDefault="00516CF7" w:rsidP="00516CF7">
      <w:pPr>
        <w:jc w:val="both"/>
        <w:rPr>
          <w:rFonts w:ascii="Arial" w:hAnsi="Arial" w:cs="Arial"/>
          <w:sz w:val="22"/>
          <w:szCs w:val="22"/>
        </w:rPr>
      </w:pPr>
      <w:r w:rsidRPr="00516CF7">
        <w:rPr>
          <w:rFonts w:ascii="Arial" w:hAnsi="Arial" w:cs="Arial"/>
          <w:sz w:val="22"/>
          <w:szCs w:val="22"/>
        </w:rPr>
        <w:t>Finally, the court of Modena cannot have any liability because it only ordered the execution of an action from a debtor’s creditor, it is impossible to know that from this action</w:t>
      </w:r>
      <w:r w:rsidR="007D0C05">
        <w:rPr>
          <w:rFonts w:ascii="Arial" w:hAnsi="Arial" w:cs="Arial"/>
          <w:sz w:val="22"/>
          <w:szCs w:val="22"/>
        </w:rPr>
        <w:t>,</w:t>
      </w:r>
      <w:r w:rsidRPr="00516CF7">
        <w:rPr>
          <w:rFonts w:ascii="Arial" w:hAnsi="Arial" w:cs="Arial"/>
          <w:sz w:val="22"/>
          <w:szCs w:val="22"/>
        </w:rPr>
        <w:t xml:space="preserve"> debtor would be insolvent.</w:t>
      </w:r>
    </w:p>
    <w:p w14:paraId="48E056B9" w14:textId="77777777" w:rsidR="00B731DB" w:rsidRPr="002A37BB" w:rsidRDefault="00B731DB" w:rsidP="00087F21">
      <w:pPr>
        <w:autoSpaceDE w:val="0"/>
        <w:autoSpaceDN w:val="0"/>
        <w:adjustRightInd w:val="0"/>
        <w:jc w:val="both"/>
        <w:rPr>
          <w:rFonts w:ascii="Arial" w:hAnsi="Arial" w:cs="Arial"/>
          <w:sz w:val="22"/>
          <w:szCs w:val="22"/>
          <w:lang w:val="en-GB"/>
        </w:rPr>
      </w:pPr>
    </w:p>
    <w:p w14:paraId="616BC1AF"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lastRenderedPageBreak/>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7DF2458A" w14:textId="77777777" w:rsidR="003505BA" w:rsidRDefault="003505BA" w:rsidP="003505BA">
      <w:pPr>
        <w:pStyle w:val="ListParagraph"/>
        <w:jc w:val="both"/>
        <w:rPr>
          <w:rFonts w:ascii="Arial" w:hAnsi="Arial" w:cs="Arial"/>
          <w:sz w:val="22"/>
          <w:szCs w:val="22"/>
          <w:lang w:val="en-GB"/>
        </w:rPr>
      </w:pPr>
    </w:p>
    <w:p w14:paraId="5262BFB5"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Could </w:t>
      </w:r>
      <w:r>
        <w:rPr>
          <w:rFonts w:ascii="Arial" w:hAnsi="Arial" w:cs="Arial"/>
          <w:i/>
          <w:sz w:val="22"/>
          <w:szCs w:val="22"/>
          <w:lang w:val="en-GB"/>
        </w:rPr>
        <w:t>Buonapizza Srl</w:t>
      </w:r>
      <w:r>
        <w:rPr>
          <w:rFonts w:ascii="Arial" w:hAnsi="Arial" w:cs="Arial"/>
          <w:sz w:val="22"/>
          <w:szCs w:val="22"/>
          <w:lang w:val="en-GB"/>
        </w:rPr>
        <w:t xml:space="preserve"> grant collateral over the plot of land described in the example? Are there any assets that, under Italian law, cannot be obtained as collateral? </w:t>
      </w:r>
    </w:p>
    <w:p w14:paraId="63F5B94B" w14:textId="376E74CB" w:rsidR="0077498C" w:rsidRDefault="0077498C" w:rsidP="00087F21">
      <w:pPr>
        <w:jc w:val="both"/>
        <w:rPr>
          <w:rFonts w:ascii="Arial" w:hAnsi="Arial" w:cs="Arial"/>
          <w:color w:val="000000" w:themeColor="text1"/>
          <w:sz w:val="22"/>
          <w:szCs w:val="22"/>
          <w:lang w:val="en-GB"/>
        </w:rPr>
      </w:pPr>
    </w:p>
    <w:p w14:paraId="030EF5D3" w14:textId="5377FC41" w:rsidR="002A2ACF" w:rsidRPr="002A2ACF" w:rsidRDefault="002A2ACF" w:rsidP="002A2ACF">
      <w:pPr>
        <w:jc w:val="both"/>
        <w:rPr>
          <w:rFonts w:ascii="Arial" w:hAnsi="Arial" w:cs="Arial"/>
          <w:sz w:val="22"/>
          <w:szCs w:val="22"/>
        </w:rPr>
      </w:pPr>
      <w:r w:rsidRPr="002A2ACF">
        <w:rPr>
          <w:rFonts w:ascii="Arial" w:hAnsi="Arial" w:cs="Arial"/>
          <w:sz w:val="22"/>
          <w:szCs w:val="22"/>
        </w:rPr>
        <w:t xml:space="preserve">According to Italian law, debtors have the freedom to grant securities over their assets or properties. </w:t>
      </w:r>
      <w:proofErr w:type="spellStart"/>
      <w:r w:rsidRPr="002A2ACF">
        <w:rPr>
          <w:rFonts w:ascii="Arial" w:hAnsi="Arial" w:cs="Arial"/>
          <w:sz w:val="22"/>
          <w:szCs w:val="22"/>
        </w:rPr>
        <w:t>Buonapizza</w:t>
      </w:r>
      <w:proofErr w:type="spellEnd"/>
      <w:r w:rsidRPr="002A2ACF">
        <w:rPr>
          <w:rFonts w:ascii="Arial" w:hAnsi="Arial" w:cs="Arial"/>
          <w:sz w:val="22"/>
          <w:szCs w:val="22"/>
        </w:rPr>
        <w:t xml:space="preserve"> granted Tesco as collateral a plot of land, not the river or part of it, in this case, this collateral was obtained correctly for this creditor.</w:t>
      </w:r>
    </w:p>
    <w:p w14:paraId="3D1528C6" w14:textId="77777777" w:rsidR="002A2ACF" w:rsidRPr="002A2ACF" w:rsidRDefault="002A2ACF" w:rsidP="002A2ACF">
      <w:pPr>
        <w:jc w:val="both"/>
        <w:rPr>
          <w:rFonts w:ascii="Arial" w:hAnsi="Arial" w:cs="Arial"/>
          <w:sz w:val="22"/>
          <w:szCs w:val="22"/>
        </w:rPr>
      </w:pPr>
    </w:p>
    <w:p w14:paraId="6FF94D95" w14:textId="6FCA01A1" w:rsidR="002A2ACF" w:rsidRPr="002A2ACF" w:rsidRDefault="002A2ACF" w:rsidP="002A2ACF">
      <w:pPr>
        <w:jc w:val="both"/>
        <w:rPr>
          <w:rFonts w:ascii="Arial" w:hAnsi="Arial" w:cs="Arial"/>
          <w:sz w:val="22"/>
          <w:szCs w:val="22"/>
        </w:rPr>
      </w:pPr>
      <w:r w:rsidRPr="002A2ACF">
        <w:rPr>
          <w:rFonts w:ascii="Arial" w:hAnsi="Arial" w:cs="Arial"/>
          <w:sz w:val="22"/>
          <w:szCs w:val="22"/>
        </w:rPr>
        <w:t>Additionally, article 822 of the Italian Civil Procedure Code states some debtor´s assets cannot be obtained as collateral such as:</w:t>
      </w:r>
    </w:p>
    <w:p w14:paraId="33AD6531" w14:textId="77777777" w:rsidR="002A2ACF" w:rsidRPr="002A2ACF" w:rsidRDefault="002A2ACF" w:rsidP="002A2ACF">
      <w:pPr>
        <w:jc w:val="both"/>
        <w:rPr>
          <w:rFonts w:ascii="Arial" w:hAnsi="Arial" w:cs="Arial"/>
          <w:sz w:val="22"/>
          <w:szCs w:val="22"/>
        </w:rPr>
      </w:pPr>
    </w:p>
    <w:p w14:paraId="4A22343B" w14:textId="77777777" w:rsidR="002A2ACF" w:rsidRPr="002A2ACF" w:rsidRDefault="002A2ACF" w:rsidP="002A2ACF">
      <w:pPr>
        <w:pStyle w:val="ListParagraph"/>
        <w:numPr>
          <w:ilvl w:val="0"/>
          <w:numId w:val="24"/>
        </w:numPr>
        <w:spacing w:after="160" w:line="259" w:lineRule="auto"/>
        <w:jc w:val="both"/>
        <w:rPr>
          <w:rFonts w:ascii="Arial" w:hAnsi="Arial" w:cs="Arial"/>
          <w:sz w:val="22"/>
          <w:szCs w:val="22"/>
        </w:rPr>
      </w:pPr>
      <w:r w:rsidRPr="002A2ACF">
        <w:rPr>
          <w:rFonts w:ascii="Arial" w:hAnsi="Arial" w:cs="Arial"/>
          <w:sz w:val="22"/>
          <w:szCs w:val="22"/>
        </w:rPr>
        <w:t xml:space="preserve">Assets that can only belong to the state include seashores, </w:t>
      </w:r>
      <w:proofErr w:type="spellStart"/>
      <w:r w:rsidRPr="002A2ACF">
        <w:rPr>
          <w:rFonts w:ascii="Arial" w:hAnsi="Arial" w:cs="Arial"/>
          <w:sz w:val="22"/>
          <w:szCs w:val="22"/>
        </w:rPr>
        <w:t>harbours</w:t>
      </w:r>
      <w:proofErr w:type="spellEnd"/>
      <w:r w:rsidRPr="002A2ACF">
        <w:rPr>
          <w:rFonts w:ascii="Arial" w:hAnsi="Arial" w:cs="Arial"/>
          <w:sz w:val="22"/>
          <w:szCs w:val="22"/>
        </w:rPr>
        <w:t>, rivers, streams, lakes, and territorial waters.</w:t>
      </w:r>
    </w:p>
    <w:p w14:paraId="1D3AA9F5" w14:textId="77777777" w:rsidR="002A2ACF" w:rsidRPr="002A2ACF" w:rsidRDefault="002A2ACF" w:rsidP="002A2ACF">
      <w:pPr>
        <w:pStyle w:val="ListParagraph"/>
        <w:jc w:val="both"/>
        <w:rPr>
          <w:rFonts w:ascii="Arial" w:hAnsi="Arial" w:cs="Arial"/>
          <w:sz w:val="22"/>
          <w:szCs w:val="22"/>
        </w:rPr>
      </w:pPr>
    </w:p>
    <w:p w14:paraId="6E96CC68" w14:textId="77777777" w:rsidR="002A2ACF" w:rsidRPr="002A2ACF" w:rsidRDefault="002A2ACF" w:rsidP="002A2ACF">
      <w:pPr>
        <w:pStyle w:val="ListParagraph"/>
        <w:widowControl w:val="0"/>
        <w:numPr>
          <w:ilvl w:val="0"/>
          <w:numId w:val="24"/>
        </w:numPr>
        <w:tabs>
          <w:tab w:val="left" w:pos="1246"/>
        </w:tabs>
        <w:autoSpaceDE w:val="0"/>
        <w:autoSpaceDN w:val="0"/>
        <w:spacing w:before="1"/>
        <w:ind w:right="227"/>
        <w:contextualSpacing w:val="0"/>
        <w:jc w:val="both"/>
        <w:rPr>
          <w:rFonts w:ascii="Arial" w:hAnsi="Arial" w:cs="Arial"/>
          <w:bCs/>
          <w:sz w:val="22"/>
          <w:szCs w:val="22"/>
        </w:rPr>
      </w:pPr>
      <w:r w:rsidRPr="002A2ACF">
        <w:rPr>
          <w:rFonts w:ascii="Arial" w:hAnsi="Arial" w:cs="Arial"/>
          <w:sz w:val="22"/>
          <w:szCs w:val="22"/>
        </w:rPr>
        <w:t xml:space="preserve">Assets that cannot be </w:t>
      </w:r>
      <w:proofErr w:type="spellStart"/>
      <w:r w:rsidRPr="002A2ACF">
        <w:rPr>
          <w:rFonts w:ascii="Arial" w:hAnsi="Arial" w:cs="Arial"/>
          <w:sz w:val="22"/>
          <w:szCs w:val="22"/>
        </w:rPr>
        <w:t>securitised</w:t>
      </w:r>
      <w:proofErr w:type="spellEnd"/>
      <w:r w:rsidRPr="002A2ACF">
        <w:rPr>
          <w:rFonts w:ascii="Arial" w:hAnsi="Arial" w:cs="Arial"/>
          <w:sz w:val="22"/>
          <w:szCs w:val="22"/>
        </w:rPr>
        <w:t xml:space="preserve"> if they belong to the state include roads, railways, highways, airports, aqueducts, buildings with historical, artistic or archaeological interests and the pieces of art owned by museums, archives and libraries</w:t>
      </w:r>
      <w:r w:rsidRPr="002A2ACF">
        <w:rPr>
          <w:rFonts w:ascii="Arial" w:hAnsi="Arial" w:cs="Arial"/>
          <w:bCs/>
          <w:sz w:val="22"/>
          <w:szCs w:val="22"/>
        </w:rPr>
        <w:t>.</w:t>
      </w:r>
    </w:p>
    <w:p w14:paraId="238366E4" w14:textId="77777777" w:rsidR="002A2ACF" w:rsidRPr="002A2ACF" w:rsidRDefault="002A2ACF" w:rsidP="00087F21">
      <w:pPr>
        <w:jc w:val="both"/>
        <w:rPr>
          <w:rFonts w:ascii="Arial" w:hAnsi="Arial" w:cs="Arial"/>
          <w:color w:val="000000" w:themeColor="text1"/>
          <w:sz w:val="22"/>
          <w:szCs w:val="22"/>
        </w:rPr>
      </w:pPr>
    </w:p>
    <w:p w14:paraId="64D252C1" w14:textId="77777777" w:rsidR="00B731DB" w:rsidRDefault="00B731DB" w:rsidP="00087F21">
      <w:pPr>
        <w:jc w:val="both"/>
        <w:rPr>
          <w:rFonts w:ascii="Arial" w:hAnsi="Arial" w:cs="Arial"/>
          <w:color w:val="000000" w:themeColor="text1"/>
          <w:sz w:val="22"/>
          <w:szCs w:val="22"/>
          <w:lang w:val="en-GB"/>
        </w:rPr>
      </w:pPr>
    </w:p>
    <w:p w14:paraId="73BDA527" w14:textId="77777777" w:rsidR="00B731DB" w:rsidRPr="002A37BB" w:rsidRDefault="00B731DB" w:rsidP="00087F21">
      <w:pPr>
        <w:jc w:val="both"/>
        <w:rPr>
          <w:rFonts w:ascii="Arial" w:hAnsi="Arial" w:cs="Arial"/>
          <w:color w:val="000000" w:themeColor="text1"/>
          <w:sz w:val="22"/>
          <w:szCs w:val="22"/>
          <w:lang w:val="en-GB"/>
        </w:rPr>
      </w:pPr>
    </w:p>
    <w:p w14:paraId="4D75D0B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608D" w14:textId="77777777" w:rsidR="00E926A3" w:rsidRDefault="00E926A3" w:rsidP="00241B44">
      <w:r>
        <w:separator/>
      </w:r>
    </w:p>
  </w:endnote>
  <w:endnote w:type="continuationSeparator" w:id="0">
    <w:p w14:paraId="54243DC4" w14:textId="77777777" w:rsidR="00E926A3" w:rsidRDefault="00E926A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F38BA84"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E583EBB"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6EF7A4B"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501F9">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C33942B" w14:textId="555846D0" w:rsidR="00241FA3" w:rsidRPr="009B4976" w:rsidRDefault="001F34DD" w:rsidP="009B4976">
    <w:pPr>
      <w:pStyle w:val="Footer"/>
      <w:ind w:right="360"/>
      <w:rPr>
        <w:rFonts w:ascii="Arial" w:hAnsi="Arial" w:cs="Arial"/>
        <w:sz w:val="18"/>
        <w:szCs w:val="18"/>
        <w:lang w:val="en-GB"/>
      </w:rPr>
    </w:pPr>
    <w:r w:rsidRPr="001F34DD">
      <w:rPr>
        <w:rFonts w:ascii="Arial" w:hAnsi="Arial" w:cs="Arial"/>
        <w:sz w:val="18"/>
        <w:szCs w:val="18"/>
        <w:lang w:val="en-GB"/>
      </w:rPr>
      <w:t>202021IFU-211</w:t>
    </w:r>
    <w:r w:rsidR="0073158B" w:rsidRPr="009B4976">
      <w:rPr>
        <w:rFonts w:ascii="Arial" w:hAnsi="Arial" w:cs="Arial"/>
        <w:sz w:val="18"/>
        <w:szCs w:val="18"/>
        <w:lang w:val="en-GB"/>
      </w:rPr>
      <w:t>.assessment</w:t>
    </w:r>
    <w:r w:rsidR="003505BA">
      <w:rPr>
        <w:rFonts w:ascii="Arial" w:hAnsi="Arial" w:cs="Arial"/>
        <w:sz w:val="18"/>
        <w:szCs w:val="18"/>
        <w:lang w:val="en-GB"/>
      </w:rPr>
      <w:t>6D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6F39" w14:textId="77777777" w:rsidR="00E926A3" w:rsidRDefault="00E926A3" w:rsidP="00241B44">
      <w:r>
        <w:separator/>
      </w:r>
    </w:p>
  </w:footnote>
  <w:footnote w:type="continuationSeparator" w:id="0">
    <w:p w14:paraId="3FF0C2C4" w14:textId="77777777" w:rsidR="00E926A3" w:rsidRDefault="00E926A3" w:rsidP="00241B44">
      <w:r>
        <w:continuationSeparator/>
      </w:r>
    </w:p>
  </w:footnote>
  <w:footnote w:id="1">
    <w:p w14:paraId="0979525C" w14:textId="1A949A92" w:rsidR="00D62FDD" w:rsidRPr="006E238F" w:rsidRDefault="00D62FDD" w:rsidP="006E238F">
      <w:pPr>
        <w:pStyle w:val="FootnoteText"/>
        <w:jc w:val="both"/>
        <w:rPr>
          <w:rFonts w:ascii="Arial" w:hAnsi="Arial" w:cs="Arial"/>
          <w:sz w:val="18"/>
          <w:szCs w:val="18"/>
          <w:lang w:val="es-PE"/>
        </w:rPr>
      </w:pPr>
      <w:r w:rsidRPr="006E238F">
        <w:rPr>
          <w:rStyle w:val="FootnoteReference"/>
          <w:rFonts w:ascii="Arial" w:hAnsi="Arial" w:cs="Arial"/>
          <w:sz w:val="18"/>
          <w:szCs w:val="18"/>
        </w:rPr>
        <w:footnoteRef/>
      </w:r>
      <w:r w:rsidRPr="006E238F">
        <w:rPr>
          <w:rFonts w:ascii="Arial" w:hAnsi="Arial" w:cs="Arial"/>
          <w:sz w:val="18"/>
          <w:szCs w:val="18"/>
        </w:rPr>
        <w:t xml:space="preserve"> </w:t>
      </w:r>
      <w:r w:rsidR="006E238F" w:rsidRPr="006E238F">
        <w:rPr>
          <w:rFonts w:ascii="Arial" w:hAnsi="Arial" w:cs="Arial"/>
          <w:sz w:val="18"/>
          <w:szCs w:val="18"/>
        </w:rPr>
        <w:t>C Cass, no 3081/2011; De Sanctis, “</w:t>
      </w:r>
      <w:r w:rsidR="006E238F" w:rsidRPr="006E238F">
        <w:rPr>
          <w:rFonts w:ascii="Arial" w:hAnsi="Arial" w:cs="Arial"/>
          <w:i/>
          <w:sz w:val="18"/>
          <w:szCs w:val="18"/>
        </w:rPr>
        <w:t>Il nuovo diritto fallimentare</w:t>
      </w:r>
      <w:r w:rsidR="006E238F" w:rsidRPr="006E238F">
        <w:rPr>
          <w:rFonts w:ascii="Arial" w:hAnsi="Arial" w:cs="Arial"/>
          <w:sz w:val="18"/>
          <w:szCs w:val="18"/>
        </w:rPr>
        <w:t xml:space="preserve">” in Jorio, Fabiani (eds), </w:t>
      </w:r>
      <w:r w:rsidR="006E238F" w:rsidRPr="006E238F">
        <w:rPr>
          <w:rFonts w:ascii="Arial" w:hAnsi="Arial" w:cs="Arial"/>
          <w:i/>
          <w:sz w:val="18"/>
          <w:szCs w:val="18"/>
        </w:rPr>
        <w:t>Commentario alla</w:t>
      </w:r>
      <w:r w:rsidR="006E238F" w:rsidRPr="006E238F">
        <w:rPr>
          <w:rFonts w:ascii="Arial" w:hAnsi="Arial" w:cs="Arial"/>
          <w:i/>
          <w:spacing w:val="-47"/>
          <w:sz w:val="18"/>
          <w:szCs w:val="18"/>
        </w:rPr>
        <w:t xml:space="preserve"> </w:t>
      </w:r>
      <w:r w:rsidR="006E238F" w:rsidRPr="006E238F">
        <w:rPr>
          <w:rFonts w:ascii="Arial" w:hAnsi="Arial" w:cs="Arial"/>
          <w:i/>
          <w:sz w:val="18"/>
          <w:szCs w:val="18"/>
        </w:rPr>
        <w:t>legge</w:t>
      </w:r>
      <w:r w:rsidR="006E238F" w:rsidRPr="006E238F">
        <w:rPr>
          <w:rFonts w:ascii="Arial" w:hAnsi="Arial" w:cs="Arial"/>
          <w:i/>
          <w:spacing w:val="-3"/>
          <w:sz w:val="18"/>
          <w:szCs w:val="18"/>
        </w:rPr>
        <w:t xml:space="preserve"> </w:t>
      </w:r>
      <w:r w:rsidR="006E238F" w:rsidRPr="006E238F">
        <w:rPr>
          <w:rFonts w:ascii="Arial" w:hAnsi="Arial" w:cs="Arial"/>
          <w:i/>
          <w:sz w:val="18"/>
          <w:szCs w:val="18"/>
        </w:rPr>
        <w:t>fallimentare</w:t>
      </w:r>
      <w:r w:rsidR="006E238F" w:rsidRPr="006E238F">
        <w:rPr>
          <w:rFonts w:ascii="Arial" w:hAnsi="Arial" w:cs="Arial"/>
          <w:i/>
          <w:spacing w:val="-2"/>
          <w:sz w:val="18"/>
          <w:szCs w:val="18"/>
        </w:rPr>
        <w:t xml:space="preserve"> </w:t>
      </w:r>
      <w:r w:rsidR="006E238F" w:rsidRPr="006E238F">
        <w:rPr>
          <w:rFonts w:ascii="Arial" w:hAnsi="Arial" w:cs="Arial"/>
          <w:sz w:val="18"/>
          <w:szCs w:val="18"/>
        </w:rPr>
        <w:t>(Bologna:</w:t>
      </w:r>
      <w:r w:rsidR="006E238F" w:rsidRPr="006E238F">
        <w:rPr>
          <w:rFonts w:ascii="Arial" w:hAnsi="Arial" w:cs="Arial"/>
          <w:spacing w:val="-1"/>
          <w:sz w:val="18"/>
          <w:szCs w:val="18"/>
        </w:rPr>
        <w:t xml:space="preserve"> </w:t>
      </w:r>
      <w:r w:rsidR="006E238F" w:rsidRPr="006E238F">
        <w:rPr>
          <w:rFonts w:ascii="Arial" w:hAnsi="Arial" w:cs="Arial"/>
          <w:sz w:val="18"/>
          <w:szCs w:val="18"/>
        </w:rPr>
        <w:t>Zanichelli,</w:t>
      </w:r>
      <w:r w:rsidR="006E238F" w:rsidRPr="006E238F">
        <w:rPr>
          <w:rFonts w:ascii="Arial" w:hAnsi="Arial" w:cs="Arial"/>
          <w:spacing w:val="-1"/>
          <w:sz w:val="18"/>
          <w:szCs w:val="18"/>
        </w:rPr>
        <w:t xml:space="preserve"> </w:t>
      </w:r>
      <w:r w:rsidR="006E238F" w:rsidRPr="006E238F">
        <w:rPr>
          <w:rFonts w:ascii="Arial" w:hAnsi="Arial" w:cs="Arial"/>
          <w:sz w:val="18"/>
          <w:szCs w:val="18"/>
        </w:rPr>
        <w:t>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47F6F"/>
    <w:multiLevelType w:val="hybridMultilevel"/>
    <w:tmpl w:val="6EF2C952"/>
    <w:lvl w:ilvl="0" w:tplc="0050584A">
      <w:start w:val="1"/>
      <w:numFmt w:val="decimal"/>
      <w:lvlText w:val="%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A544ED"/>
    <w:multiLevelType w:val="hybridMultilevel"/>
    <w:tmpl w:val="2642051A"/>
    <w:lvl w:ilvl="0" w:tplc="73A6260C">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75D0F"/>
    <w:multiLevelType w:val="hybridMultilevel"/>
    <w:tmpl w:val="42D44F04"/>
    <w:lvl w:ilvl="0" w:tplc="3CFC0034">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129C0"/>
    <w:multiLevelType w:val="hybridMultilevel"/>
    <w:tmpl w:val="984066A8"/>
    <w:lvl w:ilvl="0" w:tplc="2E863FD8">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11"/>
  </w:num>
  <w:num w:numId="4">
    <w:abstractNumId w:val="18"/>
  </w:num>
  <w:num w:numId="5">
    <w:abstractNumId w:val="9"/>
  </w:num>
  <w:num w:numId="6">
    <w:abstractNumId w:val="0"/>
  </w:num>
  <w:num w:numId="7">
    <w:abstractNumId w:val="21"/>
  </w:num>
  <w:num w:numId="8">
    <w:abstractNumId w:val="19"/>
  </w:num>
  <w:num w:numId="9">
    <w:abstractNumId w:val="14"/>
  </w:num>
  <w:num w:numId="10">
    <w:abstractNumId w:val="16"/>
  </w:num>
  <w:num w:numId="11">
    <w:abstractNumId w:val="2"/>
  </w:num>
  <w:num w:numId="12">
    <w:abstractNumId w:val="17"/>
  </w:num>
  <w:num w:numId="13">
    <w:abstractNumId w:val="20"/>
  </w:num>
  <w:num w:numId="14">
    <w:abstractNumId w:val="10"/>
  </w:num>
  <w:num w:numId="15">
    <w:abstractNumId w:val="6"/>
  </w:num>
  <w:num w:numId="16">
    <w:abstractNumId w:val="13"/>
  </w:num>
  <w:num w:numId="17">
    <w:abstractNumId w:val="23"/>
  </w:num>
  <w:num w:numId="18">
    <w:abstractNumId w:val="7"/>
  </w:num>
  <w:num w:numId="19">
    <w:abstractNumId w:val="8"/>
  </w:num>
  <w:num w:numId="20">
    <w:abstractNumId w:val="5"/>
  </w:num>
  <w:num w:numId="21">
    <w:abstractNumId w:val="3"/>
  </w:num>
  <w:num w:numId="22">
    <w:abstractNumId w:val="1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4C9B"/>
    <w:rsid w:val="000168E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0726"/>
    <w:rsid w:val="00152348"/>
    <w:rsid w:val="0015456D"/>
    <w:rsid w:val="00155FA2"/>
    <w:rsid w:val="00161F1B"/>
    <w:rsid w:val="00162829"/>
    <w:rsid w:val="00180548"/>
    <w:rsid w:val="00180AC4"/>
    <w:rsid w:val="00180CCE"/>
    <w:rsid w:val="0018267A"/>
    <w:rsid w:val="00182779"/>
    <w:rsid w:val="001830DF"/>
    <w:rsid w:val="0018318A"/>
    <w:rsid w:val="0018627D"/>
    <w:rsid w:val="001966D9"/>
    <w:rsid w:val="001A007A"/>
    <w:rsid w:val="001A7E9A"/>
    <w:rsid w:val="001B0F70"/>
    <w:rsid w:val="001B5016"/>
    <w:rsid w:val="001C45FC"/>
    <w:rsid w:val="001D0469"/>
    <w:rsid w:val="001D29C0"/>
    <w:rsid w:val="001D4862"/>
    <w:rsid w:val="001E25B9"/>
    <w:rsid w:val="001E49E0"/>
    <w:rsid w:val="001E7B5A"/>
    <w:rsid w:val="001F34DD"/>
    <w:rsid w:val="001F7412"/>
    <w:rsid w:val="001F7693"/>
    <w:rsid w:val="0020090A"/>
    <w:rsid w:val="00202DFE"/>
    <w:rsid w:val="0020725B"/>
    <w:rsid w:val="002110F1"/>
    <w:rsid w:val="002356EA"/>
    <w:rsid w:val="00237AAF"/>
    <w:rsid w:val="0024116D"/>
    <w:rsid w:val="00241B44"/>
    <w:rsid w:val="00241FA3"/>
    <w:rsid w:val="00245EFB"/>
    <w:rsid w:val="0025386E"/>
    <w:rsid w:val="002638B0"/>
    <w:rsid w:val="0026647A"/>
    <w:rsid w:val="002668D3"/>
    <w:rsid w:val="0027299F"/>
    <w:rsid w:val="002778E6"/>
    <w:rsid w:val="00284EBE"/>
    <w:rsid w:val="002903A7"/>
    <w:rsid w:val="002914B8"/>
    <w:rsid w:val="0029433F"/>
    <w:rsid w:val="00294829"/>
    <w:rsid w:val="0029690F"/>
    <w:rsid w:val="00297C8A"/>
    <w:rsid w:val="002A2A60"/>
    <w:rsid w:val="002A2ACF"/>
    <w:rsid w:val="002A37BB"/>
    <w:rsid w:val="002B1C45"/>
    <w:rsid w:val="002C13C8"/>
    <w:rsid w:val="002C3547"/>
    <w:rsid w:val="002D0021"/>
    <w:rsid w:val="002D0158"/>
    <w:rsid w:val="002D299D"/>
    <w:rsid w:val="002D3473"/>
    <w:rsid w:val="002F1956"/>
    <w:rsid w:val="002F3440"/>
    <w:rsid w:val="002F75A3"/>
    <w:rsid w:val="00300B24"/>
    <w:rsid w:val="00303C2F"/>
    <w:rsid w:val="003144EF"/>
    <w:rsid w:val="00326292"/>
    <w:rsid w:val="00326415"/>
    <w:rsid w:val="00330937"/>
    <w:rsid w:val="00330F31"/>
    <w:rsid w:val="0033327A"/>
    <w:rsid w:val="00334648"/>
    <w:rsid w:val="0033768C"/>
    <w:rsid w:val="00337938"/>
    <w:rsid w:val="00340769"/>
    <w:rsid w:val="00341AA6"/>
    <w:rsid w:val="003505BA"/>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0C07"/>
    <w:rsid w:val="003C4471"/>
    <w:rsid w:val="003D0A6D"/>
    <w:rsid w:val="003E0B16"/>
    <w:rsid w:val="003E67D1"/>
    <w:rsid w:val="003F7FB7"/>
    <w:rsid w:val="00404329"/>
    <w:rsid w:val="00405DC1"/>
    <w:rsid w:val="00415F1F"/>
    <w:rsid w:val="0042108F"/>
    <w:rsid w:val="00430FED"/>
    <w:rsid w:val="00434A8C"/>
    <w:rsid w:val="00437297"/>
    <w:rsid w:val="00444284"/>
    <w:rsid w:val="00445CE6"/>
    <w:rsid w:val="004534C2"/>
    <w:rsid w:val="0045446F"/>
    <w:rsid w:val="0045683E"/>
    <w:rsid w:val="00477C72"/>
    <w:rsid w:val="00477F16"/>
    <w:rsid w:val="00491675"/>
    <w:rsid w:val="00493855"/>
    <w:rsid w:val="00495E79"/>
    <w:rsid w:val="004A2D83"/>
    <w:rsid w:val="004A57DD"/>
    <w:rsid w:val="004A61A7"/>
    <w:rsid w:val="004A7B51"/>
    <w:rsid w:val="004A7D71"/>
    <w:rsid w:val="004A7EF3"/>
    <w:rsid w:val="004B11FD"/>
    <w:rsid w:val="004B23A2"/>
    <w:rsid w:val="004C3809"/>
    <w:rsid w:val="004D1A5A"/>
    <w:rsid w:val="004D2FFF"/>
    <w:rsid w:val="004D3721"/>
    <w:rsid w:val="004D64F9"/>
    <w:rsid w:val="004E3A6B"/>
    <w:rsid w:val="004E622C"/>
    <w:rsid w:val="004F5FDF"/>
    <w:rsid w:val="005158C7"/>
    <w:rsid w:val="005169DC"/>
    <w:rsid w:val="00516CF7"/>
    <w:rsid w:val="005177FE"/>
    <w:rsid w:val="0052252C"/>
    <w:rsid w:val="0052263B"/>
    <w:rsid w:val="00524728"/>
    <w:rsid w:val="00527988"/>
    <w:rsid w:val="005331CA"/>
    <w:rsid w:val="00537970"/>
    <w:rsid w:val="00540E3A"/>
    <w:rsid w:val="00544127"/>
    <w:rsid w:val="005463A9"/>
    <w:rsid w:val="00553EB2"/>
    <w:rsid w:val="005576EC"/>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C53D1"/>
    <w:rsid w:val="005C6D58"/>
    <w:rsid w:val="005D16DD"/>
    <w:rsid w:val="005D43E0"/>
    <w:rsid w:val="005D58A3"/>
    <w:rsid w:val="005E1B79"/>
    <w:rsid w:val="005E6076"/>
    <w:rsid w:val="005E7008"/>
    <w:rsid w:val="005F026D"/>
    <w:rsid w:val="005F2AEA"/>
    <w:rsid w:val="005F2D0B"/>
    <w:rsid w:val="005F4B31"/>
    <w:rsid w:val="00605EA8"/>
    <w:rsid w:val="00610388"/>
    <w:rsid w:val="00610AC7"/>
    <w:rsid w:val="00612CA5"/>
    <w:rsid w:val="006153EC"/>
    <w:rsid w:val="00615B13"/>
    <w:rsid w:val="00621A17"/>
    <w:rsid w:val="00627CC9"/>
    <w:rsid w:val="00627E7B"/>
    <w:rsid w:val="00630542"/>
    <w:rsid w:val="00632E44"/>
    <w:rsid w:val="00634622"/>
    <w:rsid w:val="00636808"/>
    <w:rsid w:val="00641515"/>
    <w:rsid w:val="00654C2F"/>
    <w:rsid w:val="00657087"/>
    <w:rsid w:val="00662352"/>
    <w:rsid w:val="006639DB"/>
    <w:rsid w:val="006661EF"/>
    <w:rsid w:val="00672D8E"/>
    <w:rsid w:val="00677AEB"/>
    <w:rsid w:val="00680EF2"/>
    <w:rsid w:val="00687A1D"/>
    <w:rsid w:val="00697EA1"/>
    <w:rsid w:val="006A2646"/>
    <w:rsid w:val="006A6530"/>
    <w:rsid w:val="006B435A"/>
    <w:rsid w:val="006B4C64"/>
    <w:rsid w:val="006D6BD5"/>
    <w:rsid w:val="006E238F"/>
    <w:rsid w:val="006E481A"/>
    <w:rsid w:val="006E5298"/>
    <w:rsid w:val="006F3744"/>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764D"/>
    <w:rsid w:val="0077498C"/>
    <w:rsid w:val="007809BC"/>
    <w:rsid w:val="00784128"/>
    <w:rsid w:val="00787BCC"/>
    <w:rsid w:val="00793173"/>
    <w:rsid w:val="007A2A33"/>
    <w:rsid w:val="007B5C89"/>
    <w:rsid w:val="007C1FCC"/>
    <w:rsid w:val="007C6201"/>
    <w:rsid w:val="007D0C05"/>
    <w:rsid w:val="007D7C92"/>
    <w:rsid w:val="007E1154"/>
    <w:rsid w:val="007E6BA4"/>
    <w:rsid w:val="007F0854"/>
    <w:rsid w:val="007F41F8"/>
    <w:rsid w:val="007F659B"/>
    <w:rsid w:val="00801786"/>
    <w:rsid w:val="0080454E"/>
    <w:rsid w:val="00804C32"/>
    <w:rsid w:val="00806302"/>
    <w:rsid w:val="00807119"/>
    <w:rsid w:val="0082483F"/>
    <w:rsid w:val="00826259"/>
    <w:rsid w:val="008279C0"/>
    <w:rsid w:val="00832B6A"/>
    <w:rsid w:val="0084565F"/>
    <w:rsid w:val="00867701"/>
    <w:rsid w:val="008723F3"/>
    <w:rsid w:val="00876F56"/>
    <w:rsid w:val="00881DE6"/>
    <w:rsid w:val="00882A34"/>
    <w:rsid w:val="008837A6"/>
    <w:rsid w:val="008902AF"/>
    <w:rsid w:val="0089145D"/>
    <w:rsid w:val="008962F2"/>
    <w:rsid w:val="008A4DF2"/>
    <w:rsid w:val="008A5293"/>
    <w:rsid w:val="008A6CFE"/>
    <w:rsid w:val="008B5333"/>
    <w:rsid w:val="008B6223"/>
    <w:rsid w:val="008C66E0"/>
    <w:rsid w:val="008E3339"/>
    <w:rsid w:val="008F00BD"/>
    <w:rsid w:val="008F20FC"/>
    <w:rsid w:val="008F228E"/>
    <w:rsid w:val="008F5FFE"/>
    <w:rsid w:val="00905A43"/>
    <w:rsid w:val="00912C79"/>
    <w:rsid w:val="00921B8C"/>
    <w:rsid w:val="00942123"/>
    <w:rsid w:val="0095207B"/>
    <w:rsid w:val="00962045"/>
    <w:rsid w:val="00973013"/>
    <w:rsid w:val="00980E61"/>
    <w:rsid w:val="00991428"/>
    <w:rsid w:val="00992676"/>
    <w:rsid w:val="009954B2"/>
    <w:rsid w:val="00996691"/>
    <w:rsid w:val="009A3AB7"/>
    <w:rsid w:val="009B0723"/>
    <w:rsid w:val="009B07AD"/>
    <w:rsid w:val="009B0883"/>
    <w:rsid w:val="009B15E2"/>
    <w:rsid w:val="009B4976"/>
    <w:rsid w:val="009B7B4F"/>
    <w:rsid w:val="009C0B8E"/>
    <w:rsid w:val="009C1BC8"/>
    <w:rsid w:val="009C2442"/>
    <w:rsid w:val="009D0811"/>
    <w:rsid w:val="009D0EE1"/>
    <w:rsid w:val="009D1484"/>
    <w:rsid w:val="009E2AEB"/>
    <w:rsid w:val="009E2E27"/>
    <w:rsid w:val="009E45DF"/>
    <w:rsid w:val="009E4DE3"/>
    <w:rsid w:val="009F275E"/>
    <w:rsid w:val="00A047EE"/>
    <w:rsid w:val="00A07970"/>
    <w:rsid w:val="00A2274A"/>
    <w:rsid w:val="00A235B7"/>
    <w:rsid w:val="00A27A7A"/>
    <w:rsid w:val="00A33711"/>
    <w:rsid w:val="00A34ABE"/>
    <w:rsid w:val="00A407EF"/>
    <w:rsid w:val="00A44912"/>
    <w:rsid w:val="00A46B4C"/>
    <w:rsid w:val="00A5117B"/>
    <w:rsid w:val="00A56D34"/>
    <w:rsid w:val="00A60074"/>
    <w:rsid w:val="00A63388"/>
    <w:rsid w:val="00A6627C"/>
    <w:rsid w:val="00A71019"/>
    <w:rsid w:val="00A81029"/>
    <w:rsid w:val="00A845F5"/>
    <w:rsid w:val="00A96489"/>
    <w:rsid w:val="00AB0CA7"/>
    <w:rsid w:val="00AB2425"/>
    <w:rsid w:val="00AB3ECF"/>
    <w:rsid w:val="00AB685C"/>
    <w:rsid w:val="00AB692F"/>
    <w:rsid w:val="00AB6C2D"/>
    <w:rsid w:val="00AC08F7"/>
    <w:rsid w:val="00AC3839"/>
    <w:rsid w:val="00AC7082"/>
    <w:rsid w:val="00AD4BE8"/>
    <w:rsid w:val="00AF0DDA"/>
    <w:rsid w:val="00AF228E"/>
    <w:rsid w:val="00B016A8"/>
    <w:rsid w:val="00B14819"/>
    <w:rsid w:val="00B15E2F"/>
    <w:rsid w:val="00B17AA9"/>
    <w:rsid w:val="00B44713"/>
    <w:rsid w:val="00B51B95"/>
    <w:rsid w:val="00B56103"/>
    <w:rsid w:val="00B64929"/>
    <w:rsid w:val="00B731DB"/>
    <w:rsid w:val="00B736DF"/>
    <w:rsid w:val="00B743D6"/>
    <w:rsid w:val="00B74E7F"/>
    <w:rsid w:val="00B74FBD"/>
    <w:rsid w:val="00B77F46"/>
    <w:rsid w:val="00B82586"/>
    <w:rsid w:val="00B829A3"/>
    <w:rsid w:val="00B86DB1"/>
    <w:rsid w:val="00B87869"/>
    <w:rsid w:val="00B9639B"/>
    <w:rsid w:val="00BA3548"/>
    <w:rsid w:val="00BB0F2B"/>
    <w:rsid w:val="00BE222E"/>
    <w:rsid w:val="00BE4FF3"/>
    <w:rsid w:val="00BE641F"/>
    <w:rsid w:val="00BF50F7"/>
    <w:rsid w:val="00BF516F"/>
    <w:rsid w:val="00BF735F"/>
    <w:rsid w:val="00C02F29"/>
    <w:rsid w:val="00C04F50"/>
    <w:rsid w:val="00C17718"/>
    <w:rsid w:val="00C20AFE"/>
    <w:rsid w:val="00C22A25"/>
    <w:rsid w:val="00C32795"/>
    <w:rsid w:val="00C32FCD"/>
    <w:rsid w:val="00C35671"/>
    <w:rsid w:val="00C35B77"/>
    <w:rsid w:val="00C376EB"/>
    <w:rsid w:val="00C4163B"/>
    <w:rsid w:val="00C46A92"/>
    <w:rsid w:val="00C46EC1"/>
    <w:rsid w:val="00C52796"/>
    <w:rsid w:val="00C53E2C"/>
    <w:rsid w:val="00C550C8"/>
    <w:rsid w:val="00C55824"/>
    <w:rsid w:val="00C566D1"/>
    <w:rsid w:val="00C56B61"/>
    <w:rsid w:val="00C60605"/>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4A8A"/>
    <w:rsid w:val="00D17FDC"/>
    <w:rsid w:val="00D21D8C"/>
    <w:rsid w:val="00D501F9"/>
    <w:rsid w:val="00D53719"/>
    <w:rsid w:val="00D62FDD"/>
    <w:rsid w:val="00D63EFD"/>
    <w:rsid w:val="00D84752"/>
    <w:rsid w:val="00D84AF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48A9"/>
    <w:rsid w:val="00DF75F8"/>
    <w:rsid w:val="00DF7A3A"/>
    <w:rsid w:val="00E00C00"/>
    <w:rsid w:val="00E07C5A"/>
    <w:rsid w:val="00E15BA9"/>
    <w:rsid w:val="00E23C28"/>
    <w:rsid w:val="00E26E19"/>
    <w:rsid w:val="00E31DF3"/>
    <w:rsid w:val="00E450A4"/>
    <w:rsid w:val="00E506BE"/>
    <w:rsid w:val="00E55547"/>
    <w:rsid w:val="00E6302B"/>
    <w:rsid w:val="00E6452F"/>
    <w:rsid w:val="00E64F45"/>
    <w:rsid w:val="00E6742D"/>
    <w:rsid w:val="00E71CB0"/>
    <w:rsid w:val="00E77C3D"/>
    <w:rsid w:val="00E85E5A"/>
    <w:rsid w:val="00E90991"/>
    <w:rsid w:val="00E909F0"/>
    <w:rsid w:val="00E90D47"/>
    <w:rsid w:val="00E926A3"/>
    <w:rsid w:val="00E93993"/>
    <w:rsid w:val="00E9597C"/>
    <w:rsid w:val="00EA0913"/>
    <w:rsid w:val="00EA5B00"/>
    <w:rsid w:val="00EB146B"/>
    <w:rsid w:val="00EB45AC"/>
    <w:rsid w:val="00EB7214"/>
    <w:rsid w:val="00EC441F"/>
    <w:rsid w:val="00EC4755"/>
    <w:rsid w:val="00EC6F96"/>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9C560"/>
  <w14:defaultImageDpi w14:val="32767"/>
  <w15:docId w15:val="{11518246-1D60-4059-92E3-A53F418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516CF7"/>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516CF7"/>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2021-07-26T11:09:00Z</dcterms:created>
  <dcterms:modified xsi:type="dcterms:W3CDTF">2021-07-26T11:09:00Z</dcterms:modified>
</cp:coreProperties>
</file>