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6F25A73" w:rsidR="0011473D" w:rsidRDefault="00C56B6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w:t>
      </w:r>
      <w:r w:rsidR="002356EA">
        <w:rPr>
          <w:rFonts w:ascii="Arial" w:hAnsi="Arial" w:cs="Arial"/>
          <w:b/>
          <w:color w:val="000000" w:themeColor="text1"/>
          <w:sz w:val="28"/>
          <w:szCs w:val="28"/>
          <w:lang w:val="en-GB"/>
        </w:rPr>
        <w:t>B</w:t>
      </w:r>
    </w:p>
    <w:p w14:paraId="1DCE41A2" w14:textId="0CB8A9C3" w:rsidR="002638B0" w:rsidRDefault="002638B0"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AF811C2" w:rsidR="002638B0" w:rsidRPr="00996691" w:rsidRDefault="0099669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 xml:space="preserve">INSOLVENCY SYSTEM OF THE UNITED </w:t>
      </w:r>
      <w:r w:rsidR="002356EA">
        <w:rPr>
          <w:rFonts w:ascii="Arial" w:hAnsi="Arial" w:cs="Arial"/>
          <w:b/>
          <w:color w:val="000000" w:themeColor="text1"/>
          <w:sz w:val="24"/>
          <w:lang w:val="en-GB"/>
        </w:rPr>
        <w:t>KINGDOM</w:t>
      </w:r>
      <w:r w:rsidR="007A5171">
        <w:rPr>
          <w:rFonts w:ascii="Arial" w:hAnsi="Arial" w:cs="Arial"/>
          <w:b/>
          <w:color w:val="000000" w:themeColor="text1"/>
          <w:sz w:val="24"/>
          <w:lang w:val="en-GB"/>
        </w:rPr>
        <w:t xml:space="preserve"> (ENGLAND AND WALES)</w:t>
      </w:r>
    </w:p>
    <w:p w14:paraId="5E119630" w14:textId="77777777" w:rsidR="00434A8C" w:rsidRPr="007C6201"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65F7EBF4"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2508EF22"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407E800"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3151C75" w:rsidR="00867701" w:rsidRDefault="00FA12B9" w:rsidP="00C55824">
      <w:pPr>
        <w:jc w:val="both"/>
        <w:rPr>
          <w:rFonts w:ascii="Arial" w:hAnsi="Arial" w:cs="Arial"/>
          <w:sz w:val="22"/>
          <w:szCs w:val="22"/>
          <w:lang w:val="en-GB"/>
        </w:rPr>
      </w:pPr>
      <w:r>
        <w:rPr>
          <w:rFonts w:ascii="Arial" w:hAnsi="Arial" w:cs="Arial"/>
          <w:sz w:val="22"/>
          <w:szCs w:val="22"/>
          <w:lang w:val="en-GB"/>
        </w:rPr>
        <w:t xml:space="preserve">What is the </w:t>
      </w:r>
      <w:r w:rsidR="00474C2B">
        <w:rPr>
          <w:rFonts w:ascii="Arial" w:hAnsi="Arial" w:cs="Arial"/>
          <w:sz w:val="22"/>
          <w:szCs w:val="22"/>
          <w:lang w:val="en-GB"/>
        </w:rPr>
        <w:t xml:space="preserve">initial period for </w:t>
      </w:r>
      <w:r>
        <w:rPr>
          <w:rFonts w:ascii="Arial" w:hAnsi="Arial" w:cs="Arial"/>
          <w:sz w:val="22"/>
          <w:szCs w:val="22"/>
          <w:lang w:val="en-GB"/>
        </w:rPr>
        <w:t xml:space="preserve">a Moratorium under Part </w:t>
      </w:r>
      <w:r w:rsidR="006D282B">
        <w:rPr>
          <w:rFonts w:ascii="Arial" w:hAnsi="Arial" w:cs="Arial"/>
          <w:sz w:val="22"/>
          <w:szCs w:val="22"/>
          <w:lang w:val="en-GB"/>
        </w:rPr>
        <w:t>1A</w:t>
      </w:r>
      <w:r w:rsidR="00E443D7">
        <w:rPr>
          <w:rFonts w:ascii="Arial" w:hAnsi="Arial" w:cs="Arial"/>
          <w:sz w:val="22"/>
          <w:szCs w:val="22"/>
          <w:lang w:val="en-GB"/>
        </w:rPr>
        <w:t xml:space="preserve"> of the </w:t>
      </w:r>
      <w:r w:rsidR="00867701" w:rsidRPr="006D2BBF">
        <w:rPr>
          <w:rFonts w:ascii="Arial" w:hAnsi="Arial" w:cs="Arial"/>
          <w:sz w:val="22"/>
          <w:szCs w:val="22"/>
          <w:lang w:val="en-GB"/>
        </w:rPr>
        <w:t>Insolvency Act 1986</w:t>
      </w:r>
      <w:r w:rsidR="00474C2B">
        <w:rPr>
          <w:rFonts w:ascii="Arial" w:hAnsi="Arial" w:cs="Arial"/>
          <w:sz w:val="22"/>
          <w:szCs w:val="22"/>
          <w:lang w:val="en-GB"/>
        </w:rPr>
        <w:t xml:space="preserve"> where the directors file relevant documents at court</w:t>
      </w:r>
      <w:r w:rsidR="00867701"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53651EF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20 days</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69610AB8" w:rsidR="00867701" w:rsidRPr="00534916" w:rsidRDefault="00E443D7" w:rsidP="00B04033">
      <w:pPr>
        <w:pStyle w:val="ListParagraph"/>
        <w:numPr>
          <w:ilvl w:val="0"/>
          <w:numId w:val="1"/>
        </w:numPr>
        <w:ind w:left="426"/>
        <w:jc w:val="both"/>
        <w:rPr>
          <w:rFonts w:ascii="Arial" w:hAnsi="Arial" w:cs="Arial"/>
          <w:sz w:val="22"/>
          <w:szCs w:val="22"/>
          <w:highlight w:val="yellow"/>
          <w:lang w:val="en-GB"/>
        </w:rPr>
      </w:pPr>
      <w:r w:rsidRPr="00534916">
        <w:rPr>
          <w:rFonts w:ascii="Arial" w:hAnsi="Arial" w:cs="Arial"/>
          <w:sz w:val="22"/>
          <w:szCs w:val="22"/>
          <w:highlight w:val="yellow"/>
          <w:lang w:val="en-GB"/>
        </w:rPr>
        <w:t>20 business days</w:t>
      </w:r>
      <w:r w:rsidR="00763348" w:rsidRPr="00534916">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4AE528C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days</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5459743D" w:rsidR="00867701" w:rsidRPr="00876F56"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at is the maximum length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534916" w:rsidRDefault="00E443D7" w:rsidP="00B04033">
      <w:pPr>
        <w:pStyle w:val="ListParagraph"/>
        <w:numPr>
          <w:ilvl w:val="0"/>
          <w:numId w:val="2"/>
        </w:numPr>
        <w:ind w:left="426"/>
        <w:jc w:val="both"/>
        <w:rPr>
          <w:rFonts w:ascii="Arial" w:hAnsi="Arial" w:cs="Arial"/>
          <w:sz w:val="22"/>
          <w:szCs w:val="22"/>
          <w:highlight w:val="yellow"/>
          <w:lang w:val="en-GB"/>
        </w:rPr>
      </w:pPr>
      <w:r w:rsidRPr="00534916">
        <w:rPr>
          <w:rFonts w:ascii="Arial" w:hAnsi="Arial" w:cs="Arial"/>
          <w:sz w:val="22"/>
          <w:szCs w:val="22"/>
          <w:highlight w:val="yellow"/>
          <w:lang w:val="en-GB"/>
        </w:rPr>
        <w:t>One year</w:t>
      </w:r>
      <w:r w:rsidR="00763348" w:rsidRPr="00534916">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15AB8B35" w:rsidR="00867701" w:rsidRDefault="008D1616" w:rsidP="00C55824">
      <w:pPr>
        <w:jc w:val="both"/>
        <w:rPr>
          <w:rFonts w:ascii="Arial" w:hAnsi="Arial" w:cs="Arial"/>
          <w:sz w:val="22"/>
          <w:szCs w:val="22"/>
          <w:lang w:val="en-GB"/>
        </w:rPr>
      </w:pPr>
      <w:r w:rsidRPr="008D1616">
        <w:rPr>
          <w:rFonts w:ascii="Arial" w:hAnsi="Arial" w:cs="Arial"/>
          <w:sz w:val="22"/>
          <w:szCs w:val="22"/>
          <w:lang w:val="en-GB"/>
        </w:rPr>
        <w:t>Which of the following is not a requirement for a company which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B33FFC3"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48742750"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a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77777777" w:rsidR="00763348" w:rsidRPr="00763348" w:rsidRDefault="00763348" w:rsidP="00763348">
      <w:pPr>
        <w:ind w:left="66"/>
        <w:jc w:val="both"/>
        <w:rPr>
          <w:rFonts w:ascii="Arial" w:hAnsi="Arial" w:cs="Arial"/>
          <w:sz w:val="22"/>
          <w:szCs w:val="22"/>
          <w:lang w:val="en-GB"/>
        </w:rPr>
      </w:pPr>
    </w:p>
    <w:p w14:paraId="6B1A98EB" w14:textId="64897C98"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39056059" w:rsidR="00867701" w:rsidRPr="00534916" w:rsidRDefault="008D1616" w:rsidP="00B04033">
      <w:pPr>
        <w:pStyle w:val="ListParagraph"/>
        <w:numPr>
          <w:ilvl w:val="0"/>
          <w:numId w:val="3"/>
        </w:numPr>
        <w:ind w:left="426"/>
        <w:jc w:val="both"/>
        <w:rPr>
          <w:rFonts w:ascii="Arial" w:hAnsi="Arial" w:cs="Arial"/>
          <w:sz w:val="22"/>
          <w:szCs w:val="22"/>
          <w:highlight w:val="yellow"/>
          <w:lang w:val="en-GB"/>
        </w:rPr>
      </w:pPr>
      <w:r w:rsidRPr="00534916">
        <w:rPr>
          <w:rFonts w:ascii="Arial" w:hAnsi="Arial" w:cs="Arial"/>
          <w:sz w:val="22"/>
          <w:szCs w:val="22"/>
          <w:highlight w:val="yellow"/>
          <w:lang w:val="en-GB"/>
        </w:rPr>
        <w:t>the company is, or is likely to become, unable to pay their debts, as defined under s</w:t>
      </w:r>
      <w:r w:rsidR="00E833F4" w:rsidRPr="00534916">
        <w:rPr>
          <w:rFonts w:ascii="Arial" w:hAnsi="Arial" w:cs="Arial"/>
          <w:sz w:val="22"/>
          <w:szCs w:val="22"/>
          <w:highlight w:val="yellow"/>
          <w:lang w:val="en-GB"/>
        </w:rPr>
        <w:t>ection</w:t>
      </w:r>
      <w:r w:rsidRPr="00534916">
        <w:rPr>
          <w:rFonts w:ascii="Arial" w:hAnsi="Arial" w:cs="Arial"/>
          <w:sz w:val="22"/>
          <w:szCs w:val="22"/>
          <w:highlight w:val="yellow"/>
          <w:lang w:val="en-GB"/>
        </w:rPr>
        <w:t xml:space="preserve"> 123 of the Insolvency Act 1986</w:t>
      </w:r>
      <w:r w:rsidR="00763348" w:rsidRPr="00534916">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4654197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What percentage of creditors must approve </w:t>
      </w:r>
      <w:r w:rsidR="008D1616">
        <w:rPr>
          <w:rFonts w:ascii="Arial" w:hAnsi="Arial" w:cs="Arial"/>
          <w:sz w:val="22"/>
          <w:szCs w:val="22"/>
          <w:lang w:val="en-GB"/>
        </w:rPr>
        <w:t>a Scheme of Arrangement under Part 26 of the Companies Act 2006</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207D4739"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9A3AB7">
        <w:rPr>
          <w:rFonts w:ascii="Arial" w:hAnsi="Arial" w:cs="Arial"/>
          <w:sz w:val="22"/>
          <w:szCs w:val="22"/>
          <w:lang w:val="en-GB"/>
        </w:rPr>
        <w:t>in value</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4405D76B"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C55824">
        <w:rPr>
          <w:rFonts w:ascii="Arial" w:hAnsi="Arial" w:cs="Arial"/>
          <w:sz w:val="22"/>
          <w:szCs w:val="22"/>
          <w:lang w:val="en-GB"/>
        </w:rPr>
        <w:t xml:space="preserve">50% </w:t>
      </w:r>
      <w:r w:rsidR="00FA417D">
        <w:rPr>
          <w:rFonts w:ascii="Arial" w:hAnsi="Arial" w:cs="Arial"/>
          <w:sz w:val="22"/>
          <w:szCs w:val="22"/>
          <w:lang w:val="en-GB"/>
        </w:rPr>
        <w:t xml:space="preserve">or more </w:t>
      </w:r>
      <w:r w:rsidR="00867701" w:rsidRPr="00C55824">
        <w:rPr>
          <w:rFonts w:ascii="Arial" w:hAnsi="Arial" w:cs="Arial"/>
          <w:sz w:val="22"/>
          <w:szCs w:val="22"/>
          <w:lang w:val="en-GB"/>
        </w:rPr>
        <w:t>in value</w:t>
      </w:r>
      <w:r w:rsidR="00763348">
        <w:rPr>
          <w:rFonts w:ascii="Arial" w:hAnsi="Arial" w:cs="Arial"/>
          <w:sz w:val="22"/>
          <w:szCs w:val="22"/>
          <w:lang w:val="en-GB"/>
        </w:rPr>
        <w:t>.</w:t>
      </w:r>
    </w:p>
    <w:p w14:paraId="2F2602FE" w14:textId="77777777" w:rsidR="00763348" w:rsidRPr="00763348" w:rsidRDefault="00763348" w:rsidP="00763348">
      <w:pPr>
        <w:ind w:left="66"/>
        <w:jc w:val="both"/>
        <w:rPr>
          <w:rFonts w:ascii="Arial" w:hAnsi="Arial" w:cs="Arial"/>
          <w:sz w:val="22"/>
          <w:szCs w:val="22"/>
          <w:lang w:val="en-GB"/>
        </w:rPr>
      </w:pPr>
    </w:p>
    <w:p w14:paraId="6B3DB13D" w14:textId="1E24D822" w:rsidR="00867701" w:rsidRPr="00534916" w:rsidRDefault="008D1616" w:rsidP="00B04033">
      <w:pPr>
        <w:pStyle w:val="ListParagraph"/>
        <w:numPr>
          <w:ilvl w:val="0"/>
          <w:numId w:val="4"/>
        </w:numPr>
        <w:ind w:left="426"/>
        <w:jc w:val="both"/>
        <w:rPr>
          <w:rFonts w:ascii="Arial" w:hAnsi="Arial" w:cs="Arial"/>
          <w:sz w:val="22"/>
          <w:szCs w:val="22"/>
          <w:highlight w:val="yellow"/>
          <w:lang w:val="en-GB"/>
        </w:rPr>
      </w:pPr>
      <w:r w:rsidRPr="00534916">
        <w:rPr>
          <w:rFonts w:ascii="Arial" w:hAnsi="Arial" w:cs="Arial"/>
          <w:sz w:val="22"/>
          <w:szCs w:val="22"/>
          <w:highlight w:val="yellow"/>
          <w:lang w:val="en-GB"/>
        </w:rPr>
        <w:t xml:space="preserve">A majority in number and </w:t>
      </w:r>
      <w:r w:rsidR="00867701" w:rsidRPr="00534916">
        <w:rPr>
          <w:rFonts w:ascii="Arial" w:hAnsi="Arial" w:cs="Arial"/>
          <w:sz w:val="22"/>
          <w:szCs w:val="22"/>
          <w:highlight w:val="yellow"/>
          <w:lang w:val="en-GB"/>
        </w:rPr>
        <w:t xml:space="preserve">75% </w:t>
      </w:r>
      <w:r w:rsidRPr="00534916">
        <w:rPr>
          <w:rFonts w:ascii="Arial" w:hAnsi="Arial" w:cs="Arial"/>
          <w:sz w:val="22"/>
          <w:szCs w:val="22"/>
          <w:highlight w:val="yellow"/>
          <w:lang w:val="en-GB"/>
        </w:rPr>
        <w:t xml:space="preserve">or more </w:t>
      </w:r>
      <w:r w:rsidR="00867701" w:rsidRPr="00534916">
        <w:rPr>
          <w:rFonts w:ascii="Arial" w:hAnsi="Arial" w:cs="Arial"/>
          <w:sz w:val="22"/>
          <w:szCs w:val="22"/>
          <w:highlight w:val="yellow"/>
          <w:lang w:val="en-GB"/>
        </w:rPr>
        <w:t>in value</w:t>
      </w:r>
      <w:r w:rsidR="00763348" w:rsidRPr="00534916">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1AD1D1B3" w:rsidR="00867701" w:rsidRPr="00C55824" w:rsidRDefault="00867701" w:rsidP="00B04033">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75% or more in value</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is not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534916" w:rsidRDefault="00BA1CFD" w:rsidP="00B04033">
      <w:pPr>
        <w:pStyle w:val="ListParagraph"/>
        <w:numPr>
          <w:ilvl w:val="0"/>
          <w:numId w:val="5"/>
        </w:numPr>
        <w:ind w:left="426"/>
        <w:jc w:val="both"/>
        <w:rPr>
          <w:rFonts w:ascii="Arial" w:hAnsi="Arial" w:cs="Arial"/>
          <w:sz w:val="22"/>
          <w:szCs w:val="22"/>
          <w:highlight w:val="yellow"/>
          <w:lang w:val="en-GB"/>
        </w:rPr>
      </w:pPr>
      <w:r w:rsidRPr="00534916">
        <w:rPr>
          <w:rFonts w:ascii="Arial" w:hAnsi="Arial" w:cs="Arial"/>
          <w:sz w:val="22"/>
          <w:szCs w:val="22"/>
          <w:highlight w:val="yellow"/>
          <w:lang w:val="en-GB"/>
        </w:rPr>
        <w:t>Administration</w:t>
      </w:r>
      <w:r w:rsidR="00763348" w:rsidRPr="00534916">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no greater than </w:t>
      </w:r>
      <w:r>
        <w:rPr>
          <w:rFonts w:ascii="Arial" w:hAnsi="Arial" w:cs="Arial"/>
          <w:sz w:val="22"/>
          <w:szCs w:val="22"/>
          <w:lang w:val="en-GB"/>
        </w:rPr>
        <w:t>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534916" w:rsidRDefault="00BA1CFD" w:rsidP="00B04033">
      <w:pPr>
        <w:pStyle w:val="ListParagraph"/>
        <w:numPr>
          <w:ilvl w:val="0"/>
          <w:numId w:val="6"/>
        </w:numPr>
        <w:ind w:left="426"/>
        <w:jc w:val="both"/>
        <w:rPr>
          <w:rFonts w:ascii="Arial" w:hAnsi="Arial" w:cs="Arial"/>
          <w:sz w:val="22"/>
          <w:szCs w:val="22"/>
          <w:highlight w:val="yellow"/>
          <w:lang w:val="en-GB"/>
        </w:rPr>
      </w:pPr>
      <w:r w:rsidRPr="00534916">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Which one of the following is not,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534916" w:rsidRDefault="00BA1CFD" w:rsidP="00B04033">
      <w:pPr>
        <w:pStyle w:val="ListParagraph"/>
        <w:numPr>
          <w:ilvl w:val="0"/>
          <w:numId w:val="7"/>
        </w:numPr>
        <w:ind w:left="426"/>
        <w:jc w:val="both"/>
        <w:rPr>
          <w:rFonts w:ascii="Arial" w:hAnsi="Arial" w:cs="Arial"/>
          <w:sz w:val="22"/>
          <w:szCs w:val="22"/>
          <w:highlight w:val="yellow"/>
          <w:lang w:val="en-GB"/>
        </w:rPr>
      </w:pPr>
      <w:r w:rsidRPr="00534916">
        <w:rPr>
          <w:rFonts w:ascii="Arial" w:hAnsi="Arial" w:cs="Arial"/>
          <w:sz w:val="22"/>
          <w:szCs w:val="22"/>
          <w:highlight w:val="yellow"/>
          <w:lang w:val="en-GB"/>
        </w:rPr>
        <w:t>Breach of fiduciary duty</w:t>
      </w:r>
      <w:r w:rsidR="00763348" w:rsidRPr="00534916">
        <w:rPr>
          <w:rFonts w:ascii="Arial" w:hAnsi="Arial" w:cs="Arial"/>
          <w:sz w:val="22"/>
          <w:szCs w:val="22"/>
          <w:highlight w:val="yellow"/>
          <w:lang w:val="en-GB"/>
        </w:rPr>
        <w:t>.</w:t>
      </w:r>
    </w:p>
    <w:p w14:paraId="28A6DC8D" w14:textId="77777777" w:rsidR="00763348" w:rsidRPr="00763348" w:rsidRDefault="00763348" w:rsidP="00763348">
      <w:pPr>
        <w:ind w:left="66"/>
        <w:jc w:val="both"/>
        <w:rPr>
          <w:rFonts w:ascii="Arial" w:hAnsi="Arial" w:cs="Arial"/>
          <w:sz w:val="22"/>
          <w:szCs w:val="22"/>
          <w:lang w:val="en-GB"/>
        </w:rPr>
      </w:pP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1B567EB0" w14:textId="6046EA45" w:rsidR="00763348" w:rsidRDefault="00763348" w:rsidP="00C55824">
      <w:pPr>
        <w:jc w:val="both"/>
        <w:rPr>
          <w:rFonts w:ascii="Arial" w:eastAsiaTheme="minorHAnsi" w:hAnsi="Arial" w:cs="Arial"/>
          <w:sz w:val="22"/>
          <w:szCs w:val="22"/>
          <w:lang w:val="en-GB"/>
        </w:rPr>
      </w:pPr>
    </w:p>
    <w:p w14:paraId="1B964C15" w14:textId="77777777" w:rsidR="00763348" w:rsidRDefault="00763348"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79AEA6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The administrator is under a general duty to make a statement 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send out the statement of proposals as soon as reasonably practicable, and in any event within </w:t>
      </w:r>
      <w:r>
        <w:rPr>
          <w:rFonts w:ascii="Arial" w:hAnsi="Arial" w:cs="Arial"/>
          <w:sz w:val="22"/>
          <w:szCs w:val="22"/>
          <w:lang w:val="en-GB"/>
        </w:rPr>
        <w:t xml:space="preserve">how many </w:t>
      </w:r>
      <w:r w:rsidRPr="00BA1CFD">
        <w:rPr>
          <w:rFonts w:ascii="Arial" w:hAnsi="Arial" w:cs="Arial"/>
          <w:sz w:val="22"/>
          <w:szCs w:val="22"/>
          <w:lang w:val="en-GB"/>
        </w:rPr>
        <w:t>weeks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534916" w:rsidRDefault="00876F56" w:rsidP="00B04033">
      <w:pPr>
        <w:pStyle w:val="ListParagraph"/>
        <w:numPr>
          <w:ilvl w:val="0"/>
          <w:numId w:val="8"/>
        </w:numPr>
        <w:ind w:left="426"/>
        <w:jc w:val="both"/>
        <w:rPr>
          <w:rFonts w:ascii="Arial" w:hAnsi="Arial" w:cs="Arial"/>
          <w:sz w:val="22"/>
          <w:szCs w:val="22"/>
          <w:highlight w:val="yellow"/>
          <w:lang w:val="en-GB"/>
        </w:rPr>
      </w:pPr>
      <w:r w:rsidRPr="00534916">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Default="00876F56" w:rsidP="00B04033">
      <w:pPr>
        <w:pStyle w:val="ListParagraph"/>
        <w:numPr>
          <w:ilvl w:val="0"/>
          <w:numId w:val="8"/>
        </w:numPr>
        <w:ind w:left="426"/>
        <w:jc w:val="both"/>
        <w:rPr>
          <w:rFonts w:ascii="Arial" w:hAnsi="Arial" w:cs="Arial"/>
          <w:sz w:val="22"/>
          <w:szCs w:val="22"/>
          <w:lang w:val="en-GB"/>
        </w:rPr>
      </w:pPr>
      <w:r w:rsidRPr="009A3AB7">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4683C003" w:rsidR="00876F56" w:rsidRDefault="00E833F4" w:rsidP="00C55824">
      <w:pPr>
        <w:jc w:val="both"/>
        <w:rPr>
          <w:rFonts w:ascii="Arial" w:hAnsi="Arial" w:cs="Arial"/>
          <w:sz w:val="22"/>
          <w:szCs w:val="22"/>
          <w:lang w:val="en-GB"/>
        </w:rPr>
      </w:pPr>
      <w:r>
        <w:rPr>
          <w:rFonts w:ascii="Arial" w:hAnsi="Arial" w:cs="Arial"/>
          <w:sz w:val="22"/>
          <w:szCs w:val="22"/>
          <w:lang w:val="en-GB"/>
        </w:rPr>
        <w:t>Which of the following has the power to bring an action for wrongful trading under the Insolvency Act 1986</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16E3242B"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monitor of a Moratorium</w:t>
      </w:r>
      <w:r w:rsidR="00763348">
        <w:rPr>
          <w:rFonts w:ascii="Arial" w:hAnsi="Arial" w:cs="Arial"/>
          <w:sz w:val="22"/>
          <w:szCs w:val="22"/>
          <w:lang w:val="en-GB"/>
        </w:rPr>
        <w:t>.</w:t>
      </w:r>
    </w:p>
    <w:p w14:paraId="22EF3C05" w14:textId="77777777" w:rsidR="00763348" w:rsidRPr="00763348" w:rsidRDefault="00763348" w:rsidP="00763348">
      <w:pPr>
        <w:ind w:left="66"/>
        <w:jc w:val="both"/>
        <w:rPr>
          <w:rFonts w:ascii="Arial" w:hAnsi="Arial" w:cs="Arial"/>
          <w:sz w:val="22"/>
          <w:szCs w:val="22"/>
          <w:lang w:val="en-GB"/>
        </w:rPr>
      </w:pPr>
    </w:p>
    <w:p w14:paraId="5AB28143" w14:textId="4430F83D"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supervisor of a Company Voluntary Arrangement</w:t>
      </w:r>
      <w:r w:rsidR="00763348">
        <w:rPr>
          <w:rFonts w:ascii="Arial" w:hAnsi="Arial" w:cs="Arial"/>
          <w:sz w:val="22"/>
          <w:szCs w:val="22"/>
          <w:lang w:val="en-GB"/>
        </w:rPr>
        <w:t>.</w:t>
      </w:r>
    </w:p>
    <w:p w14:paraId="25B01900" w14:textId="77777777" w:rsidR="00763348" w:rsidRPr="00763348" w:rsidRDefault="00763348" w:rsidP="00763348">
      <w:pPr>
        <w:ind w:left="66"/>
        <w:jc w:val="both"/>
        <w:rPr>
          <w:rFonts w:ascii="Arial" w:hAnsi="Arial" w:cs="Arial"/>
          <w:sz w:val="22"/>
          <w:szCs w:val="22"/>
          <w:lang w:val="en-GB"/>
        </w:rPr>
      </w:pPr>
    </w:p>
    <w:p w14:paraId="0D15BE7C" w14:textId="49BA31C9" w:rsidR="00876F56" w:rsidRPr="00534916" w:rsidRDefault="00E833F4" w:rsidP="00B04033">
      <w:pPr>
        <w:pStyle w:val="ListParagraph"/>
        <w:numPr>
          <w:ilvl w:val="0"/>
          <w:numId w:val="9"/>
        </w:numPr>
        <w:ind w:left="426"/>
        <w:jc w:val="both"/>
        <w:rPr>
          <w:rFonts w:ascii="Arial" w:hAnsi="Arial" w:cs="Arial"/>
          <w:sz w:val="22"/>
          <w:szCs w:val="22"/>
          <w:highlight w:val="yellow"/>
          <w:lang w:val="en-GB"/>
        </w:rPr>
      </w:pPr>
      <w:r w:rsidRPr="00534916">
        <w:rPr>
          <w:rFonts w:ascii="Arial" w:hAnsi="Arial" w:cs="Arial"/>
          <w:sz w:val="22"/>
          <w:szCs w:val="22"/>
          <w:highlight w:val="yellow"/>
          <w:lang w:val="en-GB"/>
        </w:rPr>
        <w:t>An administrator</w:t>
      </w:r>
      <w:r w:rsidR="00763348" w:rsidRPr="00534916">
        <w:rPr>
          <w:rFonts w:ascii="Arial" w:hAnsi="Arial" w:cs="Arial"/>
          <w:sz w:val="22"/>
          <w:szCs w:val="22"/>
          <w:highlight w:val="yellow"/>
          <w:lang w:val="en-GB"/>
        </w:rPr>
        <w:t>.</w:t>
      </w:r>
    </w:p>
    <w:p w14:paraId="0714CB55" w14:textId="77777777" w:rsidR="00763348" w:rsidRPr="00763348" w:rsidRDefault="00763348" w:rsidP="00763348">
      <w:pPr>
        <w:ind w:left="66"/>
        <w:jc w:val="both"/>
        <w:rPr>
          <w:rFonts w:ascii="Arial" w:hAnsi="Arial" w:cs="Arial"/>
          <w:sz w:val="22"/>
          <w:szCs w:val="22"/>
          <w:lang w:val="en-GB"/>
        </w:rPr>
      </w:pPr>
    </w:p>
    <w:p w14:paraId="1639580B" w14:textId="43C93127" w:rsidR="00876F56" w:rsidRPr="00C55824"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administrative receiver</w:t>
      </w:r>
      <w:r w:rsidR="00763348">
        <w:rPr>
          <w:rFonts w:ascii="Arial" w:hAnsi="Arial" w:cs="Arial"/>
          <w:sz w:val="22"/>
          <w:szCs w:val="22"/>
          <w:lang w:val="en-GB"/>
        </w:rPr>
        <w:t>.</w:t>
      </w:r>
    </w:p>
    <w:p w14:paraId="1BD8D6C0" w14:textId="68B33D5E" w:rsidR="00876F56" w:rsidRDefault="00876F56" w:rsidP="00C55824">
      <w:pPr>
        <w:jc w:val="both"/>
        <w:rPr>
          <w:rFonts w:ascii="Arial" w:hAnsi="Arial" w:cs="Arial"/>
          <w:sz w:val="22"/>
          <w:szCs w:val="22"/>
        </w:rPr>
      </w:pP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C9C6F23"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Under section 176A of the Insolvency Act 1986, the prescribed part deducted from floating charge assets in favour of unsecured creditors is calculated as follows:</w:t>
      </w:r>
    </w:p>
    <w:p w14:paraId="786079DD" w14:textId="77777777" w:rsidR="00C55824" w:rsidRPr="00C55824" w:rsidRDefault="00C55824" w:rsidP="0020090A">
      <w:pPr>
        <w:keepNext/>
        <w:jc w:val="both"/>
        <w:rPr>
          <w:rFonts w:ascii="Arial" w:hAnsi="Arial" w:cs="Arial"/>
          <w:sz w:val="22"/>
          <w:szCs w:val="22"/>
          <w:lang w:val="en-GB"/>
        </w:rPr>
      </w:pPr>
    </w:p>
    <w:p w14:paraId="3E7702F5" w14:textId="3AFD47A8" w:rsidR="00876F56" w:rsidRDefault="00876F56" w:rsidP="00B04033">
      <w:pPr>
        <w:pStyle w:val="ListParagraph"/>
        <w:keepNext/>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floating charge assets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4A4EA67F" w:rsidR="00876F56" w:rsidRDefault="00876F56" w:rsidP="00B04033">
      <w:pPr>
        <w:pStyle w:val="ListParagraph"/>
        <w:numPr>
          <w:ilvl w:val="0"/>
          <w:numId w:val="10"/>
        </w:numPr>
        <w:ind w:left="426"/>
        <w:jc w:val="both"/>
        <w:rPr>
          <w:rFonts w:ascii="Arial" w:hAnsi="Arial" w:cs="Arial"/>
          <w:sz w:val="22"/>
          <w:szCs w:val="22"/>
          <w:lang w:val="en-GB"/>
        </w:rPr>
      </w:pPr>
      <w:r w:rsidRPr="009A3AB7">
        <w:rPr>
          <w:rFonts w:ascii="Arial" w:hAnsi="Arial" w:cs="Arial"/>
          <w:sz w:val="22"/>
          <w:szCs w:val="22"/>
          <w:lang w:val="en-GB"/>
        </w:rPr>
        <w:t>50% of the first £10,000 in value plus 20% of the excess in value above the £10,000 subject to a maximum amount of the prescribed part of £600,000</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A9315C7" w:rsidR="00876F56" w:rsidRDefault="00876F56" w:rsidP="00B04033">
      <w:pPr>
        <w:pStyle w:val="ListParagraph"/>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first £50,000 in value plus 50% of the excess in value above the £50,000 subject to a maximum amount of prescribed part of £</w:t>
      </w:r>
      <w:r w:rsidR="00BA1CFD">
        <w:rPr>
          <w:rFonts w:ascii="Arial" w:hAnsi="Arial" w:cs="Arial"/>
          <w:sz w:val="22"/>
          <w:szCs w:val="22"/>
          <w:lang w:val="en-GB"/>
        </w:rPr>
        <w:t>8</w:t>
      </w:r>
      <w:r w:rsidRPr="00C55824">
        <w:rPr>
          <w:rFonts w:ascii="Arial" w:hAnsi="Arial" w:cs="Arial"/>
          <w:sz w:val="22"/>
          <w:szCs w:val="22"/>
          <w:lang w:val="en-GB"/>
        </w:rPr>
        <w:t>00,000</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1BEEFBDB" w:rsidR="00876F56" w:rsidRPr="00534916" w:rsidRDefault="00BA1CFD" w:rsidP="00B04033">
      <w:pPr>
        <w:pStyle w:val="ListParagraph"/>
        <w:numPr>
          <w:ilvl w:val="0"/>
          <w:numId w:val="10"/>
        </w:numPr>
        <w:ind w:left="426"/>
        <w:jc w:val="both"/>
        <w:rPr>
          <w:rFonts w:ascii="Arial" w:hAnsi="Arial" w:cs="Arial"/>
          <w:sz w:val="22"/>
          <w:szCs w:val="22"/>
          <w:highlight w:val="yellow"/>
          <w:lang w:val="en-GB"/>
        </w:rPr>
      </w:pPr>
      <w:r w:rsidRPr="00534916">
        <w:rPr>
          <w:rFonts w:ascii="Arial" w:hAnsi="Arial" w:cs="Arial"/>
          <w:sz w:val="22"/>
          <w:szCs w:val="22"/>
          <w:highlight w:val="yellow"/>
          <w:lang w:val="en-GB"/>
        </w:rPr>
        <w:t>5</w:t>
      </w:r>
      <w:r w:rsidR="00876F56" w:rsidRPr="00534916">
        <w:rPr>
          <w:rFonts w:ascii="Arial" w:hAnsi="Arial" w:cs="Arial"/>
          <w:sz w:val="22"/>
          <w:szCs w:val="22"/>
          <w:highlight w:val="yellow"/>
          <w:lang w:val="en-GB"/>
        </w:rPr>
        <w:t>0% of the first £</w:t>
      </w:r>
      <w:r w:rsidRPr="00534916">
        <w:rPr>
          <w:rFonts w:ascii="Arial" w:hAnsi="Arial" w:cs="Arial"/>
          <w:sz w:val="22"/>
          <w:szCs w:val="22"/>
          <w:highlight w:val="yellow"/>
          <w:lang w:val="en-GB"/>
        </w:rPr>
        <w:t>1</w:t>
      </w:r>
      <w:r w:rsidR="00876F56" w:rsidRPr="00534916">
        <w:rPr>
          <w:rFonts w:ascii="Arial" w:hAnsi="Arial" w:cs="Arial"/>
          <w:sz w:val="22"/>
          <w:szCs w:val="22"/>
          <w:highlight w:val="yellow"/>
          <w:lang w:val="en-GB"/>
        </w:rPr>
        <w:t xml:space="preserve">0,000 in value plus </w:t>
      </w:r>
      <w:r w:rsidRPr="00534916">
        <w:rPr>
          <w:rFonts w:ascii="Arial" w:hAnsi="Arial" w:cs="Arial"/>
          <w:sz w:val="22"/>
          <w:szCs w:val="22"/>
          <w:highlight w:val="yellow"/>
          <w:lang w:val="en-GB"/>
        </w:rPr>
        <w:t>2</w:t>
      </w:r>
      <w:r w:rsidR="00876F56" w:rsidRPr="00534916">
        <w:rPr>
          <w:rFonts w:ascii="Arial" w:hAnsi="Arial" w:cs="Arial"/>
          <w:sz w:val="22"/>
          <w:szCs w:val="22"/>
          <w:highlight w:val="yellow"/>
          <w:lang w:val="en-GB"/>
        </w:rPr>
        <w:t xml:space="preserve">0% of </w:t>
      </w:r>
      <w:r w:rsidRPr="00534916">
        <w:rPr>
          <w:rFonts w:ascii="Arial" w:hAnsi="Arial" w:cs="Arial"/>
          <w:sz w:val="22"/>
          <w:szCs w:val="22"/>
          <w:highlight w:val="yellow"/>
          <w:lang w:val="en-GB"/>
        </w:rPr>
        <w:t>the excess in value above the £1</w:t>
      </w:r>
      <w:r w:rsidR="00876F56" w:rsidRPr="00534916">
        <w:rPr>
          <w:rFonts w:ascii="Arial" w:hAnsi="Arial" w:cs="Arial"/>
          <w:sz w:val="22"/>
          <w:szCs w:val="22"/>
          <w:highlight w:val="yellow"/>
          <w:lang w:val="en-GB"/>
        </w:rPr>
        <w:t>0,000 subject to a maximum amount of prescribed part of £800,000</w:t>
      </w:r>
      <w:r w:rsidR="00763348" w:rsidRPr="00534916">
        <w:rPr>
          <w:rFonts w:ascii="Arial" w:hAnsi="Arial" w:cs="Arial"/>
          <w:sz w:val="22"/>
          <w:szCs w:val="22"/>
          <w:highlight w:val="yellow"/>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5E468B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E833F4">
        <w:rPr>
          <w:rFonts w:ascii="Arial" w:hAnsi="Arial" w:cs="Arial"/>
          <w:b/>
          <w:bCs/>
          <w:sz w:val="22"/>
          <w:szCs w:val="22"/>
          <w:lang w:val="en-GB"/>
        </w:rPr>
        <w:t>6</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1BE1746F" w:rsidR="00241FA3" w:rsidRDefault="0020090A" w:rsidP="002A37BB">
      <w:pPr>
        <w:ind w:left="720" w:hanging="720"/>
        <w:jc w:val="both"/>
        <w:rPr>
          <w:rFonts w:ascii="Arial" w:hAnsi="Arial" w:cs="Arial"/>
          <w:sz w:val="22"/>
          <w:szCs w:val="22"/>
          <w:lang w:val="en-GB"/>
        </w:rPr>
      </w:pPr>
      <w:r w:rsidRPr="006D2BBF">
        <w:rPr>
          <w:rFonts w:ascii="Arial" w:hAnsi="Arial" w:cs="Arial"/>
          <w:sz w:val="22"/>
          <w:szCs w:val="22"/>
          <w:lang w:val="en-GB"/>
        </w:rPr>
        <w:t xml:space="preserve">What is the difference between </w:t>
      </w:r>
      <w:r w:rsidR="00E833F4">
        <w:rPr>
          <w:rFonts w:ascii="Arial" w:hAnsi="Arial" w:cs="Arial"/>
          <w:sz w:val="22"/>
          <w:szCs w:val="22"/>
          <w:lang w:val="en-GB"/>
        </w:rPr>
        <w:t>cash flow insolvency and balance sheet insolvency</w:t>
      </w:r>
      <w:r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1177D389" w14:textId="77777777" w:rsidR="00C546D9" w:rsidRPr="00C546D9" w:rsidRDefault="00C546D9" w:rsidP="00C546D9">
      <w:pPr>
        <w:pStyle w:val="BodyText"/>
        <w:spacing w:before="1"/>
        <w:ind w:right="255"/>
        <w:jc w:val="both"/>
      </w:pPr>
      <w:r w:rsidRPr="00C546D9">
        <w:t xml:space="preserve">According to the corporate insolvency law, a debtor company is said to be insolvent if it is either </w:t>
      </w:r>
      <w:r w:rsidRPr="00C546D9">
        <w:rPr>
          <w:bCs/>
          <w:color w:val="000000" w:themeColor="text1"/>
        </w:rPr>
        <w:t>balance sheet</w:t>
      </w:r>
      <w:r w:rsidRPr="00C546D9">
        <w:rPr>
          <w:bCs/>
          <w:color w:val="000000" w:themeColor="text1"/>
          <w:spacing w:val="1"/>
        </w:rPr>
        <w:t xml:space="preserve"> </w:t>
      </w:r>
      <w:r w:rsidRPr="00C546D9">
        <w:rPr>
          <w:bCs/>
          <w:color w:val="000000" w:themeColor="text1"/>
        </w:rPr>
        <w:t>insolvent or cash flow insolvent.</w:t>
      </w:r>
      <w:r w:rsidRPr="00C546D9">
        <w:rPr>
          <w:color w:val="000000" w:themeColor="text1"/>
        </w:rPr>
        <w:t xml:space="preserve"> </w:t>
      </w:r>
    </w:p>
    <w:p w14:paraId="3CFAEE89" w14:textId="77777777" w:rsidR="00C546D9" w:rsidRPr="00C546D9" w:rsidRDefault="00C546D9" w:rsidP="00C546D9">
      <w:pPr>
        <w:pStyle w:val="BodyText"/>
        <w:spacing w:before="1"/>
        <w:ind w:right="255"/>
        <w:jc w:val="both"/>
      </w:pPr>
    </w:p>
    <w:p w14:paraId="019DC75A" w14:textId="77777777" w:rsidR="00C546D9" w:rsidRPr="00C546D9" w:rsidRDefault="00C546D9" w:rsidP="00C546D9">
      <w:pPr>
        <w:pStyle w:val="BodyText"/>
        <w:spacing w:before="1"/>
        <w:ind w:right="255"/>
        <w:jc w:val="both"/>
      </w:pPr>
      <w:r w:rsidRPr="00C546D9">
        <w:t xml:space="preserve">On the one hand, a balance sheet insolvent is where a company´s assets are less than its </w:t>
      </w:r>
      <w:r w:rsidRPr="00C546D9">
        <w:lastRenderedPageBreak/>
        <w:t>liabilities (taking into account any future or contingent</w:t>
      </w:r>
      <w:r w:rsidRPr="00C546D9">
        <w:rPr>
          <w:spacing w:val="1"/>
        </w:rPr>
        <w:t xml:space="preserve"> </w:t>
      </w:r>
      <w:r w:rsidRPr="00C546D9">
        <w:t xml:space="preserve">liabilities as well as its current liabilities). </w:t>
      </w:r>
    </w:p>
    <w:p w14:paraId="1CF58969" w14:textId="77777777" w:rsidR="00C546D9" w:rsidRPr="00C546D9" w:rsidRDefault="00C546D9" w:rsidP="00C546D9">
      <w:pPr>
        <w:pStyle w:val="BodyText"/>
        <w:spacing w:before="1"/>
        <w:ind w:right="255"/>
        <w:jc w:val="both"/>
      </w:pPr>
    </w:p>
    <w:p w14:paraId="12A54017" w14:textId="77777777" w:rsidR="00C546D9" w:rsidRPr="00C546D9" w:rsidRDefault="00C546D9" w:rsidP="00C546D9">
      <w:pPr>
        <w:pStyle w:val="BodyText"/>
        <w:spacing w:before="1"/>
        <w:ind w:right="255"/>
        <w:jc w:val="both"/>
      </w:pPr>
      <w:r w:rsidRPr="00C546D9">
        <w:t xml:space="preserve">On the other hand, a company is cash flow insolvent where it is </w:t>
      </w:r>
      <w:r w:rsidRPr="00C546D9">
        <w:rPr>
          <w:spacing w:val="-59"/>
        </w:rPr>
        <w:t xml:space="preserve"> </w:t>
      </w:r>
      <w:r w:rsidRPr="00C546D9">
        <w:t>unable to pay its debts as they fall due (or one payable in the reasonably near future).</w:t>
      </w:r>
    </w:p>
    <w:p w14:paraId="68986125" w14:textId="77777777" w:rsidR="00C546D9" w:rsidRPr="00C546D9" w:rsidRDefault="00C546D9" w:rsidP="00C546D9">
      <w:pPr>
        <w:pStyle w:val="BodyText"/>
        <w:spacing w:before="1"/>
        <w:ind w:right="255"/>
        <w:jc w:val="both"/>
      </w:pPr>
    </w:p>
    <w:p w14:paraId="789C3223" w14:textId="7A632970" w:rsidR="00020557" w:rsidRPr="00C546D9" w:rsidRDefault="00C546D9" w:rsidP="00C546D9">
      <w:pPr>
        <w:tabs>
          <w:tab w:val="left" w:pos="1500"/>
        </w:tabs>
        <w:jc w:val="both"/>
        <w:rPr>
          <w:sz w:val="22"/>
          <w:szCs w:val="22"/>
        </w:rPr>
      </w:pPr>
      <w:r w:rsidRPr="00C546D9">
        <w:rPr>
          <w:rFonts w:ascii="Arial" w:eastAsia="Arial" w:hAnsi="Arial" w:cs="Arial"/>
          <w:sz w:val="22"/>
          <w:szCs w:val="22"/>
        </w:rPr>
        <w:t>The fundamental difference between the two tests is that in order to show cash flow insolvency, it must be shown that a company cannot pay its debts as they fall due. Even if a company is able to meet its current liabilities it may still be viewed as insolvent on the “balance sheet” test as it may have liabilities (including account being taken of the company’s future and contingent liabilities) greater than it has assets.</w:t>
      </w:r>
    </w:p>
    <w:p w14:paraId="5453A60D" w14:textId="77777777" w:rsidR="00763348" w:rsidRPr="002A37BB" w:rsidRDefault="00763348" w:rsidP="002A37BB">
      <w:pPr>
        <w:jc w:val="both"/>
        <w:rPr>
          <w:rFonts w:ascii="Arial" w:hAnsi="Arial" w:cs="Arial"/>
          <w:sz w:val="22"/>
          <w:szCs w:val="22"/>
        </w:rPr>
      </w:pPr>
    </w:p>
    <w:p w14:paraId="34516371" w14:textId="6FDF0571"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0D39386B"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Pr="00763348">
        <w:rPr>
          <w:rFonts w:ascii="Arial" w:hAnsi="Arial" w:cs="Arial"/>
          <w:b/>
          <w:bCs/>
          <w:sz w:val="22"/>
          <w:szCs w:val="22"/>
          <w:lang w:val="en-GB"/>
        </w:rPr>
        <w:t xml:space="preserve">four </w:t>
      </w:r>
      <w:r w:rsidR="00763348" w:rsidRPr="00763348">
        <w:rPr>
          <w:rFonts w:ascii="Arial" w:hAnsi="Arial" w:cs="Arial"/>
          <w:b/>
          <w:bCs/>
          <w:sz w:val="22"/>
          <w:szCs w:val="22"/>
          <w:lang w:val="en-GB"/>
        </w:rPr>
        <w:t>(4)</w:t>
      </w:r>
      <w:r w:rsidR="00763348">
        <w:rPr>
          <w:rFonts w:ascii="Arial" w:hAnsi="Arial" w:cs="Arial"/>
          <w:sz w:val="22"/>
          <w:szCs w:val="22"/>
          <w:lang w:val="en-GB"/>
        </w:rPr>
        <w:t xml:space="preserve"> </w:t>
      </w:r>
      <w:r>
        <w:rPr>
          <w:rFonts w:ascii="Arial" w:hAnsi="Arial" w:cs="Arial"/>
          <w:sz w:val="22"/>
          <w:szCs w:val="22"/>
          <w:lang w:val="en-GB"/>
        </w:rPr>
        <w:t>elements of the statutory moratorium imposed when a company enters administration.</w:t>
      </w:r>
    </w:p>
    <w:p w14:paraId="572227E7" w14:textId="28698C28" w:rsidR="0045683E" w:rsidRDefault="0045683E" w:rsidP="002A37BB">
      <w:pPr>
        <w:jc w:val="both"/>
        <w:rPr>
          <w:rFonts w:ascii="Arial" w:hAnsi="Arial" w:cs="Arial"/>
          <w:sz w:val="22"/>
          <w:szCs w:val="22"/>
          <w:lang w:val="en-GB"/>
        </w:rPr>
      </w:pPr>
    </w:p>
    <w:p w14:paraId="74329A11" w14:textId="65DC36AD" w:rsidR="004F1068" w:rsidRPr="004F1068" w:rsidRDefault="004F1068" w:rsidP="004F1068">
      <w:pPr>
        <w:pStyle w:val="BodyText"/>
        <w:ind w:right="644"/>
        <w:jc w:val="both"/>
      </w:pPr>
      <w:r>
        <w:t>While a company is in administration a moratorium prevents the following actions</w:t>
      </w:r>
      <w:r>
        <w:rPr>
          <w:spacing w:val="-59"/>
        </w:rPr>
        <w:t xml:space="preserve"> </w:t>
      </w:r>
      <w:r>
        <w:t>against</w:t>
      </w:r>
      <w:r>
        <w:rPr>
          <w:spacing w:val="-2"/>
        </w:rPr>
        <w:t xml:space="preserve"> </w:t>
      </w:r>
      <w:r>
        <w:t>the</w:t>
      </w:r>
      <w:r>
        <w:rPr>
          <w:spacing w:val="-1"/>
        </w:rPr>
        <w:t xml:space="preserve"> </w:t>
      </w:r>
      <w:r>
        <w:t>company: (i) no</w:t>
      </w:r>
      <w:r w:rsidRPr="00B03581">
        <w:rPr>
          <w:spacing w:val="-3"/>
        </w:rPr>
        <w:t xml:space="preserve"> </w:t>
      </w:r>
      <w:r>
        <w:t>resolution</w:t>
      </w:r>
      <w:r w:rsidRPr="00B03581">
        <w:rPr>
          <w:spacing w:val="-3"/>
        </w:rPr>
        <w:t xml:space="preserve"> </w:t>
      </w:r>
      <w:r>
        <w:t>may</w:t>
      </w:r>
      <w:r w:rsidRPr="00B03581">
        <w:rPr>
          <w:spacing w:val="-2"/>
        </w:rPr>
        <w:t xml:space="preserve"> </w:t>
      </w:r>
      <w:r>
        <w:t>be</w:t>
      </w:r>
      <w:r w:rsidRPr="00B03581">
        <w:rPr>
          <w:spacing w:val="-3"/>
        </w:rPr>
        <w:t xml:space="preserve"> </w:t>
      </w:r>
      <w:r>
        <w:t>passed</w:t>
      </w:r>
      <w:r w:rsidRPr="00B03581">
        <w:rPr>
          <w:spacing w:val="-3"/>
        </w:rPr>
        <w:t xml:space="preserve"> </w:t>
      </w:r>
      <w:r>
        <w:t>for</w:t>
      </w:r>
      <w:r w:rsidRPr="00B03581">
        <w:rPr>
          <w:spacing w:val="-2"/>
        </w:rPr>
        <w:t xml:space="preserve"> </w:t>
      </w:r>
      <w:r>
        <w:t>the</w:t>
      </w:r>
      <w:r w:rsidRPr="00B03581">
        <w:rPr>
          <w:spacing w:val="-3"/>
        </w:rPr>
        <w:t xml:space="preserve"> </w:t>
      </w:r>
      <w:r>
        <w:t>winding</w:t>
      </w:r>
      <w:r w:rsidRPr="00B03581">
        <w:rPr>
          <w:spacing w:val="-2"/>
        </w:rPr>
        <w:t xml:space="preserve"> </w:t>
      </w:r>
      <w:r>
        <w:t>up</w:t>
      </w:r>
      <w:r w:rsidRPr="00B03581">
        <w:rPr>
          <w:spacing w:val="-3"/>
        </w:rPr>
        <w:t xml:space="preserve"> </w:t>
      </w:r>
      <w:r>
        <w:t>of</w:t>
      </w:r>
      <w:r w:rsidRPr="00B03581">
        <w:rPr>
          <w:spacing w:val="-3"/>
        </w:rPr>
        <w:t xml:space="preserve"> </w:t>
      </w:r>
      <w:r>
        <w:t>the</w:t>
      </w:r>
      <w:r w:rsidRPr="00B03581">
        <w:rPr>
          <w:spacing w:val="-2"/>
        </w:rPr>
        <w:t xml:space="preserve"> </w:t>
      </w:r>
      <w:r>
        <w:t>company; (ii) no winding-up order may be made against the company (other than on public</w:t>
      </w:r>
      <w:r w:rsidRPr="00B03581">
        <w:rPr>
          <w:spacing w:val="-59"/>
        </w:rPr>
        <w:t xml:space="preserve"> </w:t>
      </w:r>
      <w:r>
        <w:t>interest</w:t>
      </w:r>
      <w:r w:rsidRPr="00B03581">
        <w:rPr>
          <w:spacing w:val="-2"/>
        </w:rPr>
        <w:t xml:space="preserve"> </w:t>
      </w:r>
      <w:r>
        <w:t>grounds); (iii) no step may be taken to enforce security over the company’s property except</w:t>
      </w:r>
      <w:r w:rsidRPr="00B03581">
        <w:rPr>
          <w:spacing w:val="-59"/>
        </w:rPr>
        <w:t xml:space="preserve"> </w:t>
      </w:r>
      <w:r>
        <w:t>with</w:t>
      </w:r>
      <w:r w:rsidRPr="00B03581">
        <w:rPr>
          <w:spacing w:val="-2"/>
        </w:rPr>
        <w:t xml:space="preserve"> </w:t>
      </w:r>
      <w:r>
        <w:t>the</w:t>
      </w:r>
      <w:r w:rsidRPr="00B03581">
        <w:rPr>
          <w:spacing w:val="-2"/>
        </w:rPr>
        <w:t xml:space="preserve"> </w:t>
      </w:r>
      <w:r>
        <w:t>consent</w:t>
      </w:r>
      <w:r w:rsidRPr="00B03581">
        <w:rPr>
          <w:spacing w:val="-2"/>
        </w:rPr>
        <w:t xml:space="preserve"> </w:t>
      </w:r>
      <w:r>
        <w:t>of</w:t>
      </w:r>
      <w:r w:rsidRPr="00B03581">
        <w:rPr>
          <w:spacing w:val="-2"/>
        </w:rPr>
        <w:t xml:space="preserve"> </w:t>
      </w:r>
      <w:r>
        <w:t>the</w:t>
      </w:r>
      <w:r w:rsidRPr="00B03581">
        <w:rPr>
          <w:spacing w:val="-2"/>
        </w:rPr>
        <w:t xml:space="preserve"> </w:t>
      </w:r>
      <w:r>
        <w:t>administrator</w:t>
      </w:r>
      <w:r w:rsidRPr="00B03581">
        <w:rPr>
          <w:spacing w:val="-2"/>
        </w:rPr>
        <w:t xml:space="preserve"> </w:t>
      </w:r>
      <w:r>
        <w:t>or</w:t>
      </w:r>
      <w:r w:rsidRPr="00B03581">
        <w:rPr>
          <w:spacing w:val="-2"/>
        </w:rPr>
        <w:t xml:space="preserve"> </w:t>
      </w:r>
      <w:r>
        <w:t>the</w:t>
      </w:r>
      <w:r w:rsidRPr="00B03581">
        <w:rPr>
          <w:spacing w:val="-2"/>
        </w:rPr>
        <w:t xml:space="preserve"> </w:t>
      </w:r>
      <w:r>
        <w:t>permission</w:t>
      </w:r>
      <w:r w:rsidRPr="00B03581">
        <w:rPr>
          <w:spacing w:val="-2"/>
        </w:rPr>
        <w:t xml:space="preserve"> </w:t>
      </w:r>
      <w:r>
        <w:t>of</w:t>
      </w:r>
      <w:r w:rsidRPr="00B03581">
        <w:rPr>
          <w:spacing w:val="-2"/>
        </w:rPr>
        <w:t xml:space="preserve"> </w:t>
      </w:r>
      <w:r>
        <w:t>the</w:t>
      </w:r>
      <w:r w:rsidRPr="00B03581">
        <w:rPr>
          <w:spacing w:val="-2"/>
        </w:rPr>
        <w:t xml:space="preserve"> </w:t>
      </w:r>
      <w:r>
        <w:t>court; (iv) no step may be taken to repossess goods in the company’s possession under a</w:t>
      </w:r>
      <w:r w:rsidRPr="00B03581">
        <w:rPr>
          <w:spacing w:val="1"/>
        </w:rPr>
        <w:t xml:space="preserve"> </w:t>
      </w:r>
      <w:r>
        <w:t>hire-purchase agreement (which term includes retention of title contracts) except</w:t>
      </w:r>
      <w:r w:rsidRPr="00B03581">
        <w:rPr>
          <w:spacing w:val="-59"/>
        </w:rPr>
        <w:t xml:space="preserve"> </w:t>
      </w:r>
      <w:r>
        <w:t>with</w:t>
      </w:r>
      <w:r w:rsidRPr="00B03581">
        <w:rPr>
          <w:spacing w:val="-2"/>
        </w:rPr>
        <w:t xml:space="preserve"> </w:t>
      </w:r>
      <w:r>
        <w:t>the</w:t>
      </w:r>
      <w:r w:rsidRPr="00B03581">
        <w:rPr>
          <w:spacing w:val="-2"/>
        </w:rPr>
        <w:t xml:space="preserve"> </w:t>
      </w:r>
      <w:r>
        <w:t>consent</w:t>
      </w:r>
      <w:r w:rsidRPr="00B03581">
        <w:rPr>
          <w:spacing w:val="-2"/>
        </w:rPr>
        <w:t xml:space="preserve"> </w:t>
      </w:r>
      <w:r>
        <w:t>of</w:t>
      </w:r>
      <w:r w:rsidRPr="00B03581">
        <w:rPr>
          <w:spacing w:val="-1"/>
        </w:rPr>
        <w:t xml:space="preserve"> </w:t>
      </w:r>
      <w:r>
        <w:t>the</w:t>
      </w:r>
      <w:r w:rsidRPr="00B03581">
        <w:rPr>
          <w:spacing w:val="-2"/>
        </w:rPr>
        <w:t xml:space="preserve"> </w:t>
      </w:r>
      <w:r>
        <w:t>administrator</w:t>
      </w:r>
      <w:r w:rsidRPr="00B03581">
        <w:rPr>
          <w:spacing w:val="-2"/>
        </w:rPr>
        <w:t xml:space="preserve"> </w:t>
      </w:r>
      <w:r>
        <w:t>or</w:t>
      </w:r>
      <w:r w:rsidRPr="00B03581">
        <w:rPr>
          <w:spacing w:val="-2"/>
        </w:rPr>
        <w:t xml:space="preserve"> </w:t>
      </w:r>
      <w:r>
        <w:t>the</w:t>
      </w:r>
      <w:r w:rsidRPr="00B03581">
        <w:rPr>
          <w:spacing w:val="-1"/>
        </w:rPr>
        <w:t xml:space="preserve"> </w:t>
      </w:r>
      <w:r>
        <w:t>permission</w:t>
      </w:r>
      <w:r w:rsidRPr="00B03581">
        <w:rPr>
          <w:spacing w:val="-2"/>
        </w:rPr>
        <w:t xml:space="preserve"> </w:t>
      </w:r>
      <w:r>
        <w:t>of</w:t>
      </w:r>
      <w:r w:rsidRPr="00B03581">
        <w:rPr>
          <w:spacing w:val="-2"/>
        </w:rPr>
        <w:t xml:space="preserve"> </w:t>
      </w:r>
      <w:r>
        <w:t>the</w:t>
      </w:r>
      <w:r w:rsidRPr="00B03581">
        <w:rPr>
          <w:spacing w:val="-2"/>
        </w:rPr>
        <w:t xml:space="preserve"> </w:t>
      </w:r>
      <w:r>
        <w:t>court; (v) a landlord may not exercise a right of forfeiture by peaceable re-entry in relation</w:t>
      </w:r>
      <w:r w:rsidRPr="00B03581">
        <w:rPr>
          <w:spacing w:val="-59"/>
        </w:rPr>
        <w:t xml:space="preserve"> </w:t>
      </w:r>
      <w:r>
        <w:t>to premises let to the company except with the consent of the administrator or</w:t>
      </w:r>
      <w:r w:rsidRPr="00B03581">
        <w:rPr>
          <w:spacing w:val="1"/>
        </w:rPr>
        <w:t xml:space="preserve"> </w:t>
      </w:r>
      <w:r>
        <w:t>the</w:t>
      </w:r>
      <w:r w:rsidRPr="00B03581">
        <w:rPr>
          <w:spacing w:val="-2"/>
        </w:rPr>
        <w:t xml:space="preserve"> </w:t>
      </w:r>
      <w:r>
        <w:t>permission</w:t>
      </w:r>
      <w:r w:rsidRPr="00B03581">
        <w:rPr>
          <w:spacing w:val="-1"/>
        </w:rPr>
        <w:t xml:space="preserve"> </w:t>
      </w:r>
      <w:r>
        <w:t>of</w:t>
      </w:r>
      <w:r w:rsidRPr="00B03581">
        <w:rPr>
          <w:spacing w:val="-1"/>
        </w:rPr>
        <w:t xml:space="preserve"> </w:t>
      </w:r>
      <w:r>
        <w:t>the</w:t>
      </w:r>
      <w:r w:rsidRPr="00B03581">
        <w:rPr>
          <w:spacing w:val="-1"/>
        </w:rPr>
        <w:t xml:space="preserve"> </w:t>
      </w:r>
      <w:r>
        <w:t>court; (vi) no legal process (including any legal proceedings or execution of any judgment)</w:t>
      </w:r>
      <w:r w:rsidRPr="00B03581">
        <w:rPr>
          <w:spacing w:val="-59"/>
        </w:rPr>
        <w:t xml:space="preserve"> </w:t>
      </w:r>
      <w:r>
        <w:t>may be instituted or continued against the company or property of the company</w:t>
      </w:r>
      <w:r w:rsidRPr="00B03581">
        <w:rPr>
          <w:spacing w:val="-59"/>
        </w:rPr>
        <w:t xml:space="preserve"> </w:t>
      </w:r>
      <w:r>
        <w:t>except</w:t>
      </w:r>
      <w:r w:rsidRPr="00B03581">
        <w:rPr>
          <w:spacing w:val="-3"/>
        </w:rPr>
        <w:t xml:space="preserve"> </w:t>
      </w:r>
      <w:r>
        <w:t>with</w:t>
      </w:r>
      <w:r w:rsidRPr="00B03581">
        <w:rPr>
          <w:spacing w:val="-3"/>
        </w:rPr>
        <w:t xml:space="preserve"> </w:t>
      </w:r>
      <w:r>
        <w:t>the</w:t>
      </w:r>
      <w:r w:rsidRPr="00B03581">
        <w:rPr>
          <w:spacing w:val="-3"/>
        </w:rPr>
        <w:t xml:space="preserve"> </w:t>
      </w:r>
      <w:r>
        <w:t>consent</w:t>
      </w:r>
      <w:r w:rsidRPr="00B03581">
        <w:rPr>
          <w:spacing w:val="-3"/>
        </w:rPr>
        <w:t xml:space="preserve"> </w:t>
      </w:r>
      <w:r>
        <w:t>of</w:t>
      </w:r>
      <w:r w:rsidRPr="00B03581">
        <w:rPr>
          <w:spacing w:val="-3"/>
        </w:rPr>
        <w:t xml:space="preserve"> </w:t>
      </w:r>
      <w:r>
        <w:t>the</w:t>
      </w:r>
      <w:r w:rsidRPr="00B03581">
        <w:rPr>
          <w:spacing w:val="-2"/>
        </w:rPr>
        <w:t xml:space="preserve"> </w:t>
      </w:r>
      <w:r>
        <w:t>administrator</w:t>
      </w:r>
      <w:r w:rsidRPr="00B03581">
        <w:rPr>
          <w:spacing w:val="-3"/>
        </w:rPr>
        <w:t xml:space="preserve"> </w:t>
      </w:r>
      <w:r>
        <w:t>or</w:t>
      </w:r>
      <w:r w:rsidRPr="00B03581">
        <w:rPr>
          <w:spacing w:val="-3"/>
        </w:rPr>
        <w:t xml:space="preserve"> </w:t>
      </w:r>
      <w:r>
        <w:t>the</w:t>
      </w:r>
      <w:r w:rsidRPr="00B03581">
        <w:rPr>
          <w:spacing w:val="-3"/>
        </w:rPr>
        <w:t xml:space="preserve"> </w:t>
      </w:r>
      <w:r>
        <w:t>permission</w:t>
      </w:r>
      <w:r w:rsidRPr="00B03581">
        <w:rPr>
          <w:spacing w:val="-3"/>
        </w:rPr>
        <w:t xml:space="preserve"> </w:t>
      </w:r>
      <w:r>
        <w:t>of</w:t>
      </w:r>
      <w:r w:rsidRPr="00B03581">
        <w:rPr>
          <w:spacing w:val="-3"/>
        </w:rPr>
        <w:t xml:space="preserve"> </w:t>
      </w:r>
      <w:r>
        <w:t>the</w:t>
      </w:r>
      <w:r w:rsidRPr="00B03581">
        <w:rPr>
          <w:spacing w:val="-2"/>
        </w:rPr>
        <w:t xml:space="preserve"> </w:t>
      </w:r>
      <w:r>
        <w:t>court;</w:t>
      </w:r>
      <w:r w:rsidRPr="00B03581">
        <w:rPr>
          <w:spacing w:val="-3"/>
        </w:rPr>
        <w:t xml:space="preserve"> </w:t>
      </w:r>
      <w:r>
        <w:t>and, (vii) no</w:t>
      </w:r>
      <w:r w:rsidRPr="00B03581">
        <w:rPr>
          <w:spacing w:val="-5"/>
        </w:rPr>
        <w:t xml:space="preserve"> </w:t>
      </w:r>
      <w:r>
        <w:t>administrative</w:t>
      </w:r>
      <w:r w:rsidRPr="00B03581">
        <w:rPr>
          <w:spacing w:val="-4"/>
        </w:rPr>
        <w:t xml:space="preserve"> </w:t>
      </w:r>
      <w:r>
        <w:t>receiver</w:t>
      </w:r>
      <w:r w:rsidRPr="00B03581">
        <w:rPr>
          <w:spacing w:val="-4"/>
        </w:rPr>
        <w:t xml:space="preserve"> </w:t>
      </w:r>
      <w:r>
        <w:t>may</w:t>
      </w:r>
      <w:r w:rsidRPr="00B03581">
        <w:rPr>
          <w:spacing w:val="-4"/>
        </w:rPr>
        <w:t xml:space="preserve"> </w:t>
      </w:r>
      <w:r>
        <w:t>be</w:t>
      </w:r>
      <w:r w:rsidRPr="00B03581">
        <w:rPr>
          <w:spacing w:val="-4"/>
        </w:rPr>
        <w:t xml:space="preserve"> </w:t>
      </w:r>
      <w:r>
        <w:t>appointed.</w:t>
      </w: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0343CD65" w:rsidR="00FA417D" w:rsidRPr="002A37BB" w:rsidRDefault="00FA417D" w:rsidP="00FA417D">
      <w:pPr>
        <w:jc w:val="both"/>
        <w:rPr>
          <w:rFonts w:ascii="Arial" w:hAnsi="Arial" w:cs="Arial"/>
          <w:sz w:val="22"/>
          <w:szCs w:val="22"/>
          <w:lang w:val="en-GB"/>
        </w:rPr>
      </w:pPr>
      <w:r>
        <w:rPr>
          <w:rFonts w:ascii="Arial" w:hAnsi="Arial" w:cs="Arial"/>
          <w:sz w:val="22"/>
          <w:szCs w:val="22"/>
          <w:lang w:val="en-GB"/>
        </w:rPr>
        <w:t>Explain the main differences between a Part 26 Scheme of Arrangement and a Part 26A Restructuring Plan</w:t>
      </w:r>
      <w:r w:rsidR="00763348">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2171A060" w14:textId="77777777" w:rsidR="00E31899" w:rsidRDefault="00E31899" w:rsidP="00E31899">
      <w:pPr>
        <w:pStyle w:val="BodyText"/>
        <w:spacing w:before="101"/>
        <w:ind w:right="289"/>
        <w:jc w:val="both"/>
      </w:pPr>
      <w:r>
        <w:t>One of the differences is that in the Part 26A Restructuring Plan the court may sanction the compromise or arrangement if a number representing</w:t>
      </w:r>
      <w:r>
        <w:rPr>
          <w:spacing w:val="1"/>
        </w:rPr>
        <w:t xml:space="preserve"> </w:t>
      </w:r>
      <w:r>
        <w:t>75% or more in value of the creditors or class of creditors, or members or class of</w:t>
      </w:r>
      <w:r>
        <w:rPr>
          <w:spacing w:val="1"/>
        </w:rPr>
        <w:t xml:space="preserve"> </w:t>
      </w:r>
      <w:r>
        <w:t>members (as the case may be) agree to terms of the Restructuring Plan. This is</w:t>
      </w:r>
      <w:r>
        <w:rPr>
          <w:spacing w:val="1"/>
        </w:rPr>
        <w:t xml:space="preserve"> </w:t>
      </w:r>
      <w:r>
        <w:t xml:space="preserve">differs from a Part 26 Scheme which requires a majority in number as well as 75% or </w:t>
      </w:r>
      <w:r>
        <w:rPr>
          <w:spacing w:val="-59"/>
        </w:rPr>
        <w:t xml:space="preserve"> </w:t>
      </w:r>
      <w:r>
        <w:t>more</w:t>
      </w:r>
      <w:r>
        <w:rPr>
          <w:spacing w:val="-2"/>
        </w:rPr>
        <w:t xml:space="preserve"> </w:t>
      </w:r>
      <w:r>
        <w:t>in</w:t>
      </w:r>
      <w:r>
        <w:rPr>
          <w:spacing w:val="-1"/>
        </w:rPr>
        <w:t xml:space="preserve"> </w:t>
      </w:r>
      <w:r>
        <w:t>value</w:t>
      </w:r>
      <w:r>
        <w:rPr>
          <w:spacing w:val="-1"/>
        </w:rPr>
        <w:t xml:space="preserve"> </w:t>
      </w:r>
      <w:r>
        <w:t>of</w:t>
      </w:r>
      <w:r>
        <w:rPr>
          <w:spacing w:val="-1"/>
        </w:rPr>
        <w:t xml:space="preserve"> </w:t>
      </w:r>
      <w:r>
        <w:t>each</w:t>
      </w:r>
      <w:r>
        <w:rPr>
          <w:spacing w:val="-2"/>
        </w:rPr>
        <w:t xml:space="preserve"> </w:t>
      </w:r>
      <w:r>
        <w:t>class</w:t>
      </w:r>
      <w:r>
        <w:rPr>
          <w:spacing w:val="-1"/>
        </w:rPr>
        <w:t xml:space="preserve"> </w:t>
      </w:r>
      <w:r>
        <w:t>to</w:t>
      </w:r>
      <w:r>
        <w:rPr>
          <w:spacing w:val="-1"/>
        </w:rPr>
        <w:t xml:space="preserve"> </w:t>
      </w:r>
      <w:r>
        <w:t>approve</w:t>
      </w:r>
      <w:r>
        <w:rPr>
          <w:spacing w:val="-1"/>
        </w:rPr>
        <w:t xml:space="preserve"> </w:t>
      </w:r>
      <w:r>
        <w:t>the</w:t>
      </w:r>
      <w:r>
        <w:rPr>
          <w:spacing w:val="-2"/>
        </w:rPr>
        <w:t xml:space="preserve"> </w:t>
      </w:r>
      <w:r>
        <w:t>Scheme.</w:t>
      </w:r>
    </w:p>
    <w:p w14:paraId="1F223408" w14:textId="77777777" w:rsidR="00E31899" w:rsidRDefault="00E31899" w:rsidP="00E31899">
      <w:pPr>
        <w:pStyle w:val="BodyText"/>
        <w:spacing w:before="101"/>
        <w:ind w:right="289"/>
        <w:jc w:val="both"/>
      </w:pPr>
    </w:p>
    <w:p w14:paraId="7E32D05F" w14:textId="6EDCE16C" w:rsidR="00E31899" w:rsidRPr="009232AA" w:rsidRDefault="00E31899" w:rsidP="00E31899">
      <w:pPr>
        <w:pStyle w:val="BodyText"/>
        <w:spacing w:before="1"/>
        <w:ind w:right="313"/>
        <w:jc w:val="both"/>
        <w:rPr>
          <w:color w:val="000000" w:themeColor="text1"/>
        </w:rPr>
      </w:pPr>
      <w:r>
        <w:t>The other main characteristic which distinguishes the Part 26A Restructuring Plan</w:t>
      </w:r>
      <w:r>
        <w:rPr>
          <w:spacing w:val="1"/>
        </w:rPr>
        <w:t xml:space="preserve"> </w:t>
      </w:r>
      <w:r>
        <w:t>from a</w:t>
      </w:r>
      <w:r w:rsidR="00B31497">
        <w:t xml:space="preserve"> </w:t>
      </w:r>
      <w:r>
        <w:t>Part 26 Scheme is the ability of the court to cramdown a dissenting class who</w:t>
      </w:r>
      <w:r>
        <w:rPr>
          <w:spacing w:val="-59"/>
        </w:rPr>
        <w:t xml:space="preserve"> </w:t>
      </w:r>
      <w:r>
        <w:t>does not approve the Restructuring Plan. In circumstances where one or more</w:t>
      </w:r>
      <w:r>
        <w:rPr>
          <w:spacing w:val="1"/>
        </w:rPr>
        <w:t xml:space="preserve"> </w:t>
      </w:r>
      <w:r>
        <w:t>classes dissent, if Conditions A and B below are met, the fact that the dissenting</w:t>
      </w:r>
      <w:r>
        <w:rPr>
          <w:spacing w:val="1"/>
        </w:rPr>
        <w:t xml:space="preserve"> </w:t>
      </w:r>
      <w:r>
        <w:t>class has not agreed to the Restructuring Plan will not prevent the court from</w:t>
      </w:r>
      <w:r>
        <w:rPr>
          <w:spacing w:val="1"/>
        </w:rPr>
        <w:t xml:space="preserve"> </w:t>
      </w:r>
      <w:r w:rsidRPr="009232AA">
        <w:rPr>
          <w:color w:val="000000" w:themeColor="text1"/>
        </w:rPr>
        <w:t>granting</w:t>
      </w:r>
      <w:r w:rsidRPr="009232AA">
        <w:rPr>
          <w:color w:val="000000" w:themeColor="text1"/>
          <w:spacing w:val="-2"/>
        </w:rPr>
        <w:t xml:space="preserve"> </w:t>
      </w:r>
      <w:r w:rsidRPr="009232AA">
        <w:rPr>
          <w:color w:val="000000" w:themeColor="text1"/>
        </w:rPr>
        <w:t>sanction.</w:t>
      </w:r>
    </w:p>
    <w:p w14:paraId="7E70D8ED" w14:textId="77777777" w:rsidR="00E31899" w:rsidRPr="009232AA" w:rsidRDefault="00E31899" w:rsidP="00E31899">
      <w:pPr>
        <w:shd w:val="clear" w:color="auto" w:fill="FFFFFF"/>
        <w:jc w:val="both"/>
        <w:textAlignment w:val="baseline"/>
        <w:rPr>
          <w:rFonts w:ascii="Arial" w:hAnsi="Arial" w:cs="Arial"/>
          <w:color w:val="000000" w:themeColor="text1"/>
          <w:sz w:val="22"/>
          <w:szCs w:val="22"/>
        </w:rPr>
      </w:pPr>
    </w:p>
    <w:p w14:paraId="4A3EE539" w14:textId="77777777" w:rsidR="00E31899" w:rsidRPr="00FD1471" w:rsidRDefault="00E31899" w:rsidP="00E31899">
      <w:pPr>
        <w:shd w:val="clear" w:color="auto" w:fill="FFFFFF"/>
        <w:jc w:val="both"/>
        <w:textAlignment w:val="baseline"/>
        <w:rPr>
          <w:rFonts w:ascii="Arial" w:hAnsi="Arial" w:cs="Arial"/>
          <w:color w:val="000000" w:themeColor="text1"/>
          <w:sz w:val="22"/>
          <w:szCs w:val="22"/>
          <w:lang w:eastAsia="es-PE"/>
        </w:rPr>
      </w:pPr>
      <w:r w:rsidRPr="009232AA">
        <w:rPr>
          <w:rFonts w:ascii="Arial" w:hAnsi="Arial" w:cs="Arial"/>
          <w:color w:val="000000" w:themeColor="text1"/>
          <w:sz w:val="22"/>
          <w:szCs w:val="22"/>
        </w:rPr>
        <w:t xml:space="preserve">Condition A is that </w:t>
      </w:r>
      <w:r w:rsidRPr="00FD1471">
        <w:rPr>
          <w:rFonts w:ascii="Arial" w:hAnsi="Arial" w:cs="Arial"/>
          <w:color w:val="000000" w:themeColor="text1"/>
          <w:sz w:val="22"/>
          <w:szCs w:val="22"/>
          <w:lang w:eastAsia="es-PE"/>
        </w:rPr>
        <w:t>none of the members of the dissenting class would be worse off than under a relevant alternative; and</w:t>
      </w:r>
    </w:p>
    <w:p w14:paraId="69EC8F8D" w14:textId="77777777" w:rsidR="00E31899" w:rsidRPr="009232AA" w:rsidRDefault="00E31899" w:rsidP="00E31899">
      <w:pPr>
        <w:shd w:val="clear" w:color="auto" w:fill="FFFFFF"/>
        <w:jc w:val="both"/>
        <w:textAlignment w:val="baseline"/>
        <w:rPr>
          <w:rFonts w:ascii="Arial" w:hAnsi="Arial" w:cs="Arial"/>
          <w:color w:val="000000" w:themeColor="text1"/>
          <w:sz w:val="22"/>
          <w:szCs w:val="22"/>
          <w:lang w:eastAsia="es-PE"/>
        </w:rPr>
      </w:pPr>
    </w:p>
    <w:p w14:paraId="334BF7E1" w14:textId="77777777" w:rsidR="00E31899" w:rsidRPr="009232AA" w:rsidRDefault="00E31899" w:rsidP="00E31899">
      <w:pPr>
        <w:shd w:val="clear" w:color="auto" w:fill="FFFFFF"/>
        <w:jc w:val="both"/>
        <w:textAlignment w:val="baseline"/>
        <w:rPr>
          <w:rFonts w:ascii="Arial" w:hAnsi="Arial" w:cs="Arial"/>
          <w:color w:val="000000" w:themeColor="text1"/>
          <w:sz w:val="22"/>
          <w:szCs w:val="22"/>
          <w:lang w:eastAsia="es-PE"/>
        </w:rPr>
      </w:pPr>
      <w:r w:rsidRPr="009232AA">
        <w:rPr>
          <w:rFonts w:ascii="Arial" w:hAnsi="Arial" w:cs="Arial"/>
          <w:color w:val="000000" w:themeColor="text1"/>
          <w:sz w:val="22"/>
          <w:szCs w:val="22"/>
          <w:lang w:eastAsia="es-PE"/>
        </w:rPr>
        <w:lastRenderedPageBreak/>
        <w:t xml:space="preserve">Condition B is that </w:t>
      </w:r>
      <w:r w:rsidRPr="00FD1471">
        <w:rPr>
          <w:rFonts w:ascii="Arial" w:hAnsi="Arial" w:cs="Arial"/>
          <w:color w:val="000000" w:themeColor="text1"/>
          <w:sz w:val="22"/>
          <w:szCs w:val="22"/>
          <w:lang w:eastAsia="es-PE"/>
        </w:rPr>
        <w:t>at least 75% by value of a class of creditor or members, which would receive a payment or have a genuine economic interest if the relevant alternative were pursued, had still voted in favour of the plan.</w:t>
      </w:r>
    </w:p>
    <w:p w14:paraId="04713C8C" w14:textId="77777777" w:rsidR="00E31899" w:rsidRPr="009232AA" w:rsidRDefault="00E31899" w:rsidP="00E31899">
      <w:pPr>
        <w:shd w:val="clear" w:color="auto" w:fill="FFFFFF"/>
        <w:jc w:val="both"/>
        <w:textAlignment w:val="baseline"/>
        <w:rPr>
          <w:rFonts w:ascii="Arial" w:hAnsi="Arial" w:cs="Arial"/>
          <w:color w:val="000000" w:themeColor="text1"/>
          <w:sz w:val="22"/>
          <w:szCs w:val="22"/>
          <w:lang w:eastAsia="es-PE"/>
        </w:rPr>
      </w:pPr>
    </w:p>
    <w:p w14:paraId="4A637290" w14:textId="6CC29400" w:rsidR="00544127" w:rsidRPr="00E31899" w:rsidRDefault="00E31899" w:rsidP="00E31899">
      <w:pPr>
        <w:shd w:val="clear" w:color="auto" w:fill="FFFFFF"/>
        <w:jc w:val="both"/>
        <w:textAlignment w:val="baseline"/>
        <w:rPr>
          <w:rFonts w:ascii="Arial" w:hAnsi="Arial" w:cs="Arial"/>
          <w:color w:val="000000" w:themeColor="text1"/>
          <w:sz w:val="22"/>
          <w:szCs w:val="22"/>
          <w:lang w:eastAsia="es-PE"/>
        </w:rPr>
      </w:pPr>
      <w:r w:rsidRPr="009232AA">
        <w:rPr>
          <w:rFonts w:ascii="Arial" w:hAnsi="Arial" w:cs="Arial"/>
          <w:color w:val="000000" w:themeColor="text1"/>
          <w:sz w:val="22"/>
          <w:szCs w:val="22"/>
          <w:lang w:eastAsia="es-PE"/>
        </w:rPr>
        <w:t xml:space="preserve">Finally, </w:t>
      </w:r>
      <w:r w:rsidRPr="009232AA">
        <w:rPr>
          <w:rFonts w:ascii="Arial" w:hAnsi="Arial" w:cs="Arial"/>
          <w:color w:val="000000" w:themeColor="text1"/>
          <w:sz w:val="22"/>
          <w:szCs w:val="22"/>
          <w:shd w:val="clear" w:color="auto" w:fill="FFFFFF"/>
        </w:rPr>
        <w:t xml:space="preserve">Part 26A restructuring plans are only available to companies that have encountered or are likely to encounter financial difficulties likely to affect their ability to carry on business as a going concern whereas a </w:t>
      </w:r>
      <w:r>
        <w:rPr>
          <w:rFonts w:ascii="Arial" w:hAnsi="Arial" w:cs="Arial"/>
          <w:color w:val="000000" w:themeColor="text1"/>
          <w:shd w:val="clear" w:color="auto" w:fill="FFFFFF"/>
        </w:rPr>
        <w:t>s</w:t>
      </w:r>
      <w:r w:rsidRPr="009232AA">
        <w:rPr>
          <w:rFonts w:ascii="Arial" w:hAnsi="Arial" w:cs="Arial"/>
          <w:color w:val="000000" w:themeColor="text1"/>
          <w:sz w:val="22"/>
          <w:szCs w:val="22"/>
          <w:shd w:val="clear" w:color="auto" w:fill="FFFFFF"/>
        </w:rPr>
        <w:t>cheme of arrangement may be used by both companies which are solvent and those which are insolvent.</w:t>
      </w:r>
    </w:p>
    <w:p w14:paraId="5D5A1FA5" w14:textId="77777777" w:rsidR="00D17FDC" w:rsidRPr="002A37BB" w:rsidRDefault="00D17FDC" w:rsidP="002A37BB">
      <w:pPr>
        <w:ind w:left="720" w:hanging="720"/>
        <w:jc w:val="both"/>
        <w:rPr>
          <w:rFonts w:ascii="Arial" w:hAnsi="Arial" w:cs="Arial"/>
          <w:sz w:val="22"/>
          <w:szCs w:val="22"/>
        </w:rPr>
      </w:pPr>
    </w:p>
    <w:p w14:paraId="755D6AFF" w14:textId="2598521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6DCD5783"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E833F4">
        <w:rPr>
          <w:rFonts w:ascii="Arial" w:hAnsi="Arial" w:cs="Arial"/>
          <w:sz w:val="22"/>
          <w:szCs w:val="22"/>
          <w:lang w:val="en-GB"/>
        </w:rPr>
        <w:t>different way</w:t>
      </w:r>
      <w:r w:rsidR="00763348">
        <w:rPr>
          <w:rFonts w:ascii="Arial" w:hAnsi="Arial" w:cs="Arial"/>
          <w:sz w:val="22"/>
          <w:szCs w:val="22"/>
          <w:lang w:val="en-GB"/>
        </w:rPr>
        <w:t>s</w:t>
      </w:r>
      <w:r w:rsidR="00E833F4">
        <w:rPr>
          <w:rFonts w:ascii="Arial" w:hAnsi="Arial" w:cs="Arial"/>
          <w:sz w:val="22"/>
          <w:szCs w:val="22"/>
          <w:lang w:val="en-GB"/>
        </w:rPr>
        <w:t xml:space="preserve"> in which overseas officeholders may be recognised and request the assistance of the court in England and Wales</w:t>
      </w:r>
      <w:r w:rsidR="00763348">
        <w:rPr>
          <w:rFonts w:ascii="Arial" w:hAnsi="Arial" w:cs="Arial"/>
          <w:sz w:val="22"/>
          <w:szCs w:val="22"/>
          <w:lang w:val="en-GB"/>
        </w:rPr>
        <w:t>.</w:t>
      </w:r>
    </w:p>
    <w:p w14:paraId="61DA4798" w14:textId="77777777" w:rsidR="00D63A35" w:rsidRPr="00D63A35" w:rsidRDefault="00D63A35" w:rsidP="00D63A35">
      <w:pPr>
        <w:tabs>
          <w:tab w:val="left" w:pos="1500"/>
        </w:tabs>
        <w:rPr>
          <w:sz w:val="22"/>
          <w:szCs w:val="22"/>
        </w:rPr>
      </w:pPr>
    </w:p>
    <w:p w14:paraId="0DF97E92" w14:textId="77777777" w:rsidR="00D63A35" w:rsidRPr="00D63A35" w:rsidRDefault="00D63A35" w:rsidP="00D63A35">
      <w:pPr>
        <w:pStyle w:val="ListParagraph"/>
        <w:widowControl w:val="0"/>
        <w:numPr>
          <w:ilvl w:val="0"/>
          <w:numId w:val="11"/>
        </w:numPr>
        <w:tabs>
          <w:tab w:val="left" w:pos="1500"/>
        </w:tabs>
        <w:autoSpaceDE w:val="0"/>
        <w:autoSpaceDN w:val="0"/>
        <w:contextualSpacing w:val="0"/>
        <w:jc w:val="both"/>
        <w:rPr>
          <w:rFonts w:ascii="Arial" w:hAnsi="Arial" w:cs="Arial"/>
          <w:b/>
          <w:bCs/>
          <w:sz w:val="22"/>
          <w:szCs w:val="22"/>
        </w:rPr>
      </w:pPr>
      <w:r w:rsidRPr="00D63A35">
        <w:rPr>
          <w:rFonts w:ascii="Arial" w:hAnsi="Arial" w:cs="Arial"/>
          <w:b/>
          <w:bCs/>
          <w:sz w:val="22"/>
          <w:szCs w:val="22"/>
        </w:rPr>
        <w:t xml:space="preserve">The EU Regulation on Insolvency Proceedings </w:t>
      </w:r>
    </w:p>
    <w:p w14:paraId="37794D2E" w14:textId="77777777" w:rsidR="00D63A35" w:rsidRPr="00D63A35" w:rsidRDefault="00D63A35" w:rsidP="00D63A35">
      <w:pPr>
        <w:pStyle w:val="ListParagraph"/>
        <w:tabs>
          <w:tab w:val="left" w:pos="1500"/>
        </w:tabs>
        <w:jc w:val="both"/>
        <w:rPr>
          <w:rFonts w:ascii="Arial" w:hAnsi="Arial" w:cs="Arial"/>
          <w:sz w:val="22"/>
          <w:szCs w:val="22"/>
        </w:rPr>
      </w:pPr>
    </w:p>
    <w:p w14:paraId="4392A2A5" w14:textId="7FAE9A06" w:rsidR="00D63A35" w:rsidRDefault="00D63A35" w:rsidP="00D63A35">
      <w:pPr>
        <w:tabs>
          <w:tab w:val="left" w:pos="1500"/>
        </w:tabs>
        <w:jc w:val="both"/>
        <w:rPr>
          <w:rFonts w:ascii="Arial" w:hAnsi="Arial" w:cs="Arial"/>
          <w:sz w:val="22"/>
          <w:szCs w:val="22"/>
        </w:rPr>
      </w:pPr>
      <w:r w:rsidRPr="00D63A35">
        <w:rPr>
          <w:rFonts w:ascii="Arial" w:hAnsi="Arial" w:cs="Arial"/>
          <w:sz w:val="22"/>
          <w:szCs w:val="22"/>
        </w:rPr>
        <w:t>These proceedings involve companies with their centre of</w:t>
      </w:r>
      <w:r w:rsidRPr="00D63A35">
        <w:rPr>
          <w:rFonts w:ascii="Arial" w:hAnsi="Arial" w:cs="Arial"/>
          <w:spacing w:val="1"/>
          <w:sz w:val="22"/>
          <w:szCs w:val="22"/>
        </w:rPr>
        <w:t xml:space="preserve"> </w:t>
      </w:r>
      <w:r w:rsidRPr="00D63A35">
        <w:rPr>
          <w:rFonts w:ascii="Arial" w:hAnsi="Arial" w:cs="Arial"/>
          <w:sz w:val="22"/>
          <w:szCs w:val="22"/>
        </w:rPr>
        <w:t xml:space="preserve">main interests (COMI) within any EU Member State (apart from Denmark). </w:t>
      </w:r>
    </w:p>
    <w:p w14:paraId="6857C366" w14:textId="77777777" w:rsidR="00D63A35" w:rsidRPr="00D63A35" w:rsidRDefault="00D63A35" w:rsidP="00D63A35">
      <w:pPr>
        <w:tabs>
          <w:tab w:val="left" w:pos="1500"/>
        </w:tabs>
        <w:jc w:val="both"/>
        <w:rPr>
          <w:rFonts w:ascii="Arial" w:hAnsi="Arial" w:cs="Arial"/>
          <w:sz w:val="22"/>
          <w:szCs w:val="22"/>
        </w:rPr>
      </w:pPr>
    </w:p>
    <w:p w14:paraId="6B7671F9" w14:textId="77777777" w:rsidR="00D63A35" w:rsidRPr="00D63A35" w:rsidRDefault="00D63A35" w:rsidP="00D63A35">
      <w:pPr>
        <w:tabs>
          <w:tab w:val="left" w:pos="1500"/>
        </w:tabs>
        <w:jc w:val="both"/>
        <w:rPr>
          <w:rFonts w:ascii="Arial" w:hAnsi="Arial" w:cs="Arial"/>
          <w:sz w:val="22"/>
          <w:szCs w:val="22"/>
        </w:rPr>
      </w:pPr>
      <w:r w:rsidRPr="00D63A35">
        <w:rPr>
          <w:rFonts w:ascii="Arial" w:hAnsi="Arial" w:cs="Arial"/>
          <w:sz w:val="22"/>
          <w:szCs w:val="22"/>
        </w:rPr>
        <w:t>The approach of this way is not to harmonise the different insolvency regimes within the EU but</w:t>
      </w:r>
      <w:r w:rsidRPr="00D63A35">
        <w:rPr>
          <w:rFonts w:ascii="Arial" w:hAnsi="Arial" w:cs="Arial"/>
          <w:spacing w:val="1"/>
          <w:sz w:val="22"/>
          <w:szCs w:val="22"/>
        </w:rPr>
        <w:t xml:space="preserve"> </w:t>
      </w:r>
      <w:r w:rsidRPr="00D63A35">
        <w:rPr>
          <w:rFonts w:ascii="Arial" w:hAnsi="Arial" w:cs="Arial"/>
          <w:sz w:val="22"/>
          <w:szCs w:val="22"/>
        </w:rPr>
        <w:t>instead it provides rules for deciding which of the individual jurisdictions’ insolvency regime applies in a particular case. For instance, where a company has its COMI</w:t>
      </w:r>
      <w:r w:rsidRPr="00D63A35">
        <w:rPr>
          <w:rFonts w:ascii="Arial" w:hAnsi="Arial" w:cs="Arial"/>
          <w:spacing w:val="1"/>
          <w:sz w:val="22"/>
          <w:szCs w:val="22"/>
        </w:rPr>
        <w:t xml:space="preserve"> </w:t>
      </w:r>
      <w:r w:rsidRPr="00D63A35">
        <w:rPr>
          <w:rFonts w:ascii="Arial" w:hAnsi="Arial" w:cs="Arial"/>
          <w:sz w:val="22"/>
          <w:szCs w:val="22"/>
        </w:rPr>
        <w:t>in England and Wales, only the courts in England and Wales will have jurisdiction to open main proceedings. If a company with its COMI in England and Wales is placed into</w:t>
      </w:r>
      <w:r w:rsidRPr="00D63A35">
        <w:rPr>
          <w:rFonts w:ascii="Arial" w:hAnsi="Arial" w:cs="Arial"/>
          <w:spacing w:val="1"/>
          <w:sz w:val="22"/>
          <w:szCs w:val="22"/>
        </w:rPr>
        <w:t xml:space="preserve"> </w:t>
      </w:r>
      <w:r w:rsidRPr="00D63A35">
        <w:rPr>
          <w:rFonts w:ascii="Arial" w:hAnsi="Arial" w:cs="Arial"/>
          <w:sz w:val="22"/>
          <w:szCs w:val="22"/>
        </w:rPr>
        <w:t>administration or liquidation, it will be the rules laid down in the Act and the Rules</w:t>
      </w:r>
      <w:r w:rsidRPr="00D63A35">
        <w:rPr>
          <w:rFonts w:ascii="Arial" w:hAnsi="Arial" w:cs="Arial"/>
          <w:spacing w:val="1"/>
          <w:sz w:val="22"/>
          <w:szCs w:val="22"/>
        </w:rPr>
        <w:t xml:space="preserve"> </w:t>
      </w:r>
      <w:r w:rsidRPr="00D63A35">
        <w:rPr>
          <w:rFonts w:ascii="Arial" w:hAnsi="Arial" w:cs="Arial"/>
          <w:sz w:val="22"/>
          <w:szCs w:val="22"/>
        </w:rPr>
        <w:t>which govern the process across the EU (with some exceptions involving the rights</w:t>
      </w:r>
      <w:r w:rsidRPr="00D63A35">
        <w:rPr>
          <w:rFonts w:ascii="Arial" w:hAnsi="Arial" w:cs="Arial"/>
          <w:spacing w:val="1"/>
          <w:sz w:val="22"/>
          <w:szCs w:val="22"/>
        </w:rPr>
        <w:t xml:space="preserve"> </w:t>
      </w:r>
      <w:r w:rsidRPr="00D63A35">
        <w:rPr>
          <w:rFonts w:ascii="Arial" w:hAnsi="Arial" w:cs="Arial"/>
          <w:sz w:val="22"/>
          <w:szCs w:val="22"/>
        </w:rPr>
        <w:t>of secured creditors and employees).</w:t>
      </w:r>
    </w:p>
    <w:p w14:paraId="39FF5C16" w14:textId="77777777" w:rsidR="00D63A35" w:rsidRPr="00D63A35" w:rsidRDefault="00D63A35" w:rsidP="00D63A35">
      <w:pPr>
        <w:pStyle w:val="ListParagraph"/>
        <w:tabs>
          <w:tab w:val="left" w:pos="1500"/>
        </w:tabs>
        <w:jc w:val="both"/>
        <w:rPr>
          <w:rFonts w:ascii="Arial" w:hAnsi="Arial" w:cs="Arial"/>
          <w:sz w:val="22"/>
          <w:szCs w:val="22"/>
        </w:rPr>
      </w:pPr>
      <w:r w:rsidRPr="00D63A35">
        <w:rPr>
          <w:rFonts w:ascii="Arial" w:hAnsi="Arial" w:cs="Arial"/>
          <w:sz w:val="22"/>
          <w:szCs w:val="22"/>
        </w:rPr>
        <w:t xml:space="preserve"> </w:t>
      </w:r>
    </w:p>
    <w:p w14:paraId="147C90EF" w14:textId="77777777" w:rsidR="00D63A35" w:rsidRPr="00D63A35" w:rsidRDefault="00D63A35" w:rsidP="00D63A35">
      <w:pPr>
        <w:pStyle w:val="ListParagraph"/>
        <w:widowControl w:val="0"/>
        <w:numPr>
          <w:ilvl w:val="0"/>
          <w:numId w:val="11"/>
        </w:numPr>
        <w:tabs>
          <w:tab w:val="left" w:pos="1500"/>
        </w:tabs>
        <w:autoSpaceDE w:val="0"/>
        <w:autoSpaceDN w:val="0"/>
        <w:contextualSpacing w:val="0"/>
        <w:jc w:val="both"/>
        <w:rPr>
          <w:rFonts w:ascii="Arial" w:hAnsi="Arial" w:cs="Arial"/>
          <w:b/>
          <w:bCs/>
          <w:sz w:val="22"/>
          <w:szCs w:val="22"/>
        </w:rPr>
      </w:pPr>
      <w:r w:rsidRPr="00D63A35">
        <w:rPr>
          <w:rFonts w:ascii="Arial" w:hAnsi="Arial" w:cs="Arial"/>
          <w:b/>
          <w:bCs/>
          <w:sz w:val="22"/>
          <w:szCs w:val="22"/>
        </w:rPr>
        <w:t>The Cross Border Insolvency Regulations 2006 SI 2006/1030 (CBIR)</w:t>
      </w:r>
    </w:p>
    <w:p w14:paraId="09D0EB9B" w14:textId="77777777" w:rsidR="00D63A35" w:rsidRPr="00D63A35" w:rsidRDefault="00D63A35" w:rsidP="00D63A35">
      <w:pPr>
        <w:tabs>
          <w:tab w:val="left" w:pos="1500"/>
        </w:tabs>
        <w:jc w:val="both"/>
        <w:rPr>
          <w:rFonts w:ascii="Arial" w:hAnsi="Arial" w:cs="Arial"/>
          <w:sz w:val="22"/>
          <w:szCs w:val="22"/>
        </w:rPr>
      </w:pPr>
    </w:p>
    <w:p w14:paraId="2EEB576D" w14:textId="77777777" w:rsidR="00D63A35" w:rsidRPr="00D63A35" w:rsidRDefault="00D63A35" w:rsidP="00D63A35">
      <w:pPr>
        <w:tabs>
          <w:tab w:val="left" w:pos="1500"/>
        </w:tabs>
        <w:jc w:val="both"/>
        <w:rPr>
          <w:rFonts w:ascii="Arial" w:hAnsi="Arial" w:cs="Arial"/>
          <w:sz w:val="22"/>
          <w:szCs w:val="22"/>
        </w:rPr>
      </w:pPr>
      <w:r w:rsidRPr="00D63A35">
        <w:rPr>
          <w:rFonts w:ascii="Arial" w:hAnsi="Arial" w:cs="Arial"/>
          <w:sz w:val="22"/>
          <w:szCs w:val="22"/>
        </w:rPr>
        <w:t>There are no reciprocity</w:t>
      </w:r>
      <w:r w:rsidRPr="00D63A35">
        <w:rPr>
          <w:rFonts w:ascii="Arial" w:hAnsi="Arial" w:cs="Arial"/>
          <w:spacing w:val="1"/>
          <w:sz w:val="22"/>
          <w:szCs w:val="22"/>
        </w:rPr>
        <w:t xml:space="preserve"> </w:t>
      </w:r>
      <w:r w:rsidRPr="00D63A35">
        <w:rPr>
          <w:rFonts w:ascii="Arial" w:hAnsi="Arial" w:cs="Arial"/>
          <w:sz w:val="22"/>
          <w:szCs w:val="22"/>
        </w:rPr>
        <w:t>provisions in the CBIR and so there is no real limit on the “inward bound”</w:t>
      </w:r>
      <w:r w:rsidRPr="00D63A35">
        <w:rPr>
          <w:rFonts w:ascii="Arial" w:hAnsi="Arial" w:cs="Arial"/>
          <w:spacing w:val="1"/>
          <w:sz w:val="22"/>
          <w:szCs w:val="22"/>
        </w:rPr>
        <w:t xml:space="preserve"> </w:t>
      </w:r>
      <w:r w:rsidRPr="00D63A35">
        <w:rPr>
          <w:rFonts w:ascii="Arial" w:hAnsi="Arial" w:cs="Arial"/>
          <w:sz w:val="22"/>
          <w:szCs w:val="22"/>
        </w:rPr>
        <w:t>consequences for cross-border insolvency. Insolvency practitioners from any</w:t>
      </w:r>
      <w:r w:rsidRPr="00D63A35">
        <w:rPr>
          <w:rFonts w:ascii="Arial" w:hAnsi="Arial" w:cs="Arial"/>
          <w:spacing w:val="1"/>
          <w:sz w:val="22"/>
          <w:szCs w:val="22"/>
        </w:rPr>
        <w:t xml:space="preserve"> </w:t>
      </w:r>
      <w:r w:rsidRPr="00D63A35">
        <w:rPr>
          <w:rFonts w:ascii="Arial" w:hAnsi="Arial" w:cs="Arial"/>
          <w:sz w:val="22"/>
          <w:szCs w:val="22"/>
        </w:rPr>
        <w:t>overseas’ jurisdiction may apply to the court in England and Wales to be recognised</w:t>
      </w:r>
      <w:r w:rsidRPr="00D63A35">
        <w:rPr>
          <w:rFonts w:ascii="Arial" w:hAnsi="Arial" w:cs="Arial"/>
          <w:spacing w:val="1"/>
          <w:sz w:val="22"/>
          <w:szCs w:val="22"/>
        </w:rPr>
        <w:t xml:space="preserve"> </w:t>
      </w:r>
      <w:r w:rsidRPr="00D63A35">
        <w:rPr>
          <w:rFonts w:ascii="Arial" w:hAnsi="Arial" w:cs="Arial"/>
          <w:sz w:val="22"/>
          <w:szCs w:val="22"/>
        </w:rPr>
        <w:t>in the jurisdiction. Furthermore, the “outward-bound” benefits for the UK are limited to other nations who only 44 countries have adopted the UNCITRAL Model Law on Cross-Border Insolvency.</w:t>
      </w:r>
    </w:p>
    <w:p w14:paraId="1585BA54" w14:textId="77777777" w:rsidR="00D63A35" w:rsidRPr="00D63A35" w:rsidRDefault="00D63A35" w:rsidP="00D63A35">
      <w:pPr>
        <w:pStyle w:val="ListParagraph"/>
        <w:rPr>
          <w:rFonts w:ascii="Arial" w:hAnsi="Arial" w:cs="Arial"/>
          <w:sz w:val="22"/>
          <w:szCs w:val="22"/>
        </w:rPr>
      </w:pPr>
    </w:p>
    <w:p w14:paraId="4649F82A" w14:textId="77777777" w:rsidR="00D63A35" w:rsidRPr="00D63A35" w:rsidRDefault="00D63A35" w:rsidP="00D63A35">
      <w:pPr>
        <w:pStyle w:val="ListParagraph"/>
        <w:widowControl w:val="0"/>
        <w:numPr>
          <w:ilvl w:val="0"/>
          <w:numId w:val="11"/>
        </w:numPr>
        <w:tabs>
          <w:tab w:val="left" w:pos="1500"/>
        </w:tabs>
        <w:autoSpaceDE w:val="0"/>
        <w:autoSpaceDN w:val="0"/>
        <w:contextualSpacing w:val="0"/>
        <w:jc w:val="both"/>
        <w:rPr>
          <w:rFonts w:ascii="Arial" w:hAnsi="Arial" w:cs="Arial"/>
          <w:b/>
          <w:bCs/>
          <w:sz w:val="22"/>
          <w:szCs w:val="22"/>
        </w:rPr>
      </w:pPr>
      <w:r w:rsidRPr="00D63A35">
        <w:rPr>
          <w:rFonts w:ascii="Arial" w:hAnsi="Arial" w:cs="Arial"/>
          <w:b/>
          <w:bCs/>
          <w:sz w:val="22"/>
          <w:szCs w:val="22"/>
        </w:rPr>
        <w:t>Section 426 of the Act</w:t>
      </w:r>
    </w:p>
    <w:p w14:paraId="1EC24052" w14:textId="77777777" w:rsidR="00D63A35" w:rsidRPr="00D63A35" w:rsidRDefault="00D63A35" w:rsidP="00D63A35">
      <w:pPr>
        <w:tabs>
          <w:tab w:val="left" w:pos="1500"/>
        </w:tabs>
        <w:jc w:val="both"/>
        <w:rPr>
          <w:rFonts w:ascii="Arial" w:hAnsi="Arial" w:cs="Arial"/>
          <w:sz w:val="22"/>
          <w:szCs w:val="22"/>
        </w:rPr>
      </w:pPr>
    </w:p>
    <w:p w14:paraId="1D2A5432" w14:textId="77777777" w:rsidR="00D63A35" w:rsidRPr="00D63A35" w:rsidRDefault="00D63A35" w:rsidP="00D63A35">
      <w:pPr>
        <w:tabs>
          <w:tab w:val="left" w:pos="1500"/>
        </w:tabs>
        <w:jc w:val="both"/>
        <w:rPr>
          <w:rFonts w:ascii="Arial" w:hAnsi="Arial" w:cs="Arial"/>
          <w:sz w:val="22"/>
          <w:szCs w:val="22"/>
        </w:rPr>
      </w:pPr>
      <w:r w:rsidRPr="00D63A35">
        <w:rPr>
          <w:rFonts w:ascii="Arial" w:hAnsi="Arial" w:cs="Arial"/>
          <w:sz w:val="22"/>
          <w:szCs w:val="22"/>
        </w:rPr>
        <w:t>Section 426 of the Act contains provisions for UK courts to provide assistance to</w:t>
      </w:r>
      <w:r w:rsidRPr="00D63A35">
        <w:rPr>
          <w:rFonts w:ascii="Arial" w:hAnsi="Arial" w:cs="Arial"/>
          <w:spacing w:val="1"/>
          <w:sz w:val="22"/>
          <w:szCs w:val="22"/>
        </w:rPr>
        <w:t xml:space="preserve"> </w:t>
      </w:r>
      <w:r w:rsidRPr="00D63A35">
        <w:rPr>
          <w:rFonts w:ascii="Arial" w:hAnsi="Arial" w:cs="Arial"/>
          <w:sz w:val="22"/>
          <w:szCs w:val="22"/>
        </w:rPr>
        <w:t>overseas courts from certain listed jurisdictions. In addition, court orders made in insolvency matters by a court in the United Kingdom are strictly enforceable in all parts of the United Kingdom. In addition, there is a positive obligation on the courts of the United Kingdom to assist each other, and also the courts of any relevant country or territory.</w:t>
      </w:r>
    </w:p>
    <w:p w14:paraId="7BECC3CC" w14:textId="77777777" w:rsidR="00D63A35" w:rsidRPr="00D63A35" w:rsidRDefault="00D63A35" w:rsidP="00D63A35">
      <w:pPr>
        <w:pStyle w:val="ListParagraph"/>
        <w:rPr>
          <w:rFonts w:ascii="Arial" w:hAnsi="Arial" w:cs="Arial"/>
          <w:b/>
          <w:bCs/>
          <w:sz w:val="22"/>
          <w:szCs w:val="22"/>
        </w:rPr>
      </w:pPr>
    </w:p>
    <w:p w14:paraId="45206DCF" w14:textId="77777777" w:rsidR="00D63A35" w:rsidRPr="00D63A35" w:rsidRDefault="00D63A35" w:rsidP="00D63A35">
      <w:pPr>
        <w:pStyle w:val="ListParagraph"/>
        <w:widowControl w:val="0"/>
        <w:numPr>
          <w:ilvl w:val="0"/>
          <w:numId w:val="11"/>
        </w:numPr>
        <w:tabs>
          <w:tab w:val="left" w:pos="1500"/>
        </w:tabs>
        <w:autoSpaceDE w:val="0"/>
        <w:autoSpaceDN w:val="0"/>
        <w:contextualSpacing w:val="0"/>
        <w:jc w:val="both"/>
        <w:rPr>
          <w:rFonts w:ascii="Arial" w:hAnsi="Arial" w:cs="Arial"/>
          <w:b/>
          <w:bCs/>
          <w:sz w:val="22"/>
          <w:szCs w:val="22"/>
        </w:rPr>
      </w:pPr>
      <w:r w:rsidRPr="00D63A35">
        <w:rPr>
          <w:rFonts w:ascii="Arial" w:hAnsi="Arial" w:cs="Arial"/>
          <w:b/>
          <w:bCs/>
          <w:sz w:val="22"/>
          <w:szCs w:val="22"/>
        </w:rPr>
        <w:t xml:space="preserve">Common law </w:t>
      </w:r>
    </w:p>
    <w:p w14:paraId="08216C0E" w14:textId="77777777" w:rsidR="00D63A35" w:rsidRPr="00D63A35" w:rsidRDefault="00D63A35" w:rsidP="00D63A35">
      <w:pPr>
        <w:tabs>
          <w:tab w:val="left" w:pos="1500"/>
        </w:tabs>
        <w:jc w:val="both"/>
        <w:rPr>
          <w:rFonts w:ascii="Arial" w:hAnsi="Arial" w:cs="Arial"/>
          <w:sz w:val="22"/>
          <w:szCs w:val="22"/>
        </w:rPr>
      </w:pPr>
    </w:p>
    <w:p w14:paraId="053AFE00" w14:textId="77777777" w:rsidR="00D63A35" w:rsidRPr="00D63A35" w:rsidRDefault="00D63A35" w:rsidP="00D63A35">
      <w:pPr>
        <w:tabs>
          <w:tab w:val="left" w:pos="1500"/>
        </w:tabs>
        <w:jc w:val="both"/>
        <w:rPr>
          <w:rFonts w:ascii="Arial" w:hAnsi="Arial" w:cs="Arial"/>
          <w:sz w:val="22"/>
          <w:szCs w:val="22"/>
        </w:rPr>
      </w:pPr>
      <w:r w:rsidRPr="00D63A35">
        <w:rPr>
          <w:rFonts w:ascii="Arial" w:hAnsi="Arial" w:cs="Arial"/>
          <w:sz w:val="22"/>
          <w:szCs w:val="22"/>
        </w:rPr>
        <w:t>English common law has traditionally taken the view that fairness between creditors requires that, ideally, insolvency proceedings should have universal application. There should be a single insolvency in which all creditors are entitled to prove. A system of “modified” universalism would avoid the need for officeholders to be appointed in parallel proceedings in multiple jurisdictions. It would recognise the overseas’ officeholder and provide the same remedies to that officeholder as if such equivalent proceedings had commenced in the UK.</w:t>
      </w:r>
    </w:p>
    <w:p w14:paraId="5F01C473" w14:textId="77777777" w:rsidR="00D63A35" w:rsidRPr="002A37BB" w:rsidRDefault="00D63A35" w:rsidP="002A37BB">
      <w:pPr>
        <w:jc w:val="both"/>
        <w:rPr>
          <w:rFonts w:ascii="Arial" w:hAnsi="Arial" w:cs="Arial"/>
          <w:sz w:val="22"/>
          <w:szCs w:val="22"/>
          <w:shd w:val="clear" w:color="auto" w:fill="FFFFFF"/>
        </w:rPr>
      </w:pPr>
    </w:p>
    <w:p w14:paraId="050B7D02" w14:textId="77777777" w:rsidR="00D17FDC" w:rsidRPr="002A37BB" w:rsidRDefault="00D17FDC"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77777777"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lastRenderedPageBreak/>
        <w:t>Prior to going into liquidation</w:t>
      </w:r>
      <w:r>
        <w:rPr>
          <w:rFonts w:ascii="Arial" w:hAnsi="Arial" w:cs="Arial"/>
        </w:rPr>
        <w:t xml:space="preserve"> in November 2020</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Cork-In Limited granted a debenture in favour of </w:t>
      </w:r>
      <w:r>
        <w:rPr>
          <w:rFonts w:ascii="Arial" w:hAnsi="Arial" w:cs="Arial"/>
        </w:rPr>
        <w:t>Stercus</w:t>
      </w:r>
      <w:r w:rsidRPr="00CB79E4">
        <w:rPr>
          <w:rFonts w:ascii="Arial" w:hAnsi="Arial" w:cs="Arial"/>
        </w:rPr>
        <w:t xml:space="preserve"> Bank plc in January 20</w:t>
      </w:r>
      <w:r>
        <w:rPr>
          <w:rFonts w:ascii="Arial" w:hAnsi="Arial" w:cs="Arial"/>
        </w:rPr>
        <w:t>20</w:t>
      </w:r>
      <w:r w:rsidRPr="00CB79E4">
        <w:rPr>
          <w:rFonts w:ascii="Arial" w:hAnsi="Arial" w:cs="Arial"/>
        </w:rPr>
        <w:t>. The debenture contained a floating charge over the whole of the company’s undertaking.</w:t>
      </w:r>
    </w:p>
    <w:p w14:paraId="446FD66A" w14:textId="77777777" w:rsidR="007E2919" w:rsidRPr="00CB79E4" w:rsidRDefault="007E2919" w:rsidP="007E2919">
      <w:pPr>
        <w:pStyle w:val="NormalWeb"/>
        <w:spacing w:before="0" w:beforeAutospacing="0" w:after="0" w:afterAutospacing="0"/>
        <w:rPr>
          <w:rFonts w:ascii="Arial" w:hAnsi="Arial" w:cs="Arial"/>
        </w:rPr>
      </w:pPr>
    </w:p>
    <w:p w14:paraId="11816931"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In June 20</w:t>
      </w:r>
      <w:r>
        <w:rPr>
          <w:rFonts w:ascii="Arial" w:hAnsi="Arial" w:cs="Arial"/>
        </w:rPr>
        <w:t>20</w:t>
      </w:r>
      <w:r w:rsidRPr="00CB79E4">
        <w:rPr>
          <w:rFonts w:ascii="Arial" w:hAnsi="Arial" w:cs="Arial"/>
        </w:rPr>
        <w:t xml:space="preserve">, as the company continued to struggle, the directors approved the </w:t>
      </w:r>
    </w:p>
    <w:p w14:paraId="2CAD379F" w14:textId="77777777" w:rsidR="007E2919" w:rsidRDefault="007E2919" w:rsidP="007E2919">
      <w:pPr>
        <w:pStyle w:val="NormalWeb"/>
        <w:spacing w:before="0" w:beforeAutospacing="0" w:after="0" w:afterAutospacing="0"/>
        <w:ind w:left="720" w:hanging="720"/>
        <w:rPr>
          <w:rFonts w:ascii="Arial" w:hAnsi="Arial" w:cs="Arial"/>
        </w:rPr>
      </w:pPr>
      <w:r w:rsidRPr="00CB79E4">
        <w:rPr>
          <w:rFonts w:ascii="Arial" w:hAnsi="Arial" w:cs="Arial"/>
        </w:rPr>
        <w:t>sale of a company delivery van to Paul Watson</w:t>
      </w:r>
      <w:r>
        <w:rPr>
          <w:rFonts w:ascii="Arial" w:hAnsi="Arial" w:cs="Arial"/>
        </w:rPr>
        <w:t xml:space="preserve"> (a director)</w:t>
      </w:r>
      <w:r w:rsidRPr="00CB79E4">
        <w:rPr>
          <w:rFonts w:ascii="Arial" w:hAnsi="Arial" w:cs="Arial"/>
        </w:rPr>
        <w:t xml:space="preserve"> for £5,000 in </w:t>
      </w:r>
      <w:r>
        <w:rPr>
          <w:rFonts w:ascii="Arial" w:hAnsi="Arial" w:cs="Arial"/>
        </w:rPr>
        <w:t xml:space="preserve">cash. The </w:t>
      </w:r>
    </w:p>
    <w:p w14:paraId="0C3B98CB" w14:textId="77777777" w:rsidR="007E2919" w:rsidRPr="00CB79E4" w:rsidRDefault="007E2919" w:rsidP="007E2919">
      <w:pPr>
        <w:pStyle w:val="NormalWeb"/>
        <w:spacing w:before="0" w:beforeAutospacing="0" w:after="0" w:afterAutospacing="0"/>
        <w:ind w:left="720" w:hanging="720"/>
        <w:rPr>
          <w:rFonts w:ascii="Arial" w:hAnsi="Arial" w:cs="Arial"/>
        </w:rPr>
      </w:pPr>
      <w:r>
        <w:rPr>
          <w:rFonts w:ascii="Arial" w:hAnsi="Arial" w:cs="Arial"/>
        </w:rPr>
        <w:t xml:space="preserve">van had </w:t>
      </w:r>
      <w:r w:rsidRPr="00CB79E4">
        <w:rPr>
          <w:rFonts w:ascii="Arial" w:hAnsi="Arial" w:cs="Arial"/>
        </w:rPr>
        <w:t>been bought for £10,000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468AD5BF"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company went into liquidation, Paul Watson received an irate phone call from one of the company’s key suppliers, Gary’s Grapes Limited. The supplier demanded immediate payment of all sums owing to it (even those invoices </w:t>
      </w:r>
      <w:r w:rsidR="008B72B8">
        <w:rPr>
          <w:rFonts w:ascii="Arial" w:hAnsi="Arial" w:cs="Arial"/>
        </w:rPr>
        <w:t xml:space="preserve">that </w:t>
      </w:r>
      <w:r w:rsidRPr="00CB79E4">
        <w:rPr>
          <w:rFonts w:ascii="Arial" w:hAnsi="Arial" w:cs="Arial"/>
        </w:rPr>
        <w:t>had not become payable). Fearing being cut off by the supplier, Paul arranged for a cheque for the full amount to be sent that day.</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77777777"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74C366AC" w14:textId="4545F7F1" w:rsidR="007E2919" w:rsidRDefault="007E2919" w:rsidP="007E2919">
      <w:pPr>
        <w:rPr>
          <w:rFonts w:ascii="Arial" w:hAnsi="Arial" w:cs="Arial"/>
          <w:b/>
          <w:sz w:val="24"/>
        </w:rPr>
      </w:pPr>
    </w:p>
    <w:p w14:paraId="149D1AB8" w14:textId="025614FD" w:rsidR="00541A27" w:rsidRPr="00541A27" w:rsidRDefault="00541A27" w:rsidP="00541A27">
      <w:pPr>
        <w:tabs>
          <w:tab w:val="left" w:pos="1500"/>
        </w:tabs>
        <w:jc w:val="both"/>
        <w:rPr>
          <w:rFonts w:ascii="Arial" w:eastAsia="Arial" w:hAnsi="Arial" w:cs="Arial"/>
          <w:sz w:val="22"/>
          <w:szCs w:val="22"/>
        </w:rPr>
      </w:pPr>
      <w:r w:rsidRPr="00541A27">
        <w:rPr>
          <w:rFonts w:ascii="Arial" w:eastAsia="Arial" w:hAnsi="Arial" w:cs="Arial"/>
          <w:sz w:val="22"/>
          <w:szCs w:val="22"/>
        </w:rPr>
        <w:t>I recommend liquidator attack the floating change in favour of Stercus Bank plc.</w:t>
      </w:r>
    </w:p>
    <w:p w14:paraId="3B6FE0F0" w14:textId="77777777" w:rsidR="00541A27" w:rsidRPr="00541A27" w:rsidRDefault="00541A27" w:rsidP="00541A27">
      <w:pPr>
        <w:tabs>
          <w:tab w:val="left" w:pos="1500"/>
        </w:tabs>
        <w:jc w:val="both"/>
        <w:rPr>
          <w:rFonts w:ascii="Arial" w:eastAsia="Arial" w:hAnsi="Arial" w:cs="Arial"/>
          <w:sz w:val="22"/>
          <w:szCs w:val="22"/>
        </w:rPr>
      </w:pPr>
    </w:p>
    <w:p w14:paraId="6A16C1AF" w14:textId="4E15256A" w:rsidR="00541A27" w:rsidRPr="00541A27" w:rsidRDefault="00541A27" w:rsidP="00541A27">
      <w:pPr>
        <w:tabs>
          <w:tab w:val="left" w:pos="1500"/>
        </w:tabs>
        <w:jc w:val="both"/>
        <w:rPr>
          <w:rFonts w:ascii="Arial" w:hAnsi="Arial" w:cs="Arial"/>
          <w:sz w:val="22"/>
          <w:szCs w:val="22"/>
        </w:rPr>
      </w:pPr>
      <w:r w:rsidRPr="00541A27">
        <w:rPr>
          <w:rFonts w:ascii="Arial" w:hAnsi="Arial" w:cs="Arial"/>
          <w:sz w:val="22"/>
          <w:szCs w:val="22"/>
        </w:rPr>
        <w:t>In this case, this floating change was created for a not connected person with the company (debtor), so the relevant time to attack it is any time within the period of 12 months prior to the onset of insolvency, from November 2019 to November 2020, where this floating is within of this period of time because it was celebrated in January 2020.</w:t>
      </w:r>
    </w:p>
    <w:p w14:paraId="1C493644" w14:textId="77777777" w:rsidR="00541A27" w:rsidRPr="00541A27" w:rsidRDefault="00541A27" w:rsidP="00541A27">
      <w:pPr>
        <w:tabs>
          <w:tab w:val="left" w:pos="1500"/>
        </w:tabs>
        <w:jc w:val="both"/>
        <w:rPr>
          <w:rFonts w:ascii="Arial" w:hAnsi="Arial" w:cs="Arial"/>
          <w:sz w:val="22"/>
          <w:szCs w:val="22"/>
        </w:rPr>
      </w:pPr>
    </w:p>
    <w:p w14:paraId="0611434D" w14:textId="376B7C3A" w:rsidR="00541A27" w:rsidRPr="00541A27" w:rsidRDefault="00541A27" w:rsidP="00541A27">
      <w:pPr>
        <w:tabs>
          <w:tab w:val="left" w:pos="1500"/>
        </w:tabs>
        <w:jc w:val="both"/>
        <w:rPr>
          <w:rFonts w:ascii="Arial" w:hAnsi="Arial" w:cs="Arial"/>
          <w:sz w:val="22"/>
          <w:szCs w:val="22"/>
        </w:rPr>
      </w:pPr>
      <w:r w:rsidRPr="00541A27">
        <w:rPr>
          <w:rFonts w:ascii="Arial" w:hAnsi="Arial" w:cs="Arial"/>
          <w:sz w:val="22"/>
          <w:szCs w:val="22"/>
        </w:rPr>
        <w:t>Furthermore, other requirements to this is that at the time of the creation of the charge the company was either unable to pay its debts (within the meaning in section 123</w:t>
      </w:r>
      <w:r w:rsidRPr="00541A27">
        <w:rPr>
          <w:rFonts w:ascii="Arial" w:hAnsi="Arial" w:cs="Arial"/>
          <w:spacing w:val="-2"/>
          <w:sz w:val="22"/>
          <w:szCs w:val="22"/>
        </w:rPr>
        <w:t xml:space="preserve"> </w:t>
      </w:r>
      <w:r w:rsidRPr="00541A27">
        <w:rPr>
          <w:rFonts w:ascii="Arial" w:hAnsi="Arial" w:cs="Arial"/>
          <w:sz w:val="22"/>
          <w:szCs w:val="22"/>
        </w:rPr>
        <w:t>of</w:t>
      </w:r>
      <w:r w:rsidRPr="00541A27">
        <w:rPr>
          <w:rFonts w:ascii="Arial" w:hAnsi="Arial" w:cs="Arial"/>
          <w:spacing w:val="-2"/>
          <w:sz w:val="22"/>
          <w:szCs w:val="22"/>
        </w:rPr>
        <w:t xml:space="preserve"> </w:t>
      </w:r>
      <w:r w:rsidRPr="00541A27">
        <w:rPr>
          <w:rFonts w:ascii="Arial" w:hAnsi="Arial" w:cs="Arial"/>
          <w:sz w:val="22"/>
          <w:szCs w:val="22"/>
        </w:rPr>
        <w:t>the</w:t>
      </w:r>
      <w:r w:rsidRPr="00541A27">
        <w:rPr>
          <w:rFonts w:ascii="Arial" w:hAnsi="Arial" w:cs="Arial"/>
          <w:spacing w:val="-2"/>
          <w:sz w:val="22"/>
          <w:szCs w:val="22"/>
        </w:rPr>
        <w:t xml:space="preserve"> </w:t>
      </w:r>
      <w:r w:rsidRPr="00541A27">
        <w:rPr>
          <w:rFonts w:ascii="Arial" w:hAnsi="Arial" w:cs="Arial"/>
          <w:sz w:val="22"/>
          <w:szCs w:val="22"/>
        </w:rPr>
        <w:t>Act)</w:t>
      </w:r>
      <w:r w:rsidRPr="00541A27">
        <w:rPr>
          <w:rFonts w:ascii="Arial" w:hAnsi="Arial" w:cs="Arial"/>
          <w:spacing w:val="-2"/>
          <w:sz w:val="22"/>
          <w:szCs w:val="22"/>
        </w:rPr>
        <w:t xml:space="preserve"> </w:t>
      </w:r>
      <w:r w:rsidRPr="00541A27">
        <w:rPr>
          <w:rFonts w:ascii="Arial" w:hAnsi="Arial" w:cs="Arial"/>
          <w:sz w:val="22"/>
          <w:szCs w:val="22"/>
        </w:rPr>
        <w:t>or</w:t>
      </w:r>
      <w:r w:rsidRPr="00541A27">
        <w:rPr>
          <w:rFonts w:ascii="Arial" w:hAnsi="Arial" w:cs="Arial"/>
          <w:spacing w:val="-2"/>
          <w:sz w:val="22"/>
          <w:szCs w:val="22"/>
        </w:rPr>
        <w:t xml:space="preserve"> </w:t>
      </w:r>
      <w:r w:rsidRPr="00541A27">
        <w:rPr>
          <w:rFonts w:ascii="Arial" w:hAnsi="Arial" w:cs="Arial"/>
          <w:sz w:val="22"/>
          <w:szCs w:val="22"/>
        </w:rPr>
        <w:t>became</w:t>
      </w:r>
      <w:r w:rsidRPr="00541A27">
        <w:rPr>
          <w:rFonts w:ascii="Arial" w:hAnsi="Arial" w:cs="Arial"/>
          <w:spacing w:val="-1"/>
          <w:sz w:val="22"/>
          <w:szCs w:val="22"/>
        </w:rPr>
        <w:t xml:space="preserve"> </w:t>
      </w:r>
      <w:r w:rsidRPr="00541A27">
        <w:rPr>
          <w:rFonts w:ascii="Arial" w:hAnsi="Arial" w:cs="Arial"/>
          <w:sz w:val="22"/>
          <w:szCs w:val="22"/>
        </w:rPr>
        <w:t>unable</w:t>
      </w:r>
      <w:r w:rsidRPr="00541A27">
        <w:rPr>
          <w:rFonts w:ascii="Arial" w:hAnsi="Arial" w:cs="Arial"/>
          <w:spacing w:val="-2"/>
          <w:sz w:val="22"/>
          <w:szCs w:val="22"/>
        </w:rPr>
        <w:t xml:space="preserve"> </w:t>
      </w:r>
      <w:r w:rsidRPr="00541A27">
        <w:rPr>
          <w:rFonts w:ascii="Arial" w:hAnsi="Arial" w:cs="Arial"/>
          <w:sz w:val="22"/>
          <w:szCs w:val="22"/>
        </w:rPr>
        <w:t>to</w:t>
      </w:r>
      <w:r w:rsidRPr="00541A27">
        <w:rPr>
          <w:rFonts w:ascii="Arial" w:hAnsi="Arial" w:cs="Arial"/>
          <w:spacing w:val="-2"/>
          <w:sz w:val="22"/>
          <w:szCs w:val="22"/>
        </w:rPr>
        <w:t xml:space="preserve"> </w:t>
      </w:r>
      <w:r w:rsidRPr="00541A27">
        <w:rPr>
          <w:rFonts w:ascii="Arial" w:hAnsi="Arial" w:cs="Arial"/>
          <w:sz w:val="22"/>
          <w:szCs w:val="22"/>
        </w:rPr>
        <w:t>do</w:t>
      </w:r>
      <w:r w:rsidRPr="00541A27">
        <w:rPr>
          <w:rFonts w:ascii="Arial" w:hAnsi="Arial" w:cs="Arial"/>
          <w:spacing w:val="-2"/>
          <w:sz w:val="22"/>
          <w:szCs w:val="22"/>
        </w:rPr>
        <w:t xml:space="preserve"> </w:t>
      </w:r>
      <w:r w:rsidRPr="00541A27">
        <w:rPr>
          <w:rFonts w:ascii="Arial" w:hAnsi="Arial" w:cs="Arial"/>
          <w:sz w:val="22"/>
          <w:szCs w:val="22"/>
        </w:rPr>
        <w:t>so</w:t>
      </w:r>
      <w:r w:rsidRPr="00541A27">
        <w:rPr>
          <w:rFonts w:ascii="Arial" w:hAnsi="Arial" w:cs="Arial"/>
          <w:spacing w:val="-2"/>
          <w:sz w:val="22"/>
          <w:szCs w:val="22"/>
        </w:rPr>
        <w:t xml:space="preserve"> </w:t>
      </w:r>
      <w:r w:rsidRPr="00541A27">
        <w:rPr>
          <w:rFonts w:ascii="Arial" w:hAnsi="Arial" w:cs="Arial"/>
          <w:sz w:val="22"/>
          <w:szCs w:val="22"/>
        </w:rPr>
        <w:t>in</w:t>
      </w:r>
      <w:r w:rsidRPr="00541A27">
        <w:rPr>
          <w:rFonts w:ascii="Arial" w:hAnsi="Arial" w:cs="Arial"/>
          <w:spacing w:val="-2"/>
          <w:sz w:val="22"/>
          <w:szCs w:val="22"/>
        </w:rPr>
        <w:t xml:space="preserve"> </w:t>
      </w:r>
      <w:r w:rsidRPr="00541A27">
        <w:rPr>
          <w:rFonts w:ascii="Arial" w:hAnsi="Arial" w:cs="Arial"/>
          <w:sz w:val="22"/>
          <w:szCs w:val="22"/>
        </w:rPr>
        <w:t>consequence</w:t>
      </w:r>
      <w:r w:rsidRPr="00541A27">
        <w:rPr>
          <w:rFonts w:ascii="Arial" w:hAnsi="Arial" w:cs="Arial"/>
          <w:spacing w:val="-1"/>
          <w:sz w:val="22"/>
          <w:szCs w:val="22"/>
        </w:rPr>
        <w:t xml:space="preserve"> </w:t>
      </w:r>
      <w:r w:rsidRPr="00541A27">
        <w:rPr>
          <w:rFonts w:ascii="Arial" w:hAnsi="Arial" w:cs="Arial"/>
          <w:sz w:val="22"/>
          <w:szCs w:val="22"/>
        </w:rPr>
        <w:t>of</w:t>
      </w:r>
      <w:r w:rsidRPr="00541A27">
        <w:rPr>
          <w:rFonts w:ascii="Arial" w:hAnsi="Arial" w:cs="Arial"/>
          <w:spacing w:val="-2"/>
          <w:sz w:val="22"/>
          <w:szCs w:val="22"/>
        </w:rPr>
        <w:t xml:space="preserve"> </w:t>
      </w:r>
      <w:r w:rsidRPr="00541A27">
        <w:rPr>
          <w:rFonts w:ascii="Arial" w:hAnsi="Arial" w:cs="Arial"/>
          <w:sz w:val="22"/>
          <w:szCs w:val="22"/>
        </w:rPr>
        <w:t>the</w:t>
      </w:r>
      <w:r w:rsidRPr="00541A27">
        <w:rPr>
          <w:rFonts w:ascii="Arial" w:hAnsi="Arial" w:cs="Arial"/>
          <w:spacing w:val="-2"/>
          <w:sz w:val="22"/>
          <w:szCs w:val="22"/>
        </w:rPr>
        <w:t xml:space="preserve"> </w:t>
      </w:r>
      <w:r w:rsidRPr="00541A27">
        <w:rPr>
          <w:rFonts w:ascii="Arial" w:hAnsi="Arial" w:cs="Arial"/>
          <w:sz w:val="22"/>
          <w:szCs w:val="22"/>
        </w:rPr>
        <w:t>transaction. I think that the company can prove the first one due to a company</w:t>
      </w:r>
      <w:r w:rsidRPr="00541A27">
        <w:rPr>
          <w:rFonts w:ascii="Arial" w:hAnsi="Arial" w:cs="Arial"/>
          <w:spacing w:val="-2"/>
          <w:sz w:val="22"/>
          <w:szCs w:val="22"/>
        </w:rPr>
        <w:t xml:space="preserve"> </w:t>
      </w:r>
      <w:r w:rsidRPr="00541A27">
        <w:rPr>
          <w:rFonts w:ascii="Arial" w:hAnsi="Arial" w:cs="Arial"/>
          <w:sz w:val="22"/>
          <w:szCs w:val="22"/>
        </w:rPr>
        <w:t>is</w:t>
      </w:r>
      <w:r w:rsidRPr="00541A27">
        <w:rPr>
          <w:rFonts w:ascii="Arial" w:hAnsi="Arial" w:cs="Arial"/>
          <w:spacing w:val="-2"/>
          <w:sz w:val="22"/>
          <w:szCs w:val="22"/>
        </w:rPr>
        <w:t xml:space="preserve"> </w:t>
      </w:r>
      <w:r w:rsidRPr="00541A27">
        <w:rPr>
          <w:rFonts w:ascii="Arial" w:hAnsi="Arial" w:cs="Arial"/>
          <w:sz w:val="22"/>
          <w:szCs w:val="22"/>
        </w:rPr>
        <w:t>deemed</w:t>
      </w:r>
      <w:r w:rsidRPr="00541A27">
        <w:rPr>
          <w:rFonts w:ascii="Arial" w:hAnsi="Arial" w:cs="Arial"/>
          <w:spacing w:val="-2"/>
          <w:sz w:val="22"/>
          <w:szCs w:val="22"/>
        </w:rPr>
        <w:t xml:space="preserve"> </w:t>
      </w:r>
      <w:r w:rsidRPr="00541A27">
        <w:rPr>
          <w:rFonts w:ascii="Arial" w:hAnsi="Arial" w:cs="Arial"/>
          <w:sz w:val="22"/>
          <w:szCs w:val="22"/>
        </w:rPr>
        <w:t>to</w:t>
      </w:r>
      <w:r w:rsidRPr="00541A27">
        <w:rPr>
          <w:rFonts w:ascii="Arial" w:hAnsi="Arial" w:cs="Arial"/>
          <w:spacing w:val="-2"/>
          <w:sz w:val="22"/>
          <w:szCs w:val="22"/>
        </w:rPr>
        <w:t xml:space="preserve"> </w:t>
      </w:r>
      <w:r w:rsidRPr="00541A27">
        <w:rPr>
          <w:rFonts w:ascii="Arial" w:hAnsi="Arial" w:cs="Arial"/>
          <w:sz w:val="22"/>
          <w:szCs w:val="22"/>
        </w:rPr>
        <w:t>be</w:t>
      </w:r>
      <w:r w:rsidRPr="00541A27">
        <w:rPr>
          <w:rFonts w:ascii="Arial" w:hAnsi="Arial" w:cs="Arial"/>
          <w:spacing w:val="-3"/>
          <w:sz w:val="22"/>
          <w:szCs w:val="22"/>
        </w:rPr>
        <w:t xml:space="preserve"> </w:t>
      </w:r>
      <w:r w:rsidRPr="00541A27">
        <w:rPr>
          <w:rFonts w:ascii="Arial" w:hAnsi="Arial" w:cs="Arial"/>
          <w:sz w:val="22"/>
          <w:szCs w:val="22"/>
        </w:rPr>
        <w:t>unable</w:t>
      </w:r>
      <w:r w:rsidRPr="00541A27">
        <w:rPr>
          <w:rFonts w:ascii="Arial" w:hAnsi="Arial" w:cs="Arial"/>
          <w:spacing w:val="-2"/>
          <w:sz w:val="22"/>
          <w:szCs w:val="22"/>
        </w:rPr>
        <w:t xml:space="preserve"> </w:t>
      </w:r>
      <w:r w:rsidRPr="00541A27">
        <w:rPr>
          <w:rFonts w:ascii="Arial" w:hAnsi="Arial" w:cs="Arial"/>
          <w:sz w:val="22"/>
          <w:szCs w:val="22"/>
        </w:rPr>
        <w:t>to</w:t>
      </w:r>
      <w:r w:rsidRPr="00541A27">
        <w:rPr>
          <w:rFonts w:ascii="Arial" w:hAnsi="Arial" w:cs="Arial"/>
          <w:spacing w:val="-2"/>
          <w:sz w:val="22"/>
          <w:szCs w:val="22"/>
        </w:rPr>
        <w:t xml:space="preserve"> </w:t>
      </w:r>
      <w:r w:rsidRPr="00541A27">
        <w:rPr>
          <w:rFonts w:ascii="Arial" w:hAnsi="Arial" w:cs="Arial"/>
          <w:sz w:val="22"/>
          <w:szCs w:val="22"/>
        </w:rPr>
        <w:t>pay</w:t>
      </w:r>
      <w:r w:rsidRPr="00541A27">
        <w:rPr>
          <w:rFonts w:ascii="Arial" w:hAnsi="Arial" w:cs="Arial"/>
          <w:spacing w:val="-2"/>
          <w:sz w:val="22"/>
          <w:szCs w:val="22"/>
        </w:rPr>
        <w:t xml:space="preserve"> </w:t>
      </w:r>
      <w:r w:rsidRPr="00541A27">
        <w:rPr>
          <w:rFonts w:ascii="Arial" w:hAnsi="Arial" w:cs="Arial"/>
          <w:sz w:val="22"/>
          <w:szCs w:val="22"/>
        </w:rPr>
        <w:t>its</w:t>
      </w:r>
      <w:r w:rsidRPr="00541A27">
        <w:rPr>
          <w:rFonts w:ascii="Arial" w:hAnsi="Arial" w:cs="Arial"/>
          <w:spacing w:val="-2"/>
          <w:sz w:val="22"/>
          <w:szCs w:val="22"/>
        </w:rPr>
        <w:t xml:space="preserve"> </w:t>
      </w:r>
      <w:r w:rsidRPr="00541A27">
        <w:rPr>
          <w:rFonts w:ascii="Arial" w:hAnsi="Arial" w:cs="Arial"/>
          <w:sz w:val="22"/>
          <w:szCs w:val="22"/>
        </w:rPr>
        <w:t>debts</w:t>
      </w:r>
      <w:r w:rsidRPr="00541A27">
        <w:rPr>
          <w:rFonts w:ascii="Arial" w:hAnsi="Arial" w:cs="Arial"/>
          <w:spacing w:val="-3"/>
          <w:sz w:val="22"/>
          <w:szCs w:val="22"/>
        </w:rPr>
        <w:t xml:space="preserve"> </w:t>
      </w:r>
      <w:r w:rsidRPr="00541A27">
        <w:rPr>
          <w:rFonts w:ascii="Arial" w:hAnsi="Arial" w:cs="Arial"/>
          <w:sz w:val="22"/>
          <w:szCs w:val="22"/>
        </w:rPr>
        <w:t>under</w:t>
      </w:r>
      <w:r w:rsidRPr="00541A27">
        <w:rPr>
          <w:rFonts w:ascii="Arial" w:hAnsi="Arial" w:cs="Arial"/>
          <w:spacing w:val="-2"/>
          <w:sz w:val="22"/>
          <w:szCs w:val="22"/>
        </w:rPr>
        <w:t xml:space="preserve"> </w:t>
      </w:r>
      <w:r w:rsidRPr="00541A27">
        <w:rPr>
          <w:rFonts w:ascii="Arial" w:hAnsi="Arial" w:cs="Arial"/>
          <w:sz w:val="22"/>
          <w:szCs w:val="22"/>
        </w:rPr>
        <w:t>section</w:t>
      </w:r>
      <w:r w:rsidRPr="00541A27">
        <w:rPr>
          <w:rFonts w:ascii="Arial" w:hAnsi="Arial" w:cs="Arial"/>
          <w:spacing w:val="-2"/>
          <w:sz w:val="22"/>
          <w:szCs w:val="22"/>
        </w:rPr>
        <w:t xml:space="preserve"> </w:t>
      </w:r>
      <w:r w:rsidRPr="00541A27">
        <w:rPr>
          <w:rFonts w:ascii="Arial" w:hAnsi="Arial" w:cs="Arial"/>
          <w:sz w:val="22"/>
          <w:szCs w:val="22"/>
        </w:rPr>
        <w:t>123</w:t>
      </w:r>
      <w:r w:rsidRPr="00541A27">
        <w:rPr>
          <w:rFonts w:ascii="Arial" w:hAnsi="Arial" w:cs="Arial"/>
          <w:spacing w:val="-2"/>
          <w:sz w:val="22"/>
          <w:szCs w:val="22"/>
        </w:rPr>
        <w:t xml:space="preserve"> </w:t>
      </w:r>
      <w:r w:rsidRPr="00541A27">
        <w:rPr>
          <w:rFonts w:ascii="Arial" w:hAnsi="Arial" w:cs="Arial"/>
          <w:sz w:val="22"/>
          <w:szCs w:val="22"/>
        </w:rPr>
        <w:t>of</w:t>
      </w:r>
      <w:r w:rsidRPr="00541A27">
        <w:rPr>
          <w:rFonts w:ascii="Arial" w:hAnsi="Arial" w:cs="Arial"/>
          <w:spacing w:val="-2"/>
          <w:sz w:val="22"/>
          <w:szCs w:val="22"/>
        </w:rPr>
        <w:t xml:space="preserve"> </w:t>
      </w:r>
      <w:r w:rsidRPr="00541A27">
        <w:rPr>
          <w:rFonts w:ascii="Arial" w:hAnsi="Arial" w:cs="Arial"/>
          <w:sz w:val="22"/>
          <w:szCs w:val="22"/>
        </w:rPr>
        <w:t>the</w:t>
      </w:r>
      <w:r w:rsidRPr="00541A27">
        <w:rPr>
          <w:rFonts w:ascii="Arial" w:hAnsi="Arial" w:cs="Arial"/>
          <w:spacing w:val="-2"/>
          <w:sz w:val="22"/>
          <w:szCs w:val="22"/>
        </w:rPr>
        <w:t xml:space="preserve"> </w:t>
      </w:r>
      <w:r w:rsidRPr="00541A27">
        <w:rPr>
          <w:rFonts w:ascii="Arial" w:hAnsi="Arial" w:cs="Arial"/>
          <w:sz w:val="22"/>
          <w:szCs w:val="22"/>
        </w:rPr>
        <w:t>Act</w:t>
      </w:r>
      <w:r w:rsidRPr="00541A27">
        <w:rPr>
          <w:rFonts w:ascii="Arial" w:hAnsi="Arial" w:cs="Arial"/>
          <w:spacing w:val="-3"/>
          <w:sz w:val="22"/>
          <w:szCs w:val="22"/>
        </w:rPr>
        <w:t xml:space="preserve"> </w:t>
      </w:r>
      <w:r w:rsidRPr="00541A27">
        <w:rPr>
          <w:rFonts w:ascii="Arial" w:hAnsi="Arial" w:cs="Arial"/>
          <w:sz w:val="22"/>
          <w:szCs w:val="22"/>
        </w:rPr>
        <w:t>if: (c) it is proved to the satisfaction of the court that the company is unable to pay its debts</w:t>
      </w:r>
      <w:r w:rsidRPr="00541A27">
        <w:rPr>
          <w:rFonts w:ascii="Arial" w:hAnsi="Arial" w:cs="Arial"/>
          <w:spacing w:val="-2"/>
          <w:sz w:val="22"/>
          <w:szCs w:val="22"/>
        </w:rPr>
        <w:t xml:space="preserve"> </w:t>
      </w:r>
      <w:r w:rsidRPr="00541A27">
        <w:rPr>
          <w:rFonts w:ascii="Arial" w:hAnsi="Arial" w:cs="Arial"/>
          <w:sz w:val="22"/>
          <w:szCs w:val="22"/>
        </w:rPr>
        <w:t>as</w:t>
      </w:r>
      <w:r w:rsidRPr="00541A27">
        <w:rPr>
          <w:rFonts w:ascii="Arial" w:hAnsi="Arial" w:cs="Arial"/>
          <w:spacing w:val="-1"/>
          <w:sz w:val="22"/>
          <w:szCs w:val="22"/>
        </w:rPr>
        <w:t xml:space="preserve"> </w:t>
      </w:r>
      <w:r w:rsidRPr="00541A27">
        <w:rPr>
          <w:rFonts w:ascii="Arial" w:hAnsi="Arial" w:cs="Arial"/>
          <w:sz w:val="22"/>
          <w:szCs w:val="22"/>
        </w:rPr>
        <w:t>they</w:t>
      </w:r>
      <w:r w:rsidRPr="00541A27">
        <w:rPr>
          <w:rFonts w:ascii="Arial" w:hAnsi="Arial" w:cs="Arial"/>
          <w:spacing w:val="-1"/>
          <w:sz w:val="22"/>
          <w:szCs w:val="22"/>
        </w:rPr>
        <w:t xml:space="preserve"> </w:t>
      </w:r>
      <w:r w:rsidRPr="00541A27">
        <w:rPr>
          <w:rFonts w:ascii="Arial" w:hAnsi="Arial" w:cs="Arial"/>
          <w:sz w:val="22"/>
          <w:szCs w:val="22"/>
        </w:rPr>
        <w:t>fall</w:t>
      </w:r>
      <w:r w:rsidRPr="00541A27">
        <w:rPr>
          <w:rFonts w:ascii="Arial" w:hAnsi="Arial" w:cs="Arial"/>
          <w:spacing w:val="-2"/>
          <w:sz w:val="22"/>
          <w:szCs w:val="22"/>
        </w:rPr>
        <w:t xml:space="preserve"> </w:t>
      </w:r>
      <w:r w:rsidRPr="00541A27">
        <w:rPr>
          <w:rFonts w:ascii="Arial" w:hAnsi="Arial" w:cs="Arial"/>
          <w:sz w:val="22"/>
          <w:szCs w:val="22"/>
        </w:rPr>
        <w:t>due</w:t>
      </w:r>
      <w:r w:rsidRPr="00541A27">
        <w:rPr>
          <w:rFonts w:ascii="Arial" w:hAnsi="Arial" w:cs="Arial"/>
          <w:spacing w:val="-1"/>
          <w:sz w:val="22"/>
          <w:szCs w:val="22"/>
        </w:rPr>
        <w:t xml:space="preserve"> </w:t>
      </w:r>
      <w:r w:rsidRPr="00541A27">
        <w:rPr>
          <w:rFonts w:ascii="Arial" w:hAnsi="Arial" w:cs="Arial"/>
          <w:sz w:val="22"/>
          <w:szCs w:val="22"/>
        </w:rPr>
        <w:t>(cash</w:t>
      </w:r>
      <w:r w:rsidRPr="00541A27">
        <w:rPr>
          <w:rFonts w:ascii="Arial" w:hAnsi="Arial" w:cs="Arial"/>
          <w:spacing w:val="-1"/>
          <w:sz w:val="22"/>
          <w:szCs w:val="22"/>
        </w:rPr>
        <w:t xml:space="preserve"> </w:t>
      </w:r>
      <w:r w:rsidRPr="00541A27">
        <w:rPr>
          <w:rFonts w:ascii="Arial" w:hAnsi="Arial" w:cs="Arial"/>
          <w:sz w:val="22"/>
          <w:szCs w:val="22"/>
        </w:rPr>
        <w:t>flow</w:t>
      </w:r>
      <w:r w:rsidRPr="00541A27">
        <w:rPr>
          <w:rFonts w:ascii="Arial" w:hAnsi="Arial" w:cs="Arial"/>
          <w:spacing w:val="-2"/>
          <w:sz w:val="22"/>
          <w:szCs w:val="22"/>
        </w:rPr>
        <w:t xml:space="preserve"> </w:t>
      </w:r>
      <w:r w:rsidRPr="00541A27">
        <w:rPr>
          <w:rFonts w:ascii="Arial" w:hAnsi="Arial" w:cs="Arial"/>
          <w:sz w:val="22"/>
          <w:szCs w:val="22"/>
        </w:rPr>
        <w:t>insolvency);</w:t>
      </w:r>
      <w:r w:rsidRPr="00541A27">
        <w:rPr>
          <w:rFonts w:ascii="Arial" w:hAnsi="Arial" w:cs="Arial"/>
          <w:spacing w:val="-1"/>
          <w:sz w:val="22"/>
          <w:szCs w:val="22"/>
        </w:rPr>
        <w:t xml:space="preserve"> </w:t>
      </w:r>
      <w:r w:rsidRPr="00541A27">
        <w:rPr>
          <w:rFonts w:ascii="Arial" w:hAnsi="Arial" w:cs="Arial"/>
          <w:sz w:val="22"/>
          <w:szCs w:val="22"/>
        </w:rPr>
        <w:t>or, (d) it is proved to the satisfaction of the court that the value of the company’s assets</w:t>
      </w:r>
      <w:r w:rsidRPr="00541A27">
        <w:rPr>
          <w:rFonts w:ascii="Arial" w:hAnsi="Arial" w:cs="Arial"/>
          <w:spacing w:val="-59"/>
          <w:sz w:val="22"/>
          <w:szCs w:val="22"/>
        </w:rPr>
        <w:t xml:space="preserve"> </w:t>
      </w:r>
      <w:r w:rsidRPr="00541A27">
        <w:rPr>
          <w:rFonts w:ascii="Arial" w:hAnsi="Arial" w:cs="Arial"/>
          <w:sz w:val="22"/>
          <w:szCs w:val="22"/>
        </w:rPr>
        <w:t xml:space="preserve"> is less than the amount of its liabilities, taking into account its contingent and</w:t>
      </w:r>
      <w:r w:rsidRPr="00541A27">
        <w:rPr>
          <w:rFonts w:ascii="Arial" w:hAnsi="Arial" w:cs="Arial"/>
          <w:spacing w:val="1"/>
          <w:sz w:val="22"/>
          <w:szCs w:val="22"/>
        </w:rPr>
        <w:t xml:space="preserve"> </w:t>
      </w:r>
      <w:r w:rsidRPr="00541A27">
        <w:rPr>
          <w:rFonts w:ascii="Arial" w:hAnsi="Arial" w:cs="Arial"/>
          <w:sz w:val="22"/>
          <w:szCs w:val="22"/>
        </w:rPr>
        <w:t>prospective</w:t>
      </w:r>
      <w:r w:rsidRPr="00541A27">
        <w:rPr>
          <w:rFonts w:ascii="Arial" w:hAnsi="Arial" w:cs="Arial"/>
          <w:spacing w:val="-2"/>
          <w:sz w:val="22"/>
          <w:szCs w:val="22"/>
        </w:rPr>
        <w:t xml:space="preserve"> </w:t>
      </w:r>
      <w:r w:rsidRPr="00541A27">
        <w:rPr>
          <w:rFonts w:ascii="Arial" w:hAnsi="Arial" w:cs="Arial"/>
          <w:sz w:val="22"/>
          <w:szCs w:val="22"/>
        </w:rPr>
        <w:t>liabilities</w:t>
      </w:r>
      <w:r w:rsidRPr="00541A27">
        <w:rPr>
          <w:rFonts w:ascii="Arial" w:hAnsi="Arial" w:cs="Arial"/>
          <w:spacing w:val="-1"/>
          <w:sz w:val="22"/>
          <w:szCs w:val="22"/>
        </w:rPr>
        <w:t xml:space="preserve"> </w:t>
      </w:r>
      <w:r w:rsidRPr="00541A27">
        <w:rPr>
          <w:rFonts w:ascii="Arial" w:hAnsi="Arial" w:cs="Arial"/>
          <w:sz w:val="22"/>
          <w:szCs w:val="22"/>
        </w:rPr>
        <w:t>(balance</w:t>
      </w:r>
      <w:r w:rsidRPr="00541A27">
        <w:rPr>
          <w:rFonts w:ascii="Arial" w:hAnsi="Arial" w:cs="Arial"/>
          <w:spacing w:val="-2"/>
          <w:sz w:val="22"/>
          <w:szCs w:val="22"/>
        </w:rPr>
        <w:t xml:space="preserve"> </w:t>
      </w:r>
      <w:r w:rsidRPr="00541A27">
        <w:rPr>
          <w:rFonts w:ascii="Arial" w:hAnsi="Arial" w:cs="Arial"/>
          <w:sz w:val="22"/>
          <w:szCs w:val="22"/>
        </w:rPr>
        <w:t>sheet</w:t>
      </w:r>
      <w:r w:rsidRPr="00541A27">
        <w:rPr>
          <w:rFonts w:ascii="Arial" w:hAnsi="Arial" w:cs="Arial"/>
          <w:spacing w:val="-1"/>
          <w:sz w:val="22"/>
          <w:szCs w:val="22"/>
        </w:rPr>
        <w:t xml:space="preserve"> </w:t>
      </w:r>
      <w:r w:rsidRPr="00541A27">
        <w:rPr>
          <w:rFonts w:ascii="Arial" w:hAnsi="Arial" w:cs="Arial"/>
          <w:sz w:val="22"/>
          <w:szCs w:val="22"/>
        </w:rPr>
        <w:t>insolvency).</w:t>
      </w:r>
    </w:p>
    <w:p w14:paraId="31897B90" w14:textId="77777777" w:rsidR="00541A27" w:rsidRPr="00541A27" w:rsidRDefault="00541A27" w:rsidP="00541A27">
      <w:pPr>
        <w:tabs>
          <w:tab w:val="left" w:pos="1500"/>
        </w:tabs>
        <w:jc w:val="both"/>
        <w:rPr>
          <w:rFonts w:ascii="Arial" w:hAnsi="Arial" w:cs="Arial"/>
          <w:sz w:val="22"/>
          <w:szCs w:val="22"/>
        </w:rPr>
      </w:pPr>
    </w:p>
    <w:p w14:paraId="5F4F8397" w14:textId="77777777" w:rsidR="00541A27" w:rsidRPr="00541A27" w:rsidRDefault="00541A27" w:rsidP="00541A27">
      <w:pPr>
        <w:tabs>
          <w:tab w:val="left" w:pos="1500"/>
        </w:tabs>
        <w:jc w:val="both"/>
        <w:rPr>
          <w:rFonts w:ascii="Arial" w:hAnsi="Arial" w:cs="Arial"/>
          <w:sz w:val="22"/>
          <w:szCs w:val="22"/>
        </w:rPr>
      </w:pPr>
      <w:r w:rsidRPr="00541A27">
        <w:rPr>
          <w:rFonts w:ascii="Arial" w:hAnsi="Arial" w:cs="Arial"/>
          <w:sz w:val="22"/>
          <w:szCs w:val="22"/>
        </w:rPr>
        <w:t>So, the debtor can demonstrate to the courts that the debtor could not pay its debts, or its assets were less than the number of its liabilities at the time of the creation of the charge (in January 2020) owing to the fact that according to Question 4 says that the debtor could not repay the loans granted from this bank.</w:t>
      </w:r>
    </w:p>
    <w:p w14:paraId="635AABF4" w14:textId="77777777" w:rsidR="00B04033" w:rsidRDefault="00B04033" w:rsidP="007E2919">
      <w:pPr>
        <w:rPr>
          <w:rFonts w:ascii="Arial" w:hAnsi="Arial" w:cs="Arial"/>
          <w:b/>
          <w:sz w:val="24"/>
        </w:rPr>
      </w:pPr>
    </w:p>
    <w:p w14:paraId="0E549215" w14:textId="06C5FE8F" w:rsidR="007E2919" w:rsidRDefault="007E2919" w:rsidP="007E2919">
      <w:pPr>
        <w:rPr>
          <w:rFonts w:ascii="Arial" w:hAnsi="Arial" w:cs="Arial"/>
          <w:b/>
          <w:sz w:val="24"/>
        </w:rPr>
      </w:pPr>
      <w:r>
        <w:rPr>
          <w:rFonts w:ascii="Arial" w:hAnsi="Arial" w:cs="Arial"/>
          <w:b/>
          <w:sz w:val="24"/>
        </w:rPr>
        <w:t>Question 4.2 [maximum 5 marks]</w:t>
      </w:r>
    </w:p>
    <w:p w14:paraId="7916647F" w14:textId="470BBF53" w:rsidR="007E2919" w:rsidRDefault="007E2919" w:rsidP="007E2919">
      <w:pPr>
        <w:rPr>
          <w:rFonts w:ascii="Arial" w:hAnsi="Arial" w:cs="Arial"/>
          <w:b/>
          <w:sz w:val="24"/>
        </w:rPr>
      </w:pPr>
    </w:p>
    <w:p w14:paraId="28B7B160" w14:textId="44F15157" w:rsidR="007E2919" w:rsidRPr="007E2919" w:rsidRDefault="007E2919" w:rsidP="007E2919">
      <w:pPr>
        <w:rPr>
          <w:rFonts w:ascii="Arial" w:hAnsi="Arial" w:cs="Arial"/>
          <w:sz w:val="24"/>
        </w:rPr>
      </w:pPr>
      <w:r w:rsidRPr="007E2919">
        <w:rPr>
          <w:rFonts w:ascii="Arial" w:hAnsi="Arial" w:cs="Arial"/>
          <w:sz w:val="24"/>
        </w:rPr>
        <w:lastRenderedPageBreak/>
        <w:t>The sale of the van; and</w:t>
      </w:r>
    </w:p>
    <w:p w14:paraId="78CA5A7B" w14:textId="7BC31BB4" w:rsidR="007E2919" w:rsidRDefault="007E2919" w:rsidP="007E2919">
      <w:pPr>
        <w:rPr>
          <w:rFonts w:ascii="Arial" w:hAnsi="Arial" w:cs="Arial"/>
          <w:b/>
          <w:sz w:val="24"/>
        </w:rPr>
      </w:pPr>
    </w:p>
    <w:p w14:paraId="298CBC0E" w14:textId="54F1C975" w:rsidR="00401E8C" w:rsidRPr="00401E8C" w:rsidRDefault="00401E8C" w:rsidP="00401E8C">
      <w:pPr>
        <w:tabs>
          <w:tab w:val="left" w:pos="1500"/>
        </w:tabs>
        <w:jc w:val="both"/>
        <w:rPr>
          <w:rFonts w:ascii="Arial" w:eastAsia="Arial" w:hAnsi="Arial" w:cs="Arial"/>
          <w:sz w:val="22"/>
          <w:szCs w:val="22"/>
        </w:rPr>
      </w:pPr>
      <w:r w:rsidRPr="00401E8C">
        <w:rPr>
          <w:rFonts w:ascii="Arial" w:eastAsia="Arial" w:hAnsi="Arial" w:cs="Arial"/>
          <w:sz w:val="22"/>
          <w:szCs w:val="22"/>
        </w:rPr>
        <w:t xml:space="preserve">I recommend </w:t>
      </w:r>
      <w:r w:rsidR="00541A27">
        <w:rPr>
          <w:rFonts w:ascii="Arial" w:eastAsia="Arial" w:hAnsi="Arial" w:cs="Arial"/>
          <w:sz w:val="22"/>
          <w:szCs w:val="22"/>
        </w:rPr>
        <w:t>attacking</w:t>
      </w:r>
      <w:r w:rsidRPr="00401E8C">
        <w:rPr>
          <w:rFonts w:ascii="Arial" w:eastAsia="Arial" w:hAnsi="Arial" w:cs="Arial"/>
          <w:sz w:val="22"/>
          <w:szCs w:val="22"/>
        </w:rPr>
        <w:t xml:space="preserve"> this transaction at an undervalue. I will explain my arguments.</w:t>
      </w:r>
    </w:p>
    <w:p w14:paraId="41423655" w14:textId="77777777" w:rsidR="00401E8C" w:rsidRPr="00401E8C" w:rsidRDefault="00401E8C" w:rsidP="00401E8C">
      <w:pPr>
        <w:tabs>
          <w:tab w:val="left" w:pos="1500"/>
        </w:tabs>
        <w:jc w:val="both"/>
        <w:rPr>
          <w:rFonts w:ascii="Arial" w:eastAsia="Arial" w:hAnsi="Arial" w:cs="Arial"/>
          <w:sz w:val="22"/>
          <w:szCs w:val="22"/>
        </w:rPr>
      </w:pPr>
    </w:p>
    <w:p w14:paraId="171724B4" w14:textId="672EF1B6" w:rsidR="00401E8C" w:rsidRPr="00401E8C" w:rsidRDefault="006467AF" w:rsidP="00401E8C">
      <w:pPr>
        <w:tabs>
          <w:tab w:val="left" w:pos="1500"/>
        </w:tabs>
        <w:jc w:val="both"/>
        <w:rPr>
          <w:rFonts w:ascii="Arial" w:hAnsi="Arial" w:cs="Arial"/>
          <w:sz w:val="22"/>
          <w:szCs w:val="22"/>
        </w:rPr>
      </w:pPr>
      <w:r>
        <w:rPr>
          <w:rFonts w:ascii="Arial" w:eastAsia="Arial" w:hAnsi="Arial" w:cs="Arial"/>
          <w:sz w:val="22"/>
          <w:szCs w:val="22"/>
        </w:rPr>
        <w:t>T</w:t>
      </w:r>
      <w:r w:rsidR="00401E8C" w:rsidRPr="00401E8C">
        <w:rPr>
          <w:rFonts w:ascii="Arial" w:eastAsia="Arial" w:hAnsi="Arial" w:cs="Arial"/>
          <w:sz w:val="22"/>
          <w:szCs w:val="22"/>
        </w:rPr>
        <w:t xml:space="preserve">he section 238 of the Act claims that: “… (3) </w:t>
      </w:r>
      <w:r w:rsidR="00401E8C" w:rsidRPr="00401E8C">
        <w:rPr>
          <w:rFonts w:ascii="Arial" w:hAnsi="Arial" w:cs="Arial"/>
          <w:sz w:val="22"/>
          <w:szCs w:val="22"/>
        </w:rPr>
        <w:t>entered into a transaction with another person for a consideration which, in</w:t>
      </w:r>
      <w:r w:rsidR="00401E8C" w:rsidRPr="00401E8C">
        <w:rPr>
          <w:rFonts w:ascii="Arial" w:hAnsi="Arial" w:cs="Arial"/>
          <w:spacing w:val="1"/>
          <w:sz w:val="22"/>
          <w:szCs w:val="22"/>
        </w:rPr>
        <w:t xml:space="preserve"> </w:t>
      </w:r>
      <w:r w:rsidR="00401E8C" w:rsidRPr="00401E8C">
        <w:rPr>
          <w:rFonts w:ascii="Arial" w:hAnsi="Arial" w:cs="Arial"/>
          <w:sz w:val="22"/>
          <w:szCs w:val="22"/>
        </w:rPr>
        <w:t>money or money’s worth, was, at the date of the transaction, significantly less</w:t>
      </w:r>
      <w:r w:rsidR="00401E8C" w:rsidRPr="00401E8C">
        <w:rPr>
          <w:rFonts w:ascii="Arial" w:hAnsi="Arial" w:cs="Arial"/>
          <w:spacing w:val="1"/>
          <w:sz w:val="22"/>
          <w:szCs w:val="22"/>
        </w:rPr>
        <w:t xml:space="preserve"> </w:t>
      </w:r>
      <w:r w:rsidR="00401E8C" w:rsidRPr="00401E8C">
        <w:rPr>
          <w:rFonts w:ascii="Arial" w:hAnsi="Arial" w:cs="Arial"/>
          <w:sz w:val="22"/>
          <w:szCs w:val="22"/>
        </w:rPr>
        <w:t>than the value, in money or money’s worth, of the consideration provided by the company”.</w:t>
      </w:r>
    </w:p>
    <w:p w14:paraId="29BD3B11" w14:textId="77777777" w:rsidR="00401E8C" w:rsidRPr="00401E8C" w:rsidRDefault="00401E8C" w:rsidP="00401E8C">
      <w:pPr>
        <w:tabs>
          <w:tab w:val="left" w:pos="1500"/>
        </w:tabs>
        <w:jc w:val="both"/>
        <w:rPr>
          <w:rFonts w:ascii="Arial" w:hAnsi="Arial" w:cs="Arial"/>
          <w:sz w:val="22"/>
          <w:szCs w:val="22"/>
        </w:rPr>
      </w:pPr>
    </w:p>
    <w:p w14:paraId="6DE7C908" w14:textId="558A58E0" w:rsidR="00401E8C" w:rsidRPr="00401E8C" w:rsidRDefault="00401E8C" w:rsidP="00401E8C">
      <w:pPr>
        <w:tabs>
          <w:tab w:val="left" w:pos="1500"/>
        </w:tabs>
        <w:jc w:val="both"/>
        <w:rPr>
          <w:rFonts w:ascii="Arial" w:hAnsi="Arial" w:cs="Arial"/>
          <w:sz w:val="22"/>
          <w:szCs w:val="22"/>
        </w:rPr>
      </w:pPr>
      <w:r w:rsidRPr="00401E8C">
        <w:rPr>
          <w:rFonts w:ascii="Arial" w:hAnsi="Arial" w:cs="Arial"/>
          <w:sz w:val="22"/>
          <w:szCs w:val="22"/>
        </w:rPr>
        <w:t xml:space="preserve">In this case, the director paid half of the price for the delivery van when this vehicle was bought one year later in £10,000, for this reason, I </w:t>
      </w:r>
      <w:r w:rsidR="00C04AE4">
        <w:rPr>
          <w:rFonts w:ascii="Arial" w:hAnsi="Arial" w:cs="Arial"/>
          <w:sz w:val="22"/>
          <w:szCs w:val="22"/>
        </w:rPr>
        <w:t>strongly believe</w:t>
      </w:r>
      <w:r w:rsidRPr="00401E8C">
        <w:rPr>
          <w:rFonts w:ascii="Arial" w:hAnsi="Arial" w:cs="Arial"/>
          <w:sz w:val="22"/>
          <w:szCs w:val="22"/>
        </w:rPr>
        <w:t xml:space="preserve"> that £5000 for this van is a value less than the current</w:t>
      </w:r>
      <w:r w:rsidR="00184B9A">
        <w:rPr>
          <w:rFonts w:ascii="Arial" w:hAnsi="Arial" w:cs="Arial"/>
          <w:sz w:val="22"/>
          <w:szCs w:val="22"/>
        </w:rPr>
        <w:t>, in one year an asset does not lose half of its value</w:t>
      </w:r>
      <w:r w:rsidRPr="00401E8C">
        <w:rPr>
          <w:rFonts w:ascii="Arial" w:hAnsi="Arial" w:cs="Arial"/>
          <w:sz w:val="22"/>
          <w:szCs w:val="22"/>
        </w:rPr>
        <w:t xml:space="preserve">. </w:t>
      </w:r>
    </w:p>
    <w:p w14:paraId="36DD9848" w14:textId="77777777" w:rsidR="00401E8C" w:rsidRPr="00401E8C" w:rsidRDefault="00401E8C" w:rsidP="00401E8C">
      <w:pPr>
        <w:tabs>
          <w:tab w:val="left" w:pos="1500"/>
        </w:tabs>
        <w:jc w:val="both"/>
        <w:rPr>
          <w:rFonts w:ascii="Arial" w:hAnsi="Arial" w:cs="Arial"/>
          <w:sz w:val="22"/>
          <w:szCs w:val="22"/>
        </w:rPr>
      </w:pPr>
    </w:p>
    <w:p w14:paraId="70182839" w14:textId="6E27DF4A" w:rsidR="00401E8C" w:rsidRPr="00401E8C" w:rsidRDefault="00401E8C" w:rsidP="00401E8C">
      <w:pPr>
        <w:tabs>
          <w:tab w:val="left" w:pos="1500"/>
        </w:tabs>
        <w:jc w:val="both"/>
        <w:rPr>
          <w:rFonts w:ascii="Arial" w:hAnsi="Arial" w:cs="Arial"/>
          <w:sz w:val="22"/>
          <w:szCs w:val="22"/>
        </w:rPr>
      </w:pPr>
      <w:r w:rsidRPr="00401E8C">
        <w:rPr>
          <w:rFonts w:ascii="Arial" w:hAnsi="Arial" w:cs="Arial"/>
          <w:sz w:val="22"/>
          <w:szCs w:val="22"/>
        </w:rPr>
        <w:t>Furthermore, this transaction was celebrated in June 2020, two years prior to the commencement of the liquidation (November 2020).</w:t>
      </w:r>
    </w:p>
    <w:p w14:paraId="0AAE119F" w14:textId="77777777" w:rsidR="00401E8C" w:rsidRPr="00401E8C" w:rsidRDefault="00401E8C" w:rsidP="00401E8C">
      <w:pPr>
        <w:tabs>
          <w:tab w:val="left" w:pos="1500"/>
        </w:tabs>
        <w:jc w:val="both"/>
        <w:rPr>
          <w:rFonts w:ascii="Arial" w:hAnsi="Arial" w:cs="Arial"/>
          <w:sz w:val="22"/>
          <w:szCs w:val="22"/>
        </w:rPr>
      </w:pPr>
    </w:p>
    <w:p w14:paraId="69CBF755" w14:textId="77777777" w:rsidR="00401E8C" w:rsidRPr="00401E8C" w:rsidRDefault="00401E8C" w:rsidP="00401E8C">
      <w:pPr>
        <w:tabs>
          <w:tab w:val="left" w:pos="1500"/>
        </w:tabs>
        <w:jc w:val="both"/>
        <w:rPr>
          <w:rFonts w:ascii="Arial" w:hAnsi="Arial" w:cs="Arial"/>
          <w:sz w:val="22"/>
          <w:szCs w:val="22"/>
        </w:rPr>
      </w:pPr>
      <w:r w:rsidRPr="00401E8C">
        <w:rPr>
          <w:rFonts w:ascii="Arial" w:hAnsi="Arial" w:cs="Arial"/>
          <w:sz w:val="22"/>
          <w:szCs w:val="22"/>
        </w:rPr>
        <w:t>In addition, Paul Watson who is a connected person to Cork-In must prove that this transaction caused the insolvency of the company due to the fact that in the</w:t>
      </w:r>
      <w:r w:rsidRPr="00401E8C">
        <w:rPr>
          <w:rFonts w:ascii="Arial" w:hAnsi="Arial" w:cs="Arial"/>
          <w:spacing w:val="1"/>
          <w:sz w:val="22"/>
          <w:szCs w:val="22"/>
        </w:rPr>
        <w:t xml:space="preserve"> </w:t>
      </w:r>
      <w:r w:rsidRPr="00401E8C">
        <w:rPr>
          <w:rFonts w:ascii="Arial" w:hAnsi="Arial" w:cs="Arial"/>
          <w:sz w:val="22"/>
          <w:szCs w:val="22"/>
        </w:rPr>
        <w:t>case of</w:t>
      </w:r>
      <w:r w:rsidRPr="00401E8C">
        <w:rPr>
          <w:rFonts w:ascii="Arial" w:hAnsi="Arial" w:cs="Arial"/>
          <w:spacing w:val="1"/>
          <w:sz w:val="22"/>
          <w:szCs w:val="22"/>
        </w:rPr>
        <w:t xml:space="preserve"> </w:t>
      </w:r>
      <w:r w:rsidRPr="00401E8C">
        <w:rPr>
          <w:rFonts w:ascii="Arial" w:hAnsi="Arial" w:cs="Arial"/>
          <w:sz w:val="22"/>
          <w:szCs w:val="22"/>
        </w:rPr>
        <w:t>a transaction</w:t>
      </w:r>
      <w:r w:rsidRPr="00401E8C">
        <w:rPr>
          <w:rFonts w:ascii="Arial" w:hAnsi="Arial" w:cs="Arial"/>
          <w:spacing w:val="1"/>
          <w:sz w:val="22"/>
          <w:szCs w:val="22"/>
        </w:rPr>
        <w:t xml:space="preserve"> </w:t>
      </w:r>
      <w:r w:rsidRPr="00401E8C">
        <w:rPr>
          <w:rFonts w:ascii="Arial" w:hAnsi="Arial" w:cs="Arial"/>
          <w:sz w:val="22"/>
          <w:szCs w:val="22"/>
        </w:rPr>
        <w:t>with a</w:t>
      </w:r>
      <w:r w:rsidRPr="00401E8C">
        <w:rPr>
          <w:rFonts w:ascii="Arial" w:hAnsi="Arial" w:cs="Arial"/>
          <w:spacing w:val="1"/>
          <w:sz w:val="22"/>
          <w:szCs w:val="22"/>
        </w:rPr>
        <w:t xml:space="preserve"> </w:t>
      </w:r>
      <w:r w:rsidRPr="00401E8C">
        <w:rPr>
          <w:rFonts w:ascii="Arial" w:hAnsi="Arial" w:cs="Arial"/>
          <w:sz w:val="22"/>
          <w:szCs w:val="22"/>
        </w:rPr>
        <w:t>connected</w:t>
      </w:r>
      <w:r w:rsidRPr="00401E8C">
        <w:rPr>
          <w:rFonts w:ascii="Arial" w:hAnsi="Arial" w:cs="Arial"/>
          <w:spacing w:val="1"/>
          <w:sz w:val="22"/>
          <w:szCs w:val="22"/>
        </w:rPr>
        <w:t xml:space="preserve"> </w:t>
      </w:r>
      <w:r w:rsidRPr="00401E8C">
        <w:rPr>
          <w:rFonts w:ascii="Arial" w:hAnsi="Arial" w:cs="Arial"/>
          <w:sz w:val="22"/>
          <w:szCs w:val="22"/>
        </w:rPr>
        <w:t>person, however, the company is presumed to have been insolvent, or to have</w:t>
      </w:r>
      <w:r w:rsidRPr="00401E8C">
        <w:rPr>
          <w:rFonts w:ascii="Arial" w:hAnsi="Arial" w:cs="Arial"/>
          <w:spacing w:val="1"/>
          <w:sz w:val="22"/>
          <w:szCs w:val="22"/>
        </w:rPr>
        <w:t xml:space="preserve"> </w:t>
      </w:r>
      <w:r w:rsidRPr="00401E8C">
        <w:rPr>
          <w:rFonts w:ascii="Arial" w:hAnsi="Arial" w:cs="Arial"/>
          <w:sz w:val="22"/>
          <w:szCs w:val="22"/>
        </w:rPr>
        <w:t>become</w:t>
      </w:r>
      <w:r w:rsidRPr="00401E8C">
        <w:rPr>
          <w:rFonts w:ascii="Arial" w:hAnsi="Arial" w:cs="Arial"/>
          <w:spacing w:val="-3"/>
          <w:sz w:val="22"/>
          <w:szCs w:val="22"/>
        </w:rPr>
        <w:t xml:space="preserve"> </w:t>
      </w:r>
      <w:r w:rsidRPr="00401E8C">
        <w:rPr>
          <w:rFonts w:ascii="Arial" w:hAnsi="Arial" w:cs="Arial"/>
          <w:sz w:val="22"/>
          <w:szCs w:val="22"/>
        </w:rPr>
        <w:t>insolvent</w:t>
      </w:r>
      <w:r w:rsidRPr="00401E8C">
        <w:rPr>
          <w:rFonts w:ascii="Arial" w:hAnsi="Arial" w:cs="Arial"/>
          <w:spacing w:val="-2"/>
          <w:sz w:val="22"/>
          <w:szCs w:val="22"/>
        </w:rPr>
        <w:t xml:space="preserve"> </w:t>
      </w:r>
      <w:r w:rsidRPr="00401E8C">
        <w:rPr>
          <w:rFonts w:ascii="Arial" w:hAnsi="Arial" w:cs="Arial"/>
          <w:sz w:val="22"/>
          <w:szCs w:val="22"/>
        </w:rPr>
        <w:t>as</w:t>
      </w:r>
      <w:r w:rsidRPr="00401E8C">
        <w:rPr>
          <w:rFonts w:ascii="Arial" w:hAnsi="Arial" w:cs="Arial"/>
          <w:spacing w:val="-2"/>
          <w:sz w:val="22"/>
          <w:szCs w:val="22"/>
        </w:rPr>
        <w:t xml:space="preserve"> </w:t>
      </w:r>
      <w:r w:rsidRPr="00401E8C">
        <w:rPr>
          <w:rFonts w:ascii="Arial" w:hAnsi="Arial" w:cs="Arial"/>
          <w:sz w:val="22"/>
          <w:szCs w:val="22"/>
        </w:rPr>
        <w:t>a</w:t>
      </w:r>
      <w:r w:rsidRPr="00401E8C">
        <w:rPr>
          <w:rFonts w:ascii="Arial" w:hAnsi="Arial" w:cs="Arial"/>
          <w:spacing w:val="-2"/>
          <w:sz w:val="22"/>
          <w:szCs w:val="22"/>
        </w:rPr>
        <w:t xml:space="preserve"> </w:t>
      </w:r>
      <w:r w:rsidRPr="00401E8C">
        <w:rPr>
          <w:rFonts w:ascii="Arial" w:hAnsi="Arial" w:cs="Arial"/>
          <w:sz w:val="22"/>
          <w:szCs w:val="22"/>
        </w:rPr>
        <w:t>result</w:t>
      </w:r>
      <w:r w:rsidRPr="00401E8C">
        <w:rPr>
          <w:rFonts w:ascii="Arial" w:hAnsi="Arial" w:cs="Arial"/>
          <w:spacing w:val="-3"/>
          <w:sz w:val="22"/>
          <w:szCs w:val="22"/>
        </w:rPr>
        <w:t xml:space="preserve"> </w:t>
      </w:r>
      <w:r w:rsidRPr="00401E8C">
        <w:rPr>
          <w:rFonts w:ascii="Arial" w:hAnsi="Arial" w:cs="Arial"/>
          <w:sz w:val="22"/>
          <w:szCs w:val="22"/>
        </w:rPr>
        <w:t>of</w:t>
      </w:r>
      <w:r w:rsidRPr="00401E8C">
        <w:rPr>
          <w:rFonts w:ascii="Arial" w:hAnsi="Arial" w:cs="Arial"/>
          <w:spacing w:val="-2"/>
          <w:sz w:val="22"/>
          <w:szCs w:val="22"/>
        </w:rPr>
        <w:t xml:space="preserve"> </w:t>
      </w:r>
      <w:r w:rsidRPr="00401E8C">
        <w:rPr>
          <w:rFonts w:ascii="Arial" w:hAnsi="Arial" w:cs="Arial"/>
          <w:sz w:val="22"/>
          <w:szCs w:val="22"/>
        </w:rPr>
        <w:t>the</w:t>
      </w:r>
      <w:r w:rsidRPr="00401E8C">
        <w:rPr>
          <w:rFonts w:ascii="Arial" w:hAnsi="Arial" w:cs="Arial"/>
          <w:spacing w:val="-2"/>
          <w:sz w:val="22"/>
          <w:szCs w:val="22"/>
        </w:rPr>
        <w:t xml:space="preserve"> </w:t>
      </w:r>
      <w:r w:rsidRPr="00401E8C">
        <w:rPr>
          <w:rFonts w:ascii="Arial" w:hAnsi="Arial" w:cs="Arial"/>
          <w:sz w:val="22"/>
          <w:szCs w:val="22"/>
        </w:rPr>
        <w:t>transaction,</w:t>
      </w:r>
      <w:r w:rsidRPr="00401E8C">
        <w:rPr>
          <w:rFonts w:ascii="Arial" w:hAnsi="Arial" w:cs="Arial"/>
          <w:spacing w:val="-2"/>
          <w:sz w:val="22"/>
          <w:szCs w:val="22"/>
        </w:rPr>
        <w:t xml:space="preserve"> </w:t>
      </w:r>
      <w:r w:rsidRPr="00401E8C">
        <w:rPr>
          <w:rFonts w:ascii="Arial" w:hAnsi="Arial" w:cs="Arial"/>
          <w:sz w:val="22"/>
          <w:szCs w:val="22"/>
        </w:rPr>
        <w:t>unless</w:t>
      </w:r>
      <w:r w:rsidRPr="00401E8C">
        <w:rPr>
          <w:rFonts w:ascii="Arial" w:hAnsi="Arial" w:cs="Arial"/>
          <w:spacing w:val="-2"/>
          <w:sz w:val="22"/>
          <w:szCs w:val="22"/>
        </w:rPr>
        <w:t xml:space="preserve"> </w:t>
      </w:r>
      <w:r w:rsidRPr="00401E8C">
        <w:rPr>
          <w:rFonts w:ascii="Arial" w:hAnsi="Arial" w:cs="Arial"/>
          <w:sz w:val="22"/>
          <w:szCs w:val="22"/>
        </w:rPr>
        <w:t>the</w:t>
      </w:r>
      <w:r w:rsidRPr="00401E8C">
        <w:rPr>
          <w:rFonts w:ascii="Arial" w:hAnsi="Arial" w:cs="Arial"/>
          <w:spacing w:val="-3"/>
          <w:sz w:val="22"/>
          <w:szCs w:val="22"/>
        </w:rPr>
        <w:t xml:space="preserve"> </w:t>
      </w:r>
      <w:r w:rsidRPr="00401E8C">
        <w:rPr>
          <w:rFonts w:ascii="Arial" w:hAnsi="Arial" w:cs="Arial"/>
          <w:sz w:val="22"/>
          <w:szCs w:val="22"/>
        </w:rPr>
        <w:t>contrary</w:t>
      </w:r>
      <w:r w:rsidRPr="00401E8C">
        <w:rPr>
          <w:rFonts w:ascii="Arial" w:hAnsi="Arial" w:cs="Arial"/>
          <w:spacing w:val="-2"/>
          <w:sz w:val="22"/>
          <w:szCs w:val="22"/>
        </w:rPr>
        <w:t xml:space="preserve"> </w:t>
      </w:r>
      <w:r w:rsidRPr="00401E8C">
        <w:rPr>
          <w:rFonts w:ascii="Arial" w:hAnsi="Arial" w:cs="Arial"/>
          <w:sz w:val="22"/>
          <w:szCs w:val="22"/>
        </w:rPr>
        <w:t>is</w:t>
      </w:r>
      <w:r w:rsidRPr="00401E8C">
        <w:rPr>
          <w:rFonts w:ascii="Arial" w:hAnsi="Arial" w:cs="Arial"/>
          <w:spacing w:val="-2"/>
          <w:sz w:val="22"/>
          <w:szCs w:val="22"/>
        </w:rPr>
        <w:t xml:space="preserve"> </w:t>
      </w:r>
      <w:r w:rsidRPr="00401E8C">
        <w:rPr>
          <w:rFonts w:ascii="Arial" w:hAnsi="Arial" w:cs="Arial"/>
          <w:sz w:val="22"/>
          <w:szCs w:val="22"/>
        </w:rPr>
        <w:t>proved.</w:t>
      </w:r>
    </w:p>
    <w:p w14:paraId="5D545648" w14:textId="77777777" w:rsidR="00B04033" w:rsidRDefault="00B04033" w:rsidP="007E2919">
      <w:pPr>
        <w:rPr>
          <w:rFonts w:ascii="Arial" w:hAnsi="Arial" w:cs="Arial"/>
          <w:b/>
          <w:sz w:val="24"/>
        </w:rPr>
      </w:pPr>
    </w:p>
    <w:p w14:paraId="642039AC" w14:textId="04F15298" w:rsidR="007E2919" w:rsidRDefault="007E2919" w:rsidP="007E2919">
      <w:pPr>
        <w:rPr>
          <w:rFonts w:ascii="Arial" w:hAnsi="Arial" w:cs="Arial"/>
          <w:b/>
          <w:sz w:val="24"/>
        </w:rPr>
      </w:pPr>
      <w:r>
        <w:rPr>
          <w:rFonts w:ascii="Arial" w:hAnsi="Arial" w:cs="Arial"/>
          <w:b/>
          <w:sz w:val="24"/>
        </w:rPr>
        <w:t>Question 4.3 [maximum 5 marks]</w:t>
      </w:r>
    </w:p>
    <w:p w14:paraId="38FA4FC9" w14:textId="6BBF8182" w:rsidR="007E2919" w:rsidRDefault="007E2919" w:rsidP="007E2919">
      <w:pPr>
        <w:rPr>
          <w:rFonts w:ascii="Arial" w:hAnsi="Arial" w:cs="Arial"/>
          <w:b/>
          <w:sz w:val="24"/>
        </w:rPr>
      </w:pPr>
    </w:p>
    <w:p w14:paraId="2CD8591B" w14:textId="66E6B918" w:rsidR="007E2919" w:rsidRPr="007E2919" w:rsidRDefault="007E2919" w:rsidP="007E2919">
      <w:pPr>
        <w:rPr>
          <w:rFonts w:ascii="Arial" w:hAnsi="Arial" w:cs="Arial"/>
          <w:sz w:val="24"/>
        </w:rPr>
      </w:pPr>
      <w:r w:rsidRPr="007E2919">
        <w:rPr>
          <w:rFonts w:ascii="Arial" w:hAnsi="Arial" w:cs="Arial"/>
          <w:sz w:val="24"/>
        </w:rPr>
        <w:t>The payment to Gary’s Grapes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570CCCDA" w14:textId="6F04D515" w:rsidR="00C53F2B" w:rsidRPr="00C53F2B" w:rsidRDefault="00C53F2B" w:rsidP="00C53F2B">
      <w:pPr>
        <w:tabs>
          <w:tab w:val="left" w:pos="1500"/>
        </w:tabs>
        <w:jc w:val="both"/>
        <w:rPr>
          <w:rFonts w:ascii="Arial" w:eastAsia="Arial" w:hAnsi="Arial" w:cs="Arial"/>
          <w:sz w:val="22"/>
          <w:szCs w:val="22"/>
        </w:rPr>
      </w:pPr>
      <w:r w:rsidRPr="00C53F2B">
        <w:rPr>
          <w:rFonts w:ascii="Arial" w:eastAsia="Arial" w:hAnsi="Arial" w:cs="Arial"/>
          <w:sz w:val="22"/>
          <w:szCs w:val="22"/>
        </w:rPr>
        <w:t>I recommend attacking this transaction as preference.</w:t>
      </w:r>
    </w:p>
    <w:p w14:paraId="276F7C45" w14:textId="77777777" w:rsidR="00C53F2B" w:rsidRPr="00C53F2B" w:rsidRDefault="00C53F2B" w:rsidP="00C53F2B">
      <w:pPr>
        <w:tabs>
          <w:tab w:val="left" w:pos="1500"/>
        </w:tabs>
        <w:jc w:val="both"/>
        <w:rPr>
          <w:rFonts w:ascii="Arial" w:eastAsia="Arial" w:hAnsi="Arial" w:cs="Arial"/>
          <w:sz w:val="22"/>
          <w:szCs w:val="22"/>
        </w:rPr>
      </w:pPr>
    </w:p>
    <w:p w14:paraId="211BA8E7" w14:textId="7AFF1D6F" w:rsidR="00C53F2B" w:rsidRPr="00C53F2B" w:rsidRDefault="00C53F2B" w:rsidP="00C53F2B">
      <w:pPr>
        <w:tabs>
          <w:tab w:val="left" w:pos="1500"/>
        </w:tabs>
        <w:jc w:val="both"/>
        <w:rPr>
          <w:rFonts w:ascii="Arial" w:eastAsia="Arial" w:hAnsi="Arial" w:cs="Arial"/>
          <w:sz w:val="22"/>
          <w:szCs w:val="22"/>
        </w:rPr>
      </w:pPr>
      <w:r w:rsidRPr="00C53F2B">
        <w:rPr>
          <w:rFonts w:ascii="Arial" w:eastAsia="Arial" w:hAnsi="Arial" w:cs="Arial"/>
          <w:sz w:val="22"/>
          <w:szCs w:val="22"/>
        </w:rPr>
        <w:t>Under section 239, the liquidator must show:</w:t>
      </w:r>
    </w:p>
    <w:p w14:paraId="28191846" w14:textId="77777777" w:rsidR="00C53F2B" w:rsidRPr="00C53F2B" w:rsidRDefault="00C53F2B" w:rsidP="00C53F2B">
      <w:pPr>
        <w:tabs>
          <w:tab w:val="left" w:pos="1500"/>
        </w:tabs>
        <w:jc w:val="both"/>
        <w:rPr>
          <w:rFonts w:ascii="Arial" w:eastAsia="Arial" w:hAnsi="Arial" w:cs="Arial"/>
          <w:sz w:val="22"/>
          <w:szCs w:val="22"/>
        </w:rPr>
      </w:pPr>
    </w:p>
    <w:p w14:paraId="3D2B7A5D" w14:textId="77777777" w:rsidR="00C53F2B" w:rsidRPr="00C53F2B" w:rsidRDefault="00C53F2B" w:rsidP="00C53F2B">
      <w:pPr>
        <w:pStyle w:val="ListParagraph"/>
        <w:widowControl w:val="0"/>
        <w:numPr>
          <w:ilvl w:val="0"/>
          <w:numId w:val="12"/>
        </w:numPr>
        <w:tabs>
          <w:tab w:val="left" w:pos="1500"/>
        </w:tabs>
        <w:autoSpaceDE w:val="0"/>
        <w:autoSpaceDN w:val="0"/>
        <w:contextualSpacing w:val="0"/>
        <w:jc w:val="both"/>
        <w:rPr>
          <w:rFonts w:ascii="Arial" w:hAnsi="Arial" w:cs="Arial"/>
          <w:sz w:val="22"/>
          <w:szCs w:val="22"/>
        </w:rPr>
      </w:pPr>
      <w:r w:rsidRPr="00C53F2B">
        <w:rPr>
          <w:rFonts w:ascii="Arial" w:hAnsi="Arial" w:cs="Arial"/>
          <w:sz w:val="22"/>
          <w:szCs w:val="22"/>
        </w:rPr>
        <w:t>the person whom it is alleged has been preferred was, at the time of the</w:t>
      </w:r>
      <w:r w:rsidRPr="00C53F2B">
        <w:rPr>
          <w:rFonts w:ascii="Arial" w:hAnsi="Arial" w:cs="Arial"/>
          <w:spacing w:val="1"/>
          <w:sz w:val="22"/>
          <w:szCs w:val="22"/>
        </w:rPr>
        <w:t xml:space="preserve"> </w:t>
      </w:r>
      <w:r w:rsidRPr="00C53F2B">
        <w:rPr>
          <w:rFonts w:ascii="Arial" w:hAnsi="Arial" w:cs="Arial"/>
          <w:sz w:val="22"/>
          <w:szCs w:val="22"/>
        </w:rPr>
        <w:t>transaction, a creditor of the company.</w:t>
      </w:r>
    </w:p>
    <w:p w14:paraId="48021076" w14:textId="77777777" w:rsidR="00C53F2B" w:rsidRPr="00C53F2B" w:rsidRDefault="00C53F2B" w:rsidP="00C53F2B">
      <w:pPr>
        <w:pStyle w:val="ListParagraph"/>
        <w:tabs>
          <w:tab w:val="left" w:pos="1500"/>
        </w:tabs>
        <w:jc w:val="both"/>
        <w:rPr>
          <w:rFonts w:ascii="Arial" w:hAnsi="Arial" w:cs="Arial"/>
          <w:sz w:val="22"/>
          <w:szCs w:val="22"/>
        </w:rPr>
      </w:pPr>
    </w:p>
    <w:p w14:paraId="4EC8D6B6" w14:textId="6B2AEA34" w:rsidR="00C53F2B" w:rsidRPr="00C53F2B" w:rsidRDefault="00C53F2B" w:rsidP="00C53F2B">
      <w:pPr>
        <w:tabs>
          <w:tab w:val="left" w:pos="1500"/>
        </w:tabs>
        <w:jc w:val="both"/>
        <w:rPr>
          <w:rFonts w:ascii="Arial" w:hAnsi="Arial" w:cs="Arial"/>
          <w:sz w:val="22"/>
          <w:szCs w:val="22"/>
        </w:rPr>
      </w:pPr>
      <w:r w:rsidRPr="00C53F2B">
        <w:rPr>
          <w:rFonts w:ascii="Arial" w:hAnsi="Arial" w:cs="Arial"/>
          <w:sz w:val="22"/>
          <w:szCs w:val="22"/>
        </w:rPr>
        <w:t xml:space="preserve">Gary’s </w:t>
      </w:r>
      <w:r w:rsidR="00022D1C">
        <w:rPr>
          <w:rFonts w:ascii="Arial" w:hAnsi="Arial" w:cs="Arial"/>
          <w:sz w:val="22"/>
          <w:szCs w:val="22"/>
        </w:rPr>
        <w:t>G</w:t>
      </w:r>
      <w:r w:rsidRPr="00C53F2B">
        <w:rPr>
          <w:rFonts w:ascii="Arial" w:hAnsi="Arial" w:cs="Arial"/>
          <w:sz w:val="22"/>
          <w:szCs w:val="22"/>
        </w:rPr>
        <w:t xml:space="preserve">rapes </w:t>
      </w:r>
      <w:r w:rsidR="00022D1C">
        <w:rPr>
          <w:rFonts w:ascii="Arial" w:hAnsi="Arial" w:cs="Arial"/>
          <w:sz w:val="22"/>
          <w:szCs w:val="22"/>
        </w:rPr>
        <w:t>L</w:t>
      </w:r>
      <w:r w:rsidRPr="00C53F2B">
        <w:rPr>
          <w:rFonts w:ascii="Arial" w:hAnsi="Arial" w:cs="Arial"/>
          <w:sz w:val="22"/>
          <w:szCs w:val="22"/>
        </w:rPr>
        <w:t>imited was a creditor of Cork-In at the time of the transaction.</w:t>
      </w:r>
    </w:p>
    <w:p w14:paraId="123E4E12" w14:textId="65C4ED19" w:rsidR="00C53F2B" w:rsidRPr="00C53F2B" w:rsidRDefault="00C53F2B" w:rsidP="00C53F2B">
      <w:pPr>
        <w:tabs>
          <w:tab w:val="left" w:pos="1500"/>
        </w:tabs>
        <w:jc w:val="both"/>
        <w:rPr>
          <w:rFonts w:ascii="Arial" w:hAnsi="Arial" w:cs="Arial"/>
          <w:sz w:val="22"/>
          <w:szCs w:val="22"/>
        </w:rPr>
      </w:pPr>
      <w:r w:rsidRPr="00C53F2B">
        <w:rPr>
          <w:rFonts w:ascii="Arial" w:hAnsi="Arial" w:cs="Arial"/>
          <w:sz w:val="22"/>
          <w:szCs w:val="22"/>
        </w:rPr>
        <w:tab/>
      </w:r>
    </w:p>
    <w:p w14:paraId="7B45BBC9" w14:textId="77777777" w:rsidR="00C53F2B" w:rsidRPr="00C53F2B" w:rsidRDefault="00C53F2B" w:rsidP="00C53F2B">
      <w:pPr>
        <w:pStyle w:val="ListParagraph"/>
        <w:widowControl w:val="0"/>
        <w:numPr>
          <w:ilvl w:val="0"/>
          <w:numId w:val="12"/>
        </w:numPr>
        <w:tabs>
          <w:tab w:val="left" w:pos="1500"/>
        </w:tabs>
        <w:autoSpaceDE w:val="0"/>
        <w:autoSpaceDN w:val="0"/>
        <w:contextualSpacing w:val="0"/>
        <w:jc w:val="both"/>
        <w:rPr>
          <w:rFonts w:ascii="Arial" w:hAnsi="Arial" w:cs="Arial"/>
          <w:sz w:val="22"/>
          <w:szCs w:val="22"/>
        </w:rPr>
      </w:pPr>
      <w:r w:rsidRPr="00C53F2B">
        <w:rPr>
          <w:rFonts w:ascii="Arial" w:hAnsi="Arial" w:cs="Arial"/>
          <w:sz w:val="22"/>
          <w:szCs w:val="22"/>
        </w:rPr>
        <w:t>something was done, or suffered to be done, by the company which had the</w:t>
      </w:r>
      <w:r w:rsidRPr="00C53F2B">
        <w:rPr>
          <w:rFonts w:ascii="Arial" w:hAnsi="Arial" w:cs="Arial"/>
          <w:spacing w:val="1"/>
          <w:sz w:val="22"/>
          <w:szCs w:val="22"/>
        </w:rPr>
        <w:t xml:space="preserve"> </w:t>
      </w:r>
      <w:r w:rsidRPr="00C53F2B">
        <w:rPr>
          <w:rFonts w:ascii="Arial" w:hAnsi="Arial" w:cs="Arial"/>
          <w:sz w:val="22"/>
          <w:szCs w:val="22"/>
        </w:rPr>
        <w:t>effect of putting that person in a better position, in the event of the company</w:t>
      </w:r>
      <w:r w:rsidRPr="00C53F2B">
        <w:rPr>
          <w:rFonts w:ascii="Arial" w:hAnsi="Arial" w:cs="Arial"/>
          <w:spacing w:val="1"/>
          <w:sz w:val="22"/>
          <w:szCs w:val="22"/>
        </w:rPr>
        <w:t xml:space="preserve"> </w:t>
      </w:r>
      <w:r w:rsidRPr="00C53F2B">
        <w:rPr>
          <w:rFonts w:ascii="Arial" w:hAnsi="Arial" w:cs="Arial"/>
          <w:sz w:val="22"/>
          <w:szCs w:val="22"/>
        </w:rPr>
        <w:t>going into insolvent liquidation, than the position he or she would have been in if</w:t>
      </w:r>
      <w:r w:rsidRPr="00C53F2B">
        <w:rPr>
          <w:rFonts w:ascii="Arial" w:hAnsi="Arial" w:cs="Arial"/>
          <w:spacing w:val="-59"/>
          <w:sz w:val="22"/>
          <w:szCs w:val="22"/>
        </w:rPr>
        <w:t xml:space="preserve"> </w:t>
      </w:r>
      <w:r w:rsidRPr="00C53F2B">
        <w:rPr>
          <w:rFonts w:ascii="Arial" w:hAnsi="Arial" w:cs="Arial"/>
          <w:sz w:val="22"/>
          <w:szCs w:val="22"/>
        </w:rPr>
        <w:t>that</w:t>
      </w:r>
      <w:r w:rsidRPr="00C53F2B">
        <w:rPr>
          <w:rFonts w:ascii="Arial" w:hAnsi="Arial" w:cs="Arial"/>
          <w:spacing w:val="-3"/>
          <w:sz w:val="22"/>
          <w:szCs w:val="22"/>
        </w:rPr>
        <w:t xml:space="preserve"> </w:t>
      </w:r>
      <w:r w:rsidRPr="00C53F2B">
        <w:rPr>
          <w:rFonts w:ascii="Arial" w:hAnsi="Arial" w:cs="Arial"/>
          <w:sz w:val="22"/>
          <w:szCs w:val="22"/>
        </w:rPr>
        <w:t>thing</w:t>
      </w:r>
      <w:r w:rsidRPr="00C53F2B">
        <w:rPr>
          <w:rFonts w:ascii="Arial" w:hAnsi="Arial" w:cs="Arial"/>
          <w:spacing w:val="-2"/>
          <w:sz w:val="22"/>
          <w:szCs w:val="22"/>
        </w:rPr>
        <w:t xml:space="preserve"> </w:t>
      </w:r>
      <w:r w:rsidRPr="00C53F2B">
        <w:rPr>
          <w:rFonts w:ascii="Arial" w:hAnsi="Arial" w:cs="Arial"/>
          <w:sz w:val="22"/>
          <w:szCs w:val="22"/>
        </w:rPr>
        <w:t>had</w:t>
      </w:r>
      <w:r w:rsidRPr="00C53F2B">
        <w:rPr>
          <w:rFonts w:ascii="Arial" w:hAnsi="Arial" w:cs="Arial"/>
          <w:spacing w:val="-2"/>
          <w:sz w:val="22"/>
          <w:szCs w:val="22"/>
        </w:rPr>
        <w:t xml:space="preserve"> </w:t>
      </w:r>
      <w:r w:rsidRPr="00C53F2B">
        <w:rPr>
          <w:rFonts w:ascii="Arial" w:hAnsi="Arial" w:cs="Arial"/>
          <w:sz w:val="22"/>
          <w:szCs w:val="22"/>
        </w:rPr>
        <w:t>not</w:t>
      </w:r>
      <w:r w:rsidRPr="00C53F2B">
        <w:rPr>
          <w:rFonts w:ascii="Arial" w:hAnsi="Arial" w:cs="Arial"/>
          <w:spacing w:val="-2"/>
          <w:sz w:val="22"/>
          <w:szCs w:val="22"/>
        </w:rPr>
        <w:t xml:space="preserve"> </w:t>
      </w:r>
      <w:r w:rsidRPr="00C53F2B">
        <w:rPr>
          <w:rFonts w:ascii="Arial" w:hAnsi="Arial" w:cs="Arial"/>
          <w:sz w:val="22"/>
          <w:szCs w:val="22"/>
        </w:rPr>
        <w:t>been</w:t>
      </w:r>
      <w:r w:rsidRPr="00C53F2B">
        <w:rPr>
          <w:rFonts w:ascii="Arial" w:hAnsi="Arial" w:cs="Arial"/>
          <w:spacing w:val="-2"/>
          <w:sz w:val="22"/>
          <w:szCs w:val="22"/>
        </w:rPr>
        <w:t xml:space="preserve"> </w:t>
      </w:r>
      <w:r w:rsidRPr="00C53F2B">
        <w:rPr>
          <w:rFonts w:ascii="Arial" w:hAnsi="Arial" w:cs="Arial"/>
          <w:sz w:val="22"/>
          <w:szCs w:val="22"/>
        </w:rPr>
        <w:t>done</w:t>
      </w:r>
      <w:r w:rsidRPr="00C53F2B">
        <w:rPr>
          <w:rFonts w:ascii="Arial" w:hAnsi="Arial" w:cs="Arial"/>
          <w:spacing w:val="-2"/>
          <w:sz w:val="22"/>
          <w:szCs w:val="22"/>
        </w:rPr>
        <w:t xml:space="preserve"> </w:t>
      </w:r>
      <w:r w:rsidRPr="00C53F2B">
        <w:rPr>
          <w:rFonts w:ascii="Arial" w:hAnsi="Arial" w:cs="Arial"/>
          <w:sz w:val="22"/>
          <w:szCs w:val="22"/>
        </w:rPr>
        <w:t>(that</w:t>
      </w:r>
      <w:r w:rsidRPr="00C53F2B">
        <w:rPr>
          <w:rFonts w:ascii="Arial" w:hAnsi="Arial" w:cs="Arial"/>
          <w:spacing w:val="-2"/>
          <w:sz w:val="22"/>
          <w:szCs w:val="22"/>
        </w:rPr>
        <w:t xml:space="preserve"> </w:t>
      </w:r>
      <w:r w:rsidRPr="00C53F2B">
        <w:rPr>
          <w:rFonts w:ascii="Arial" w:hAnsi="Arial" w:cs="Arial"/>
          <w:sz w:val="22"/>
          <w:szCs w:val="22"/>
        </w:rPr>
        <w:t>is,</w:t>
      </w:r>
      <w:r w:rsidRPr="00C53F2B">
        <w:rPr>
          <w:rFonts w:ascii="Arial" w:hAnsi="Arial" w:cs="Arial"/>
          <w:spacing w:val="-2"/>
          <w:sz w:val="22"/>
          <w:szCs w:val="22"/>
        </w:rPr>
        <w:t xml:space="preserve"> </w:t>
      </w:r>
      <w:r w:rsidRPr="00C53F2B">
        <w:rPr>
          <w:rFonts w:ascii="Arial" w:hAnsi="Arial" w:cs="Arial"/>
          <w:sz w:val="22"/>
          <w:szCs w:val="22"/>
        </w:rPr>
        <w:t>that</w:t>
      </w:r>
      <w:r w:rsidRPr="00C53F2B">
        <w:rPr>
          <w:rFonts w:ascii="Arial" w:hAnsi="Arial" w:cs="Arial"/>
          <w:spacing w:val="-2"/>
          <w:sz w:val="22"/>
          <w:szCs w:val="22"/>
        </w:rPr>
        <w:t xml:space="preserve"> </w:t>
      </w:r>
      <w:r w:rsidRPr="00C53F2B">
        <w:rPr>
          <w:rFonts w:ascii="Arial" w:hAnsi="Arial" w:cs="Arial"/>
          <w:sz w:val="22"/>
          <w:szCs w:val="22"/>
        </w:rPr>
        <w:t>the</w:t>
      </w:r>
      <w:r w:rsidRPr="00C53F2B">
        <w:rPr>
          <w:rFonts w:ascii="Arial" w:hAnsi="Arial" w:cs="Arial"/>
          <w:spacing w:val="-2"/>
          <w:sz w:val="22"/>
          <w:szCs w:val="22"/>
        </w:rPr>
        <w:t xml:space="preserve"> </w:t>
      </w:r>
      <w:r w:rsidRPr="00C53F2B">
        <w:rPr>
          <w:rFonts w:ascii="Arial" w:hAnsi="Arial" w:cs="Arial"/>
          <w:sz w:val="22"/>
          <w:szCs w:val="22"/>
        </w:rPr>
        <w:t>person</w:t>
      </w:r>
      <w:r w:rsidRPr="00C53F2B">
        <w:rPr>
          <w:rFonts w:ascii="Arial" w:hAnsi="Arial" w:cs="Arial"/>
          <w:spacing w:val="-2"/>
          <w:sz w:val="22"/>
          <w:szCs w:val="22"/>
        </w:rPr>
        <w:t xml:space="preserve"> </w:t>
      </w:r>
      <w:r w:rsidRPr="00C53F2B">
        <w:rPr>
          <w:rFonts w:ascii="Arial" w:hAnsi="Arial" w:cs="Arial"/>
          <w:sz w:val="22"/>
          <w:szCs w:val="22"/>
        </w:rPr>
        <w:t>has</w:t>
      </w:r>
      <w:r w:rsidRPr="00C53F2B">
        <w:rPr>
          <w:rFonts w:ascii="Arial" w:hAnsi="Arial" w:cs="Arial"/>
          <w:spacing w:val="-2"/>
          <w:sz w:val="22"/>
          <w:szCs w:val="22"/>
        </w:rPr>
        <w:t xml:space="preserve"> </w:t>
      </w:r>
      <w:r w:rsidRPr="00C53F2B">
        <w:rPr>
          <w:rFonts w:ascii="Arial" w:hAnsi="Arial" w:cs="Arial"/>
          <w:sz w:val="22"/>
          <w:szCs w:val="22"/>
        </w:rPr>
        <w:t>been</w:t>
      </w:r>
      <w:r w:rsidRPr="00C53F2B">
        <w:rPr>
          <w:rFonts w:ascii="Arial" w:hAnsi="Arial" w:cs="Arial"/>
          <w:spacing w:val="-3"/>
          <w:sz w:val="22"/>
          <w:szCs w:val="22"/>
        </w:rPr>
        <w:t xml:space="preserve"> </w:t>
      </w:r>
      <w:r w:rsidRPr="00C53F2B">
        <w:rPr>
          <w:rFonts w:ascii="Arial" w:hAnsi="Arial" w:cs="Arial"/>
          <w:sz w:val="22"/>
          <w:szCs w:val="22"/>
        </w:rPr>
        <w:t>preferred);</w:t>
      </w:r>
    </w:p>
    <w:p w14:paraId="3D421783" w14:textId="77777777" w:rsidR="00C53F2B" w:rsidRPr="00C53F2B" w:rsidRDefault="00C53F2B" w:rsidP="00C53F2B">
      <w:pPr>
        <w:tabs>
          <w:tab w:val="left" w:pos="1500"/>
        </w:tabs>
        <w:jc w:val="both"/>
        <w:rPr>
          <w:rFonts w:ascii="Arial" w:hAnsi="Arial" w:cs="Arial"/>
          <w:sz w:val="22"/>
          <w:szCs w:val="22"/>
        </w:rPr>
      </w:pPr>
    </w:p>
    <w:p w14:paraId="2B8CE26B" w14:textId="3524A16F" w:rsidR="00C53F2B" w:rsidRPr="00C53F2B" w:rsidRDefault="00C53F2B" w:rsidP="00C53F2B">
      <w:pPr>
        <w:tabs>
          <w:tab w:val="left" w:pos="1500"/>
        </w:tabs>
        <w:jc w:val="both"/>
        <w:rPr>
          <w:rFonts w:ascii="Arial" w:hAnsi="Arial" w:cs="Arial"/>
          <w:sz w:val="22"/>
          <w:szCs w:val="22"/>
        </w:rPr>
      </w:pPr>
      <w:r w:rsidRPr="00C53F2B">
        <w:rPr>
          <w:rFonts w:ascii="Arial" w:eastAsiaTheme="minorHAnsi" w:hAnsi="Arial" w:cs="Arial"/>
          <w:sz w:val="22"/>
          <w:szCs w:val="22"/>
        </w:rPr>
        <w:t xml:space="preserve">The director of Cork-In, Paul Watson, paid to Gary’s </w:t>
      </w:r>
      <w:r w:rsidR="00022D1C">
        <w:rPr>
          <w:rFonts w:ascii="Arial" w:eastAsiaTheme="minorHAnsi" w:hAnsi="Arial" w:cs="Arial"/>
          <w:sz w:val="22"/>
          <w:szCs w:val="22"/>
        </w:rPr>
        <w:t>G</w:t>
      </w:r>
      <w:r w:rsidRPr="00C53F2B">
        <w:rPr>
          <w:rFonts w:ascii="Arial" w:eastAsiaTheme="minorHAnsi" w:hAnsi="Arial" w:cs="Arial"/>
          <w:sz w:val="22"/>
          <w:szCs w:val="22"/>
        </w:rPr>
        <w:t xml:space="preserve">rapes </w:t>
      </w:r>
      <w:r w:rsidR="00022D1C">
        <w:rPr>
          <w:rFonts w:ascii="Arial" w:eastAsiaTheme="minorHAnsi" w:hAnsi="Arial" w:cs="Arial"/>
          <w:sz w:val="22"/>
          <w:szCs w:val="22"/>
        </w:rPr>
        <w:t>L</w:t>
      </w:r>
      <w:r w:rsidRPr="00C53F2B">
        <w:rPr>
          <w:rFonts w:ascii="Arial" w:eastAsiaTheme="minorHAnsi" w:hAnsi="Arial" w:cs="Arial"/>
          <w:sz w:val="22"/>
          <w:szCs w:val="22"/>
        </w:rPr>
        <w:t>imited all invoices even those that had not become payable, in this case, the insolvent company granted the creditor this preference in relation to the rest of the debtor´s creditors.</w:t>
      </w:r>
      <w:r w:rsidRPr="00C53F2B">
        <w:rPr>
          <w:rFonts w:ascii="Arial" w:hAnsi="Arial" w:cs="Arial"/>
          <w:sz w:val="22"/>
          <w:szCs w:val="22"/>
        </w:rPr>
        <w:t xml:space="preserve"> </w:t>
      </w:r>
    </w:p>
    <w:p w14:paraId="65627972" w14:textId="77777777" w:rsidR="00C53F2B" w:rsidRPr="00C53F2B" w:rsidRDefault="00C53F2B" w:rsidP="00C53F2B">
      <w:pPr>
        <w:tabs>
          <w:tab w:val="left" w:pos="1500"/>
        </w:tabs>
        <w:jc w:val="both"/>
        <w:rPr>
          <w:rFonts w:ascii="Arial" w:hAnsi="Arial" w:cs="Arial"/>
          <w:sz w:val="22"/>
          <w:szCs w:val="22"/>
        </w:rPr>
      </w:pPr>
    </w:p>
    <w:p w14:paraId="56D6F6F1" w14:textId="77777777" w:rsidR="00C53F2B" w:rsidRPr="00C53F2B" w:rsidRDefault="00C53F2B" w:rsidP="00C53F2B">
      <w:pPr>
        <w:pStyle w:val="ListParagraph"/>
        <w:widowControl w:val="0"/>
        <w:numPr>
          <w:ilvl w:val="0"/>
          <w:numId w:val="12"/>
        </w:numPr>
        <w:tabs>
          <w:tab w:val="left" w:pos="1500"/>
        </w:tabs>
        <w:autoSpaceDE w:val="0"/>
        <w:autoSpaceDN w:val="0"/>
        <w:contextualSpacing w:val="0"/>
        <w:jc w:val="both"/>
        <w:rPr>
          <w:rFonts w:ascii="Arial" w:hAnsi="Arial" w:cs="Arial"/>
          <w:sz w:val="22"/>
          <w:szCs w:val="22"/>
        </w:rPr>
      </w:pPr>
      <w:r w:rsidRPr="00C53F2B">
        <w:rPr>
          <w:rFonts w:ascii="Arial" w:hAnsi="Arial" w:cs="Arial"/>
          <w:sz w:val="22"/>
          <w:szCs w:val="22"/>
        </w:rPr>
        <w:t>the company was, in giving the preference, influenced by a desire to produce the</w:t>
      </w:r>
      <w:r w:rsidRPr="00C53F2B">
        <w:rPr>
          <w:rFonts w:ascii="Arial" w:hAnsi="Arial" w:cs="Arial"/>
          <w:spacing w:val="-59"/>
          <w:sz w:val="22"/>
          <w:szCs w:val="22"/>
        </w:rPr>
        <w:t xml:space="preserve"> </w:t>
      </w:r>
      <w:r w:rsidRPr="00C53F2B">
        <w:rPr>
          <w:rFonts w:ascii="Arial" w:hAnsi="Arial" w:cs="Arial"/>
          <w:sz w:val="22"/>
          <w:szCs w:val="22"/>
        </w:rPr>
        <w:t>effect referred to in (b) above (the desire to prefer) in relation to the person</w:t>
      </w:r>
      <w:r w:rsidRPr="00C53F2B">
        <w:rPr>
          <w:rFonts w:ascii="Arial" w:hAnsi="Arial" w:cs="Arial"/>
          <w:spacing w:val="1"/>
          <w:sz w:val="22"/>
          <w:szCs w:val="22"/>
        </w:rPr>
        <w:t xml:space="preserve"> </w:t>
      </w:r>
      <w:r w:rsidRPr="00C53F2B">
        <w:rPr>
          <w:rFonts w:ascii="Arial" w:hAnsi="Arial" w:cs="Arial"/>
          <w:sz w:val="22"/>
          <w:szCs w:val="22"/>
        </w:rPr>
        <w:t>preferred;</w:t>
      </w:r>
      <w:r w:rsidRPr="00C53F2B">
        <w:rPr>
          <w:rFonts w:ascii="Arial" w:hAnsi="Arial" w:cs="Arial"/>
          <w:spacing w:val="-2"/>
          <w:sz w:val="22"/>
          <w:szCs w:val="22"/>
        </w:rPr>
        <w:t xml:space="preserve"> </w:t>
      </w:r>
      <w:r w:rsidRPr="00C53F2B">
        <w:rPr>
          <w:rFonts w:ascii="Arial" w:hAnsi="Arial" w:cs="Arial"/>
          <w:sz w:val="22"/>
          <w:szCs w:val="22"/>
        </w:rPr>
        <w:t>and,</w:t>
      </w:r>
    </w:p>
    <w:p w14:paraId="0FCC4DC0" w14:textId="77777777" w:rsidR="00C53F2B" w:rsidRPr="00C53F2B" w:rsidRDefault="00C53F2B" w:rsidP="00C53F2B">
      <w:pPr>
        <w:pStyle w:val="ListParagraph"/>
        <w:jc w:val="both"/>
        <w:rPr>
          <w:rFonts w:ascii="Arial" w:hAnsi="Arial" w:cs="Arial"/>
          <w:sz w:val="22"/>
          <w:szCs w:val="22"/>
        </w:rPr>
      </w:pPr>
    </w:p>
    <w:p w14:paraId="2BCF7C31" w14:textId="0DDA006E" w:rsidR="00C53F2B" w:rsidRPr="00C53F2B" w:rsidRDefault="00C53F2B" w:rsidP="00C53F2B">
      <w:pPr>
        <w:jc w:val="both"/>
        <w:rPr>
          <w:rFonts w:ascii="Arial" w:hAnsi="Arial" w:cs="Arial"/>
          <w:sz w:val="22"/>
          <w:szCs w:val="22"/>
        </w:rPr>
      </w:pPr>
      <w:r w:rsidRPr="00C53F2B">
        <w:rPr>
          <w:rFonts w:ascii="Arial" w:hAnsi="Arial" w:cs="Arial"/>
          <w:sz w:val="22"/>
          <w:szCs w:val="22"/>
        </w:rPr>
        <w:t>I know that pressure was applied by the creditor (cutting off the supplies) is not relevant but pressure should be considered relevant only to whether there</w:t>
      </w:r>
      <w:r w:rsidRPr="00C53F2B">
        <w:rPr>
          <w:rFonts w:ascii="Arial" w:hAnsi="Arial" w:cs="Arial"/>
          <w:spacing w:val="-2"/>
          <w:sz w:val="22"/>
          <w:szCs w:val="22"/>
        </w:rPr>
        <w:t xml:space="preserve"> </w:t>
      </w:r>
      <w:r w:rsidRPr="00C53F2B">
        <w:rPr>
          <w:rFonts w:ascii="Arial" w:hAnsi="Arial" w:cs="Arial"/>
          <w:sz w:val="22"/>
          <w:szCs w:val="22"/>
        </w:rPr>
        <w:t>is</w:t>
      </w:r>
      <w:r w:rsidRPr="00C53F2B">
        <w:rPr>
          <w:rFonts w:ascii="Arial" w:hAnsi="Arial" w:cs="Arial"/>
          <w:spacing w:val="-1"/>
          <w:sz w:val="22"/>
          <w:szCs w:val="22"/>
        </w:rPr>
        <w:t xml:space="preserve"> </w:t>
      </w:r>
      <w:r w:rsidRPr="00C53F2B">
        <w:rPr>
          <w:rFonts w:ascii="Arial" w:hAnsi="Arial" w:cs="Arial"/>
          <w:sz w:val="22"/>
          <w:szCs w:val="22"/>
        </w:rPr>
        <w:t>the</w:t>
      </w:r>
      <w:r w:rsidRPr="00C53F2B">
        <w:rPr>
          <w:rFonts w:ascii="Arial" w:hAnsi="Arial" w:cs="Arial"/>
          <w:spacing w:val="-1"/>
          <w:sz w:val="22"/>
          <w:szCs w:val="22"/>
        </w:rPr>
        <w:t xml:space="preserve"> </w:t>
      </w:r>
      <w:r w:rsidRPr="00C53F2B">
        <w:rPr>
          <w:rFonts w:ascii="Arial" w:hAnsi="Arial" w:cs="Arial"/>
          <w:sz w:val="22"/>
          <w:szCs w:val="22"/>
        </w:rPr>
        <w:t>requisite</w:t>
      </w:r>
      <w:r w:rsidRPr="00C53F2B">
        <w:rPr>
          <w:rFonts w:ascii="Arial" w:hAnsi="Arial" w:cs="Arial"/>
          <w:spacing w:val="-1"/>
          <w:sz w:val="22"/>
          <w:szCs w:val="22"/>
        </w:rPr>
        <w:t xml:space="preserve"> </w:t>
      </w:r>
      <w:r w:rsidRPr="00C53F2B">
        <w:rPr>
          <w:rFonts w:ascii="Arial" w:hAnsi="Arial" w:cs="Arial"/>
          <w:sz w:val="22"/>
          <w:szCs w:val="22"/>
        </w:rPr>
        <w:t>desire.</w:t>
      </w:r>
    </w:p>
    <w:p w14:paraId="7F4F32A8" w14:textId="77777777" w:rsidR="00C53F2B" w:rsidRPr="00C53F2B" w:rsidRDefault="00C53F2B" w:rsidP="00C53F2B">
      <w:pPr>
        <w:jc w:val="both"/>
        <w:rPr>
          <w:rFonts w:ascii="Arial" w:hAnsi="Arial" w:cs="Arial"/>
          <w:sz w:val="22"/>
          <w:szCs w:val="22"/>
        </w:rPr>
      </w:pPr>
    </w:p>
    <w:p w14:paraId="51DC3B8B" w14:textId="1C5747CD" w:rsidR="00C53F2B" w:rsidRPr="00C53F2B" w:rsidRDefault="00C53F2B" w:rsidP="00C53F2B">
      <w:pPr>
        <w:jc w:val="both"/>
        <w:rPr>
          <w:rFonts w:ascii="Arial" w:hAnsi="Arial" w:cs="Arial"/>
          <w:sz w:val="22"/>
          <w:szCs w:val="22"/>
        </w:rPr>
      </w:pPr>
      <w:r w:rsidRPr="00C53F2B">
        <w:rPr>
          <w:rFonts w:ascii="Arial" w:hAnsi="Arial" w:cs="Arial"/>
          <w:sz w:val="22"/>
          <w:szCs w:val="22"/>
        </w:rPr>
        <w:t>The director of Cork-In, Paul Watson, paid to Gary’s grapes limited all invoices even those that had not become payable, in this case, the insolvent company granted the creditor this preference in relation to the rest of the debtor´s creditors.</w:t>
      </w:r>
    </w:p>
    <w:p w14:paraId="5B6A452F" w14:textId="77777777" w:rsidR="00C53F2B" w:rsidRPr="00C53F2B" w:rsidRDefault="00C53F2B" w:rsidP="00C53F2B">
      <w:pPr>
        <w:jc w:val="both"/>
        <w:rPr>
          <w:rFonts w:ascii="Arial" w:hAnsi="Arial" w:cs="Arial"/>
          <w:sz w:val="22"/>
          <w:szCs w:val="22"/>
        </w:rPr>
      </w:pPr>
    </w:p>
    <w:p w14:paraId="08E511E0" w14:textId="16ED0161" w:rsidR="00C53F2B" w:rsidRPr="00C53F2B" w:rsidRDefault="00C53F2B" w:rsidP="00C53F2B">
      <w:pPr>
        <w:jc w:val="both"/>
        <w:rPr>
          <w:rFonts w:ascii="Arial" w:hAnsi="Arial" w:cs="Arial"/>
          <w:sz w:val="22"/>
          <w:szCs w:val="22"/>
        </w:rPr>
      </w:pPr>
      <w:r w:rsidRPr="00C53F2B">
        <w:rPr>
          <w:rFonts w:ascii="Arial" w:hAnsi="Arial" w:cs="Arial"/>
          <w:sz w:val="22"/>
          <w:szCs w:val="22"/>
        </w:rPr>
        <w:lastRenderedPageBreak/>
        <w:t>In court decisions such as Re MC Bacon Ltd, it has been held that where the company was influenced solely by commercial considerations, specifically attempts to ensure that the company continued trading, there could be no desire to prefer. However, in the case of question 4, the creditor did not push Cork-In in order to grant it a preference. Conversely, the director of the company thought that the supplier would cut off the supplies if the company, so I strongly believe that the debtor always had the desire to grant this preference.</w:t>
      </w:r>
    </w:p>
    <w:p w14:paraId="1D5AAFE5" w14:textId="77777777" w:rsidR="00C53F2B" w:rsidRPr="00C53F2B" w:rsidRDefault="00C53F2B" w:rsidP="00C53F2B">
      <w:pPr>
        <w:jc w:val="both"/>
        <w:rPr>
          <w:rFonts w:ascii="Arial" w:hAnsi="Arial" w:cs="Arial"/>
          <w:sz w:val="22"/>
          <w:szCs w:val="22"/>
        </w:rPr>
      </w:pPr>
    </w:p>
    <w:p w14:paraId="56EB71B3" w14:textId="3B1AACDF" w:rsidR="00C53F2B" w:rsidRPr="00C53F2B" w:rsidRDefault="00C53F2B" w:rsidP="00C53F2B">
      <w:pPr>
        <w:jc w:val="both"/>
        <w:rPr>
          <w:rFonts w:ascii="Arial" w:hAnsi="Arial" w:cs="Arial"/>
          <w:sz w:val="22"/>
          <w:szCs w:val="22"/>
        </w:rPr>
      </w:pPr>
      <w:r w:rsidRPr="00C53F2B">
        <w:rPr>
          <w:rFonts w:ascii="Arial" w:hAnsi="Arial" w:cs="Arial"/>
          <w:sz w:val="22"/>
          <w:szCs w:val="22"/>
        </w:rPr>
        <w:t>In the ordinary course of business, any director would pay invoices not become payable except when he or she desires to grant a preference in relation to other creditors.</w:t>
      </w:r>
    </w:p>
    <w:p w14:paraId="0966C833" w14:textId="77777777" w:rsidR="00C53F2B" w:rsidRPr="00C53F2B" w:rsidRDefault="00C53F2B" w:rsidP="00C53F2B">
      <w:pPr>
        <w:jc w:val="both"/>
        <w:rPr>
          <w:rFonts w:ascii="Arial" w:hAnsi="Arial" w:cs="Arial"/>
          <w:sz w:val="22"/>
          <w:szCs w:val="22"/>
        </w:rPr>
      </w:pPr>
    </w:p>
    <w:p w14:paraId="2175CA21" w14:textId="77777777" w:rsidR="00C53F2B" w:rsidRPr="00C53F2B" w:rsidRDefault="00C53F2B" w:rsidP="00C53F2B">
      <w:pPr>
        <w:pStyle w:val="ListParagraph"/>
        <w:widowControl w:val="0"/>
        <w:numPr>
          <w:ilvl w:val="0"/>
          <w:numId w:val="12"/>
        </w:numPr>
        <w:tabs>
          <w:tab w:val="left" w:pos="1500"/>
        </w:tabs>
        <w:autoSpaceDE w:val="0"/>
        <w:autoSpaceDN w:val="0"/>
        <w:contextualSpacing w:val="0"/>
        <w:jc w:val="both"/>
        <w:rPr>
          <w:rFonts w:ascii="Arial" w:hAnsi="Arial" w:cs="Arial"/>
          <w:sz w:val="22"/>
          <w:szCs w:val="22"/>
        </w:rPr>
      </w:pPr>
      <w:r w:rsidRPr="00C53F2B">
        <w:rPr>
          <w:rFonts w:ascii="Arial" w:hAnsi="Arial" w:cs="Arial"/>
          <w:sz w:val="22"/>
          <w:szCs w:val="22"/>
        </w:rPr>
        <w:t>the</w:t>
      </w:r>
      <w:r w:rsidRPr="00C53F2B">
        <w:rPr>
          <w:rFonts w:ascii="Arial" w:hAnsi="Arial" w:cs="Arial"/>
          <w:spacing w:val="-3"/>
          <w:sz w:val="22"/>
          <w:szCs w:val="22"/>
        </w:rPr>
        <w:t xml:space="preserve"> </w:t>
      </w:r>
      <w:r w:rsidRPr="00C53F2B">
        <w:rPr>
          <w:rFonts w:ascii="Arial" w:hAnsi="Arial" w:cs="Arial"/>
          <w:sz w:val="22"/>
          <w:szCs w:val="22"/>
        </w:rPr>
        <w:t>preference</w:t>
      </w:r>
      <w:r w:rsidRPr="00C53F2B">
        <w:rPr>
          <w:rFonts w:ascii="Arial" w:hAnsi="Arial" w:cs="Arial"/>
          <w:spacing w:val="-3"/>
          <w:sz w:val="22"/>
          <w:szCs w:val="22"/>
        </w:rPr>
        <w:t xml:space="preserve"> </w:t>
      </w:r>
      <w:r w:rsidRPr="00C53F2B">
        <w:rPr>
          <w:rFonts w:ascii="Arial" w:hAnsi="Arial" w:cs="Arial"/>
          <w:sz w:val="22"/>
          <w:szCs w:val="22"/>
        </w:rPr>
        <w:t>was</w:t>
      </w:r>
      <w:r w:rsidRPr="00C53F2B">
        <w:rPr>
          <w:rFonts w:ascii="Arial" w:hAnsi="Arial" w:cs="Arial"/>
          <w:spacing w:val="-3"/>
          <w:sz w:val="22"/>
          <w:szCs w:val="22"/>
        </w:rPr>
        <w:t xml:space="preserve"> </w:t>
      </w:r>
      <w:r w:rsidRPr="00C53F2B">
        <w:rPr>
          <w:rFonts w:ascii="Arial" w:hAnsi="Arial" w:cs="Arial"/>
          <w:sz w:val="22"/>
          <w:szCs w:val="22"/>
        </w:rPr>
        <w:t>given</w:t>
      </w:r>
      <w:r w:rsidRPr="00C53F2B">
        <w:rPr>
          <w:rFonts w:ascii="Arial" w:hAnsi="Arial" w:cs="Arial"/>
          <w:spacing w:val="-2"/>
          <w:sz w:val="22"/>
          <w:szCs w:val="22"/>
        </w:rPr>
        <w:t xml:space="preserve"> </w:t>
      </w:r>
      <w:r w:rsidRPr="00C53F2B">
        <w:rPr>
          <w:rFonts w:ascii="Arial" w:hAnsi="Arial" w:cs="Arial"/>
          <w:sz w:val="22"/>
          <w:szCs w:val="22"/>
        </w:rPr>
        <w:t>at</w:t>
      </w:r>
      <w:r w:rsidRPr="00C53F2B">
        <w:rPr>
          <w:rFonts w:ascii="Arial" w:hAnsi="Arial" w:cs="Arial"/>
          <w:spacing w:val="-3"/>
          <w:sz w:val="22"/>
          <w:szCs w:val="22"/>
        </w:rPr>
        <w:t xml:space="preserve"> </w:t>
      </w:r>
      <w:r w:rsidRPr="00C53F2B">
        <w:rPr>
          <w:rFonts w:ascii="Arial" w:hAnsi="Arial" w:cs="Arial"/>
          <w:sz w:val="22"/>
          <w:szCs w:val="22"/>
        </w:rPr>
        <w:t>a</w:t>
      </w:r>
      <w:r w:rsidRPr="00C53F2B">
        <w:rPr>
          <w:rFonts w:ascii="Arial" w:hAnsi="Arial" w:cs="Arial"/>
          <w:spacing w:val="-3"/>
          <w:sz w:val="22"/>
          <w:szCs w:val="22"/>
        </w:rPr>
        <w:t xml:space="preserve"> </w:t>
      </w:r>
      <w:r w:rsidRPr="00C53F2B">
        <w:rPr>
          <w:rFonts w:ascii="Arial" w:hAnsi="Arial" w:cs="Arial"/>
          <w:sz w:val="22"/>
          <w:szCs w:val="22"/>
        </w:rPr>
        <w:t>relevant</w:t>
      </w:r>
      <w:r w:rsidRPr="00C53F2B">
        <w:rPr>
          <w:rFonts w:ascii="Arial" w:hAnsi="Arial" w:cs="Arial"/>
          <w:spacing w:val="-2"/>
          <w:sz w:val="22"/>
          <w:szCs w:val="22"/>
        </w:rPr>
        <w:t xml:space="preserve"> </w:t>
      </w:r>
      <w:r w:rsidRPr="00C53F2B">
        <w:rPr>
          <w:rFonts w:ascii="Arial" w:hAnsi="Arial" w:cs="Arial"/>
          <w:sz w:val="22"/>
          <w:szCs w:val="22"/>
        </w:rPr>
        <w:t>time.</w:t>
      </w:r>
    </w:p>
    <w:p w14:paraId="3ED80F42" w14:textId="77777777" w:rsidR="00C53F2B" w:rsidRPr="00C53F2B" w:rsidRDefault="00C53F2B" w:rsidP="00C53F2B">
      <w:pPr>
        <w:pStyle w:val="ListParagraph"/>
        <w:jc w:val="both"/>
        <w:rPr>
          <w:rFonts w:ascii="Arial" w:hAnsi="Arial" w:cs="Arial"/>
          <w:sz w:val="22"/>
          <w:szCs w:val="22"/>
        </w:rPr>
      </w:pPr>
    </w:p>
    <w:p w14:paraId="01CE2475" w14:textId="77777777" w:rsidR="00C53F2B" w:rsidRPr="00C53F2B" w:rsidRDefault="00C53F2B" w:rsidP="00C53F2B">
      <w:pPr>
        <w:tabs>
          <w:tab w:val="left" w:pos="1500"/>
        </w:tabs>
        <w:jc w:val="both"/>
        <w:rPr>
          <w:rFonts w:ascii="Arial" w:hAnsi="Arial" w:cs="Arial"/>
          <w:sz w:val="22"/>
          <w:szCs w:val="22"/>
        </w:rPr>
      </w:pPr>
      <w:r w:rsidRPr="00C53F2B">
        <w:rPr>
          <w:rFonts w:ascii="Arial" w:hAnsi="Arial" w:cs="Arial"/>
          <w:sz w:val="22"/>
          <w:szCs w:val="22"/>
        </w:rPr>
        <w:t xml:space="preserve">Gary’s grapes limited was a not connected creditor to the company, the transaction could be attacked within six months prior to the onset of insolvency and the payment was made one month before that. </w:t>
      </w:r>
    </w:p>
    <w:p w14:paraId="6F7D7352" w14:textId="77777777" w:rsidR="00C53F2B" w:rsidRPr="00C53F2B" w:rsidRDefault="00C53F2B" w:rsidP="00C53F2B">
      <w:pPr>
        <w:autoSpaceDE w:val="0"/>
        <w:autoSpaceDN w:val="0"/>
        <w:adjustRightInd w:val="0"/>
        <w:jc w:val="both"/>
        <w:rPr>
          <w:rFonts w:ascii="Arial" w:eastAsia="Arial" w:hAnsi="Arial" w:cs="Arial"/>
          <w:sz w:val="22"/>
          <w:szCs w:val="22"/>
        </w:rPr>
      </w:pPr>
    </w:p>
    <w:p w14:paraId="70C6A8B6" w14:textId="471AF031" w:rsidR="00126A4D" w:rsidRPr="00C53F2B" w:rsidRDefault="00C53F2B" w:rsidP="00C53F2B">
      <w:pPr>
        <w:autoSpaceDE w:val="0"/>
        <w:autoSpaceDN w:val="0"/>
        <w:adjustRightInd w:val="0"/>
        <w:jc w:val="both"/>
        <w:rPr>
          <w:rFonts w:ascii="Arial" w:hAnsi="Arial" w:cs="Arial"/>
          <w:sz w:val="22"/>
          <w:szCs w:val="22"/>
          <w:lang w:val="en-GB"/>
        </w:rPr>
      </w:pPr>
      <w:r w:rsidRPr="00C53F2B">
        <w:rPr>
          <w:rFonts w:ascii="Arial" w:eastAsia="Arial" w:hAnsi="Arial" w:cs="Arial"/>
          <w:sz w:val="22"/>
          <w:szCs w:val="22"/>
        </w:rPr>
        <w:t>In conclusion, this transaction accomplishes all requirements to be attacked at preferences.</w:t>
      </w:r>
      <w:r w:rsidRPr="00C53F2B">
        <w:rPr>
          <w:rFonts w:ascii="Arial" w:eastAsia="Arial" w:hAnsi="Arial" w:cs="Arial"/>
          <w:b/>
          <w:bCs/>
          <w:sz w:val="22"/>
          <w:szCs w:val="22"/>
        </w:rPr>
        <w:t xml:space="preserve">                                                                                                            </w:t>
      </w: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5852" w14:textId="77777777" w:rsidR="00C548DB" w:rsidRDefault="00C548DB" w:rsidP="00241B44">
      <w:r>
        <w:separator/>
      </w:r>
    </w:p>
  </w:endnote>
  <w:endnote w:type="continuationSeparator" w:id="0">
    <w:p w14:paraId="09A6D4E1" w14:textId="77777777" w:rsidR="00C548DB" w:rsidRDefault="00C548D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506DE1F"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01D7D">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2B0AC68C" w:rsidR="00241FA3" w:rsidRPr="009B4976" w:rsidRDefault="00663D93" w:rsidP="009B4976">
    <w:pPr>
      <w:pStyle w:val="Footer"/>
      <w:ind w:right="360"/>
      <w:rPr>
        <w:rFonts w:ascii="Arial" w:hAnsi="Arial" w:cs="Arial"/>
        <w:sz w:val="18"/>
        <w:szCs w:val="18"/>
        <w:lang w:val="en-GB"/>
      </w:rPr>
    </w:pPr>
    <w:r w:rsidRPr="00663D93">
      <w:rPr>
        <w:rFonts w:ascii="Arial" w:hAnsi="Arial" w:cs="Arial"/>
        <w:sz w:val="18"/>
        <w:szCs w:val="18"/>
        <w:lang w:val="en-GB"/>
      </w:rPr>
      <w:t>202021IFU-211</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F6D6" w14:textId="77777777" w:rsidR="00C548DB" w:rsidRDefault="00C548DB" w:rsidP="00241B44">
      <w:r>
        <w:separator/>
      </w:r>
    </w:p>
  </w:footnote>
  <w:footnote w:type="continuationSeparator" w:id="0">
    <w:p w14:paraId="61EC6658" w14:textId="77777777" w:rsidR="00C548DB" w:rsidRDefault="00C548D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46096"/>
    <w:multiLevelType w:val="hybridMultilevel"/>
    <w:tmpl w:val="80023070"/>
    <w:lvl w:ilvl="0" w:tplc="1382C030">
      <w:start w:val="1"/>
      <w:numFmt w:val="lowerLetter"/>
      <w:lvlText w:val="(%1)"/>
      <w:lvlJc w:val="left"/>
      <w:pPr>
        <w:ind w:left="720" w:hanging="360"/>
      </w:pPr>
      <w:rPr>
        <w:rFonts w:ascii="Arial" w:eastAsia="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B615D5"/>
    <w:multiLevelType w:val="hybridMultilevel"/>
    <w:tmpl w:val="D09A4B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8"/>
  </w:num>
  <w:num w:numId="6">
    <w:abstractNumId w:val="2"/>
  </w:num>
  <w:num w:numId="7">
    <w:abstractNumId w:val="9"/>
  </w:num>
  <w:num w:numId="8">
    <w:abstractNumId w:val="10"/>
  </w:num>
  <w:num w:numId="9">
    <w:abstractNumId w:val="7"/>
  </w:num>
  <w:num w:numId="10">
    <w:abstractNumId w:val="11"/>
  </w:num>
  <w:num w:numId="11">
    <w:abstractNumId w:val="5"/>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D1C"/>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84B9A"/>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D0A6D"/>
    <w:rsid w:val="003E0B16"/>
    <w:rsid w:val="003E67D1"/>
    <w:rsid w:val="00401E8C"/>
    <w:rsid w:val="00404329"/>
    <w:rsid w:val="00405DC1"/>
    <w:rsid w:val="00415F1F"/>
    <w:rsid w:val="0042108F"/>
    <w:rsid w:val="00430FED"/>
    <w:rsid w:val="00434A8C"/>
    <w:rsid w:val="00437297"/>
    <w:rsid w:val="00444284"/>
    <w:rsid w:val="00445CE6"/>
    <w:rsid w:val="004534C2"/>
    <w:rsid w:val="0045446F"/>
    <w:rsid w:val="0045683E"/>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1068"/>
    <w:rsid w:val="004F5FDF"/>
    <w:rsid w:val="005177FE"/>
    <w:rsid w:val="0052263B"/>
    <w:rsid w:val="00524728"/>
    <w:rsid w:val="005331CA"/>
    <w:rsid w:val="00534916"/>
    <w:rsid w:val="00537970"/>
    <w:rsid w:val="00540E3A"/>
    <w:rsid w:val="00541A27"/>
    <w:rsid w:val="00544127"/>
    <w:rsid w:val="005463A9"/>
    <w:rsid w:val="00553EB2"/>
    <w:rsid w:val="00560534"/>
    <w:rsid w:val="0056391B"/>
    <w:rsid w:val="005650E2"/>
    <w:rsid w:val="00567AD7"/>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467AF"/>
    <w:rsid w:val="00654C2F"/>
    <w:rsid w:val="00657087"/>
    <w:rsid w:val="006639DB"/>
    <w:rsid w:val="00663D93"/>
    <w:rsid w:val="006661EF"/>
    <w:rsid w:val="00677AEB"/>
    <w:rsid w:val="00680EF2"/>
    <w:rsid w:val="00687A1D"/>
    <w:rsid w:val="00696716"/>
    <w:rsid w:val="00697EA1"/>
    <w:rsid w:val="006A2646"/>
    <w:rsid w:val="006A6530"/>
    <w:rsid w:val="006B435A"/>
    <w:rsid w:val="006B4C64"/>
    <w:rsid w:val="006D282B"/>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6BA4"/>
    <w:rsid w:val="007F41F8"/>
    <w:rsid w:val="007F659B"/>
    <w:rsid w:val="0080454E"/>
    <w:rsid w:val="00804C32"/>
    <w:rsid w:val="00806302"/>
    <w:rsid w:val="00807119"/>
    <w:rsid w:val="0082483F"/>
    <w:rsid w:val="008279C0"/>
    <w:rsid w:val="00867701"/>
    <w:rsid w:val="0087027E"/>
    <w:rsid w:val="008723F3"/>
    <w:rsid w:val="00876F56"/>
    <w:rsid w:val="00881DE6"/>
    <w:rsid w:val="008837A6"/>
    <w:rsid w:val="0089145D"/>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F228E"/>
    <w:rsid w:val="00B016A8"/>
    <w:rsid w:val="00B04033"/>
    <w:rsid w:val="00B14819"/>
    <w:rsid w:val="00B15E2F"/>
    <w:rsid w:val="00B17AA9"/>
    <w:rsid w:val="00B31497"/>
    <w:rsid w:val="00B32533"/>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04AE4"/>
    <w:rsid w:val="00C17718"/>
    <w:rsid w:val="00C20AFE"/>
    <w:rsid w:val="00C22A25"/>
    <w:rsid w:val="00C35671"/>
    <w:rsid w:val="00C35B77"/>
    <w:rsid w:val="00C376EB"/>
    <w:rsid w:val="00C46A92"/>
    <w:rsid w:val="00C46EC1"/>
    <w:rsid w:val="00C52796"/>
    <w:rsid w:val="00C53E2C"/>
    <w:rsid w:val="00C53F2B"/>
    <w:rsid w:val="00C546D9"/>
    <w:rsid w:val="00C548DB"/>
    <w:rsid w:val="00C550C8"/>
    <w:rsid w:val="00C55824"/>
    <w:rsid w:val="00C56B61"/>
    <w:rsid w:val="00C606C3"/>
    <w:rsid w:val="00C620F4"/>
    <w:rsid w:val="00C72848"/>
    <w:rsid w:val="00C7736C"/>
    <w:rsid w:val="00C82D87"/>
    <w:rsid w:val="00C8712A"/>
    <w:rsid w:val="00C902C8"/>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A35"/>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89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7B04"/>
    <w:rsid w:val="00F97C5B"/>
    <w:rsid w:val="00FA12B9"/>
    <w:rsid w:val="00FA3D50"/>
    <w:rsid w:val="00FA3EA4"/>
    <w:rsid w:val="00FA417D"/>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uiPriority w:val="1"/>
    <w:qFormat/>
    <w:rsid w:val="00C546D9"/>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C546D9"/>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5A0F-F327-41D0-BD85-764B4BD9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2021-07-26T11:08:00Z</dcterms:created>
  <dcterms:modified xsi:type="dcterms:W3CDTF">2021-07-26T11:08:00Z</dcterms:modified>
</cp:coreProperties>
</file>