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2A6954" w:rsidRDefault="00C7729F" w:rsidP="003C4BCB">
      <w:pPr>
        <w:pStyle w:val="ListParagraph"/>
        <w:numPr>
          <w:ilvl w:val="0"/>
          <w:numId w:val="2"/>
        </w:numPr>
        <w:ind w:left="426"/>
        <w:jc w:val="both"/>
        <w:rPr>
          <w:rFonts w:ascii="Arial" w:hAnsi="Arial" w:cs="Arial"/>
          <w:sz w:val="22"/>
          <w:szCs w:val="22"/>
          <w:highlight w:val="yellow"/>
          <w:lang w:val="en-GB"/>
        </w:rPr>
      </w:pPr>
      <w:r w:rsidRPr="002A6954">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2A6954">
        <w:rPr>
          <w:rFonts w:ascii="Arial" w:hAnsi="Arial" w:cs="Arial"/>
          <w:sz w:val="22"/>
          <w:szCs w:val="22"/>
          <w:highlight w:val="yellow"/>
          <w:lang w:val="en-GB"/>
        </w:rPr>
        <w:t>1960s,</w:t>
      </w:r>
      <w:r w:rsidRPr="002A6954">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2A6954" w:rsidRDefault="00BB38D1" w:rsidP="003C4BCB">
      <w:pPr>
        <w:pStyle w:val="ListParagraph"/>
        <w:numPr>
          <w:ilvl w:val="0"/>
          <w:numId w:val="3"/>
        </w:numPr>
        <w:ind w:left="426"/>
        <w:jc w:val="both"/>
        <w:rPr>
          <w:rFonts w:ascii="Arial" w:hAnsi="Arial" w:cs="Arial"/>
          <w:iCs/>
          <w:sz w:val="22"/>
          <w:szCs w:val="22"/>
          <w:highlight w:val="yellow"/>
          <w:lang w:val="en-GB"/>
        </w:rPr>
      </w:pPr>
      <w:r w:rsidRPr="002A6954">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761CFE" w:rsidRDefault="00874240" w:rsidP="003C4BCB">
      <w:pPr>
        <w:pStyle w:val="ListParagraph"/>
        <w:numPr>
          <w:ilvl w:val="0"/>
          <w:numId w:val="4"/>
        </w:numPr>
        <w:ind w:left="426"/>
        <w:jc w:val="both"/>
        <w:rPr>
          <w:rFonts w:ascii="Arial" w:hAnsi="Arial" w:cs="Arial"/>
          <w:sz w:val="22"/>
          <w:szCs w:val="22"/>
          <w:highlight w:val="yellow"/>
          <w:lang w:val="en-GB"/>
        </w:rPr>
      </w:pPr>
      <w:r w:rsidRPr="00761CFE">
        <w:rPr>
          <w:rFonts w:ascii="Arial" w:hAnsi="Arial" w:cs="Arial"/>
          <w:sz w:val="22"/>
          <w:szCs w:val="22"/>
          <w:highlight w:val="yellow"/>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761CFE" w:rsidRDefault="00874240" w:rsidP="003C4BCB">
      <w:pPr>
        <w:pStyle w:val="ListParagraph"/>
        <w:numPr>
          <w:ilvl w:val="0"/>
          <w:numId w:val="5"/>
        </w:numPr>
        <w:ind w:left="426"/>
        <w:jc w:val="both"/>
        <w:rPr>
          <w:rFonts w:ascii="Arial" w:hAnsi="Arial" w:cs="Arial"/>
          <w:sz w:val="22"/>
          <w:szCs w:val="22"/>
          <w:highlight w:val="yellow"/>
          <w:lang w:val="en-GB"/>
        </w:rPr>
      </w:pPr>
      <w:r w:rsidRPr="00761CFE">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F948B5" w:rsidRDefault="00874240" w:rsidP="003C4BCB">
      <w:pPr>
        <w:pStyle w:val="ListParagraph"/>
        <w:numPr>
          <w:ilvl w:val="0"/>
          <w:numId w:val="6"/>
        </w:numPr>
        <w:ind w:left="426"/>
        <w:jc w:val="both"/>
        <w:rPr>
          <w:rFonts w:ascii="Arial" w:hAnsi="Arial" w:cs="Arial"/>
          <w:sz w:val="22"/>
          <w:szCs w:val="22"/>
          <w:highlight w:val="yellow"/>
          <w:lang w:val="en-GB"/>
        </w:rPr>
      </w:pPr>
      <w:r w:rsidRPr="00F948B5">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F948B5" w:rsidRDefault="00113E29" w:rsidP="003C4BCB">
      <w:pPr>
        <w:pStyle w:val="ListParagraph"/>
        <w:numPr>
          <w:ilvl w:val="0"/>
          <w:numId w:val="7"/>
        </w:numPr>
        <w:ind w:left="426"/>
        <w:jc w:val="both"/>
        <w:rPr>
          <w:rFonts w:ascii="Arial" w:hAnsi="Arial" w:cs="Arial"/>
          <w:sz w:val="22"/>
          <w:szCs w:val="22"/>
          <w:highlight w:val="yellow"/>
          <w:lang w:val="en-GB"/>
        </w:rPr>
      </w:pPr>
      <w:r w:rsidRPr="00F948B5">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F948B5" w:rsidRDefault="00967219" w:rsidP="003C4BCB">
      <w:pPr>
        <w:pStyle w:val="ListParagraph"/>
        <w:numPr>
          <w:ilvl w:val="0"/>
          <w:numId w:val="8"/>
        </w:numPr>
        <w:ind w:left="426"/>
        <w:jc w:val="both"/>
        <w:rPr>
          <w:rFonts w:ascii="Arial" w:hAnsi="Arial" w:cs="Arial"/>
          <w:sz w:val="22"/>
          <w:szCs w:val="22"/>
          <w:highlight w:val="yellow"/>
          <w:lang w:val="en-GB"/>
        </w:rPr>
      </w:pPr>
      <w:r w:rsidRPr="00F948B5">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F948B5" w:rsidRDefault="00967219" w:rsidP="003C4BCB">
      <w:pPr>
        <w:pStyle w:val="ListParagraph"/>
        <w:numPr>
          <w:ilvl w:val="0"/>
          <w:numId w:val="9"/>
        </w:numPr>
        <w:ind w:left="426"/>
        <w:jc w:val="both"/>
        <w:rPr>
          <w:rFonts w:ascii="Arial" w:hAnsi="Arial" w:cs="Arial"/>
          <w:sz w:val="22"/>
          <w:szCs w:val="22"/>
          <w:highlight w:val="yellow"/>
          <w:lang w:val="en-GB"/>
        </w:rPr>
      </w:pPr>
      <w:r w:rsidRPr="00F948B5">
        <w:rPr>
          <w:rFonts w:ascii="Arial" w:hAnsi="Arial" w:cs="Arial"/>
          <w:sz w:val="22"/>
          <w:szCs w:val="22"/>
          <w:highlight w:val="yellow"/>
          <w:lang w:val="en-GB"/>
        </w:rPr>
        <w:t xml:space="preserve">The contested payments shall not be avoided if </w:t>
      </w:r>
      <w:proofErr w:type="spellStart"/>
      <w:r w:rsidRPr="00F948B5">
        <w:rPr>
          <w:rFonts w:ascii="Arial" w:hAnsi="Arial" w:cs="Arial"/>
          <w:sz w:val="22"/>
          <w:szCs w:val="22"/>
          <w:highlight w:val="yellow"/>
          <w:lang w:val="en-GB"/>
        </w:rPr>
        <w:t>Fema</w:t>
      </w:r>
      <w:proofErr w:type="spellEnd"/>
      <w:r w:rsidRPr="00F948B5">
        <w:rPr>
          <w:rFonts w:ascii="Arial" w:hAnsi="Arial" w:cs="Arial"/>
          <w:sz w:val="22"/>
          <w:szCs w:val="22"/>
          <w:highlight w:val="yellow"/>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F948B5" w:rsidRDefault="00FC48D8" w:rsidP="003C4BCB">
      <w:pPr>
        <w:pStyle w:val="ListParagraph"/>
        <w:numPr>
          <w:ilvl w:val="0"/>
          <w:numId w:val="10"/>
        </w:numPr>
        <w:ind w:left="426"/>
        <w:jc w:val="both"/>
        <w:rPr>
          <w:rFonts w:ascii="Arial" w:hAnsi="Arial" w:cs="Arial"/>
          <w:sz w:val="22"/>
          <w:szCs w:val="22"/>
          <w:highlight w:val="yellow"/>
          <w:lang w:val="en-GB"/>
        </w:rPr>
      </w:pPr>
      <w:r w:rsidRPr="00F948B5">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 xml:space="preserve">lex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959C2B" w:rsidR="00FC48D8" w:rsidRPr="00F948B5" w:rsidRDefault="00B577E2" w:rsidP="003C4BCB">
      <w:pPr>
        <w:pStyle w:val="ListParagraph"/>
        <w:numPr>
          <w:ilvl w:val="0"/>
          <w:numId w:val="11"/>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 </w:t>
      </w:r>
      <w:r w:rsidR="003D5482">
        <w:rPr>
          <w:rFonts w:ascii="Arial" w:hAnsi="Arial" w:cs="Arial"/>
          <w:sz w:val="22"/>
          <w:szCs w:val="22"/>
          <w:highlight w:val="yellow"/>
          <w:lang w:val="en-GB"/>
        </w:rPr>
        <w:t xml:space="preserve"> </w:t>
      </w:r>
      <w:r w:rsidR="00FC48D8" w:rsidRPr="00F948B5">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1B407FE5" w14:textId="77777777" w:rsidR="00FB3968" w:rsidRPr="009D6E89" w:rsidRDefault="00FB3968" w:rsidP="00FB3968">
      <w:pPr>
        <w:rPr>
          <w:rFonts w:ascii="Arial" w:hAnsi="Arial" w:cs="Arial"/>
          <w:color w:val="000000" w:themeColor="text1"/>
          <w:sz w:val="22"/>
          <w:szCs w:val="22"/>
          <w:shd w:val="clear" w:color="auto" w:fill="FFFFFF"/>
        </w:rPr>
      </w:pPr>
    </w:p>
    <w:p w14:paraId="14774617" w14:textId="29DAA8A9" w:rsidR="00FB3968" w:rsidRPr="009D6E89" w:rsidRDefault="00FB3968" w:rsidP="00FB3968">
      <w:pPr>
        <w:tabs>
          <w:tab w:val="left" w:pos="1500"/>
        </w:tabs>
        <w:jc w:val="both"/>
        <w:rPr>
          <w:rFonts w:ascii="Arial" w:hAnsi="Arial" w:cs="Arial"/>
          <w:b/>
          <w:bCs/>
          <w:color w:val="000000" w:themeColor="text1"/>
          <w:sz w:val="22"/>
          <w:szCs w:val="22"/>
        </w:rPr>
      </w:pPr>
      <w:r w:rsidRPr="009D6E89">
        <w:rPr>
          <w:rFonts w:ascii="Arial" w:hAnsi="Arial" w:cs="Arial"/>
          <w:b/>
          <w:bCs/>
          <w:color w:val="000000" w:themeColor="text1"/>
          <w:sz w:val="22"/>
          <w:szCs w:val="22"/>
        </w:rPr>
        <w:t>Statement 1: International jurisdiction. Article 3 EIR Recast</w:t>
      </w:r>
    </w:p>
    <w:p w14:paraId="3EC8A849" w14:textId="77777777" w:rsidR="00FB3968" w:rsidRPr="009D6E89" w:rsidRDefault="00FB3968" w:rsidP="00FB3968">
      <w:pPr>
        <w:pStyle w:val="Normal2"/>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 xml:space="preserve">1.   The courts of the Member State within the territory of which the </w:t>
      </w:r>
      <w:proofErr w:type="spellStart"/>
      <w:r w:rsidRPr="009D6E89">
        <w:rPr>
          <w:rFonts w:ascii="Arial" w:hAnsi="Arial" w:cs="Arial"/>
          <w:color w:val="000000" w:themeColor="text1"/>
          <w:sz w:val="22"/>
          <w:szCs w:val="22"/>
          <w:lang w:val="en-US"/>
        </w:rPr>
        <w:t>centre</w:t>
      </w:r>
      <w:proofErr w:type="spellEnd"/>
      <w:r w:rsidRPr="009D6E89">
        <w:rPr>
          <w:rFonts w:ascii="Arial" w:hAnsi="Arial" w:cs="Arial"/>
          <w:color w:val="000000" w:themeColor="text1"/>
          <w:sz w:val="22"/>
          <w:szCs w:val="22"/>
          <w:lang w:val="en-US"/>
        </w:rPr>
        <w:t xml:space="preserve"> of the debtor's main interests is situated shall have jurisdiction to open insolvency proceedings (‘main insolvency proceedings’). The </w:t>
      </w:r>
      <w:proofErr w:type="spellStart"/>
      <w:r w:rsidRPr="009D6E89">
        <w:rPr>
          <w:rFonts w:ascii="Arial" w:hAnsi="Arial" w:cs="Arial"/>
          <w:color w:val="000000" w:themeColor="text1"/>
          <w:sz w:val="22"/>
          <w:szCs w:val="22"/>
          <w:lang w:val="en-US"/>
        </w:rPr>
        <w:t>centre</w:t>
      </w:r>
      <w:proofErr w:type="spellEnd"/>
      <w:r w:rsidRPr="009D6E89">
        <w:rPr>
          <w:rFonts w:ascii="Arial" w:hAnsi="Arial" w:cs="Arial"/>
          <w:color w:val="000000" w:themeColor="text1"/>
          <w:sz w:val="22"/>
          <w:szCs w:val="22"/>
          <w:lang w:val="en-US"/>
        </w:rPr>
        <w:t xml:space="preserve"> of main interests shall be the place where the debtor conducts the administration of its interests on a regular basis and which is ascertainable by third parties.</w:t>
      </w:r>
    </w:p>
    <w:p w14:paraId="32ECE0BF" w14:textId="77777777" w:rsidR="00FB3968" w:rsidRPr="009D6E89" w:rsidRDefault="00FB3968" w:rsidP="00FB3968">
      <w:pPr>
        <w:pStyle w:val="Normal2"/>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 xml:space="preserve">In the case of a company or legal person, the place of the registered office shall be presumed to be the </w:t>
      </w:r>
      <w:proofErr w:type="spellStart"/>
      <w:r w:rsidRPr="009D6E89">
        <w:rPr>
          <w:rFonts w:ascii="Arial" w:hAnsi="Arial" w:cs="Arial"/>
          <w:color w:val="000000" w:themeColor="text1"/>
          <w:sz w:val="22"/>
          <w:szCs w:val="22"/>
          <w:lang w:val="en-US"/>
        </w:rPr>
        <w:t>centre</w:t>
      </w:r>
      <w:proofErr w:type="spellEnd"/>
      <w:r w:rsidRPr="009D6E89">
        <w:rPr>
          <w:rFonts w:ascii="Arial" w:hAnsi="Arial" w:cs="Arial"/>
          <w:color w:val="000000" w:themeColor="text1"/>
          <w:sz w:val="22"/>
          <w:szCs w:val="22"/>
          <w:lang w:val="en-US"/>
        </w:rPr>
        <w:t xml:space="preserve"> of its main interests in the absence of proof to the contrary. That presumption shall only apply if the registered office has not been moved to another Member State within the 3-month period prior to the request for the opening of insolvency proceedings.</w:t>
      </w:r>
    </w:p>
    <w:p w14:paraId="4476CC43" w14:textId="77777777" w:rsidR="00FB3968" w:rsidRPr="009D6E89" w:rsidRDefault="00FB3968" w:rsidP="00FB3968">
      <w:pPr>
        <w:pStyle w:val="Normal2"/>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 xml:space="preserve">In the case of an individual exercising an independent business or professional activity, the </w:t>
      </w:r>
      <w:proofErr w:type="spellStart"/>
      <w:r w:rsidRPr="009D6E89">
        <w:rPr>
          <w:rFonts w:ascii="Arial" w:hAnsi="Arial" w:cs="Arial"/>
          <w:color w:val="000000" w:themeColor="text1"/>
          <w:sz w:val="22"/>
          <w:szCs w:val="22"/>
          <w:lang w:val="en-US"/>
        </w:rPr>
        <w:t>centre</w:t>
      </w:r>
      <w:proofErr w:type="spellEnd"/>
      <w:r w:rsidRPr="009D6E89">
        <w:rPr>
          <w:rFonts w:ascii="Arial" w:hAnsi="Arial" w:cs="Arial"/>
          <w:color w:val="000000" w:themeColor="text1"/>
          <w:sz w:val="22"/>
          <w:szCs w:val="22"/>
          <w:lang w:val="en-US"/>
        </w:rPr>
        <w:t xml:space="preserve"> of main interests shall be presumed to be that individual's principal place of business in the absence of proof to the contrary. That presumption shall only apply if the individual's principal place of business has not been moved to another Member State within the 3-month period prior to the request for the opening of insolvency proceedings.</w:t>
      </w:r>
    </w:p>
    <w:p w14:paraId="1C870E1E" w14:textId="77777777" w:rsidR="00FB3968" w:rsidRPr="009D6E89" w:rsidRDefault="00FB3968" w:rsidP="00FB3968">
      <w:pPr>
        <w:pStyle w:val="Normal2"/>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 xml:space="preserve">In the case of any other individual, the </w:t>
      </w:r>
      <w:proofErr w:type="spellStart"/>
      <w:r w:rsidRPr="009D6E89">
        <w:rPr>
          <w:rFonts w:ascii="Arial" w:hAnsi="Arial" w:cs="Arial"/>
          <w:color w:val="000000" w:themeColor="text1"/>
          <w:sz w:val="22"/>
          <w:szCs w:val="22"/>
          <w:lang w:val="en-US"/>
        </w:rPr>
        <w:t>centre</w:t>
      </w:r>
      <w:proofErr w:type="spellEnd"/>
      <w:r w:rsidRPr="009D6E89">
        <w:rPr>
          <w:rFonts w:ascii="Arial" w:hAnsi="Arial" w:cs="Arial"/>
          <w:color w:val="000000" w:themeColor="text1"/>
          <w:sz w:val="22"/>
          <w:szCs w:val="22"/>
          <w:lang w:val="en-US"/>
        </w:rPr>
        <w:t xml:space="preserve"> of main interests shall be presumed to be the place of the individual's habitual residence in the absence of proof to the contrary. This presumption shall only apply if the habitual residence has not been moved to another Member State within the 6-month period prior to the request for the opening of insolvency proceedings.</w:t>
      </w:r>
    </w:p>
    <w:p w14:paraId="04355E55" w14:textId="77777777" w:rsidR="00FB3968" w:rsidRPr="009D6E89" w:rsidRDefault="00FB3968" w:rsidP="00FB3968">
      <w:pPr>
        <w:pStyle w:val="Normal2"/>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 xml:space="preserve">2.   Where the </w:t>
      </w:r>
      <w:proofErr w:type="spellStart"/>
      <w:r w:rsidRPr="009D6E89">
        <w:rPr>
          <w:rFonts w:ascii="Arial" w:hAnsi="Arial" w:cs="Arial"/>
          <w:color w:val="000000" w:themeColor="text1"/>
          <w:sz w:val="22"/>
          <w:szCs w:val="22"/>
          <w:lang w:val="en-US"/>
        </w:rPr>
        <w:t>centre</w:t>
      </w:r>
      <w:proofErr w:type="spellEnd"/>
      <w:r w:rsidRPr="009D6E89">
        <w:rPr>
          <w:rFonts w:ascii="Arial" w:hAnsi="Arial" w:cs="Arial"/>
          <w:color w:val="000000" w:themeColor="text1"/>
          <w:sz w:val="22"/>
          <w:szCs w:val="22"/>
          <w:lang w:val="en-US"/>
        </w:rPr>
        <w:t xml:space="preserv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w:t>
      </w:r>
    </w:p>
    <w:p w14:paraId="0E7096A8" w14:textId="77777777" w:rsidR="00FB3968" w:rsidRPr="009D6E89" w:rsidRDefault="00FB3968" w:rsidP="00FB3968">
      <w:pPr>
        <w:pStyle w:val="Normal2"/>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3.   Where insolvency proceedings have been opened in accordance with paragraph 1, any proceedings opened subsequently in accordance with paragraph 2 shall be secondary insolvency proceedings.</w:t>
      </w:r>
    </w:p>
    <w:p w14:paraId="10507237" w14:textId="77777777" w:rsidR="00FB3968" w:rsidRPr="009D6E89" w:rsidRDefault="00FB3968" w:rsidP="00FB3968">
      <w:pPr>
        <w:pStyle w:val="Normal2"/>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4.   The territorial insolvency proceedings referred to in paragraph 2 may only be opened prior to the opening of main insolvency proceedings in accordance with paragraph 1 where</w:t>
      </w: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FB3968" w:rsidRPr="009D6E89" w14:paraId="52210977" w14:textId="77777777" w:rsidTr="00F177F6">
        <w:tc>
          <w:tcPr>
            <w:tcW w:w="0" w:type="auto"/>
            <w:shd w:val="clear" w:color="auto" w:fill="FFFFFF"/>
            <w:hideMark/>
          </w:tcPr>
          <w:p w14:paraId="793A70E2" w14:textId="77777777" w:rsidR="00FB3968" w:rsidRPr="009D6E89" w:rsidRDefault="00FB3968" w:rsidP="00F177F6">
            <w:pPr>
              <w:pStyle w:val="Normal2"/>
              <w:spacing w:before="120" w:beforeAutospacing="0" w:after="0" w:afterAutospacing="0" w:line="312" w:lineRule="atLeast"/>
              <w:jc w:val="both"/>
              <w:rPr>
                <w:rFonts w:ascii="Arial" w:hAnsi="Arial" w:cs="Arial"/>
                <w:color w:val="000000" w:themeColor="text1"/>
                <w:sz w:val="22"/>
                <w:szCs w:val="22"/>
              </w:rPr>
            </w:pPr>
            <w:r w:rsidRPr="009D6E89">
              <w:rPr>
                <w:rFonts w:ascii="Arial" w:hAnsi="Arial" w:cs="Arial"/>
                <w:color w:val="000000" w:themeColor="text1"/>
                <w:sz w:val="22"/>
                <w:szCs w:val="22"/>
              </w:rPr>
              <w:lastRenderedPageBreak/>
              <w:t>(a)</w:t>
            </w:r>
          </w:p>
        </w:tc>
        <w:tc>
          <w:tcPr>
            <w:tcW w:w="0" w:type="auto"/>
            <w:shd w:val="clear" w:color="auto" w:fill="FFFFFF"/>
            <w:hideMark/>
          </w:tcPr>
          <w:p w14:paraId="52098430" w14:textId="77777777" w:rsidR="00FB3968" w:rsidRPr="009D6E89" w:rsidRDefault="00FB3968" w:rsidP="00F177F6">
            <w:pPr>
              <w:pStyle w:val="Normal2"/>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 xml:space="preserve">insolvency proceedings under paragraph 1 cannot be opened because of the conditions laid down by the law of the Member State within the territory of which the </w:t>
            </w:r>
            <w:proofErr w:type="spellStart"/>
            <w:r w:rsidRPr="009D6E89">
              <w:rPr>
                <w:rFonts w:ascii="Arial" w:hAnsi="Arial" w:cs="Arial"/>
                <w:color w:val="000000" w:themeColor="text1"/>
                <w:sz w:val="22"/>
                <w:szCs w:val="22"/>
                <w:lang w:val="en-US"/>
              </w:rPr>
              <w:t>centre</w:t>
            </w:r>
            <w:proofErr w:type="spellEnd"/>
            <w:r w:rsidRPr="009D6E89">
              <w:rPr>
                <w:rFonts w:ascii="Arial" w:hAnsi="Arial" w:cs="Arial"/>
                <w:color w:val="000000" w:themeColor="text1"/>
                <w:sz w:val="22"/>
                <w:szCs w:val="22"/>
                <w:lang w:val="en-US"/>
              </w:rPr>
              <w:t xml:space="preserve"> of the debtor's main interests is situated; or</w:t>
            </w:r>
          </w:p>
        </w:tc>
      </w:tr>
    </w:tbl>
    <w:p w14:paraId="587506E0" w14:textId="77777777" w:rsidR="00FB3968" w:rsidRPr="009D6E89" w:rsidRDefault="00FB3968" w:rsidP="00FB3968">
      <w:pPr>
        <w:rPr>
          <w:rFonts w:ascii="Arial" w:hAnsi="Arial" w:cs="Arial"/>
          <w:vanish/>
          <w:color w:val="000000" w:themeColor="text1"/>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FB3968" w:rsidRPr="009D6E89" w14:paraId="14FFCA97" w14:textId="77777777" w:rsidTr="00F177F6">
        <w:tc>
          <w:tcPr>
            <w:tcW w:w="0" w:type="auto"/>
            <w:shd w:val="clear" w:color="auto" w:fill="FFFFFF"/>
            <w:hideMark/>
          </w:tcPr>
          <w:p w14:paraId="1C95A7C1" w14:textId="77777777" w:rsidR="00FB3968" w:rsidRPr="009D6E89" w:rsidRDefault="00FB3968" w:rsidP="00F177F6">
            <w:pPr>
              <w:pStyle w:val="Normal2"/>
              <w:spacing w:before="120" w:beforeAutospacing="0" w:after="0" w:afterAutospacing="0" w:line="312" w:lineRule="atLeast"/>
              <w:jc w:val="both"/>
              <w:rPr>
                <w:rFonts w:ascii="Arial" w:hAnsi="Arial" w:cs="Arial"/>
                <w:color w:val="000000" w:themeColor="text1"/>
                <w:sz w:val="22"/>
                <w:szCs w:val="22"/>
              </w:rPr>
            </w:pPr>
            <w:r w:rsidRPr="009D6E89">
              <w:rPr>
                <w:rFonts w:ascii="Arial" w:hAnsi="Arial" w:cs="Arial"/>
                <w:color w:val="000000" w:themeColor="text1"/>
                <w:sz w:val="22"/>
                <w:szCs w:val="22"/>
              </w:rPr>
              <w:t>(b)</w:t>
            </w:r>
          </w:p>
        </w:tc>
        <w:tc>
          <w:tcPr>
            <w:tcW w:w="0" w:type="auto"/>
            <w:shd w:val="clear" w:color="auto" w:fill="FFFFFF"/>
            <w:hideMark/>
          </w:tcPr>
          <w:p w14:paraId="34514B90" w14:textId="77777777" w:rsidR="00FB3968" w:rsidRPr="009D6E89" w:rsidRDefault="00FB3968" w:rsidP="00F177F6">
            <w:pPr>
              <w:pStyle w:val="Normal2"/>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the opening of territorial insolvency proceedings is requested by:</w:t>
            </w:r>
          </w:p>
          <w:tbl>
            <w:tblPr>
              <w:tblW w:w="5000" w:type="pct"/>
              <w:tblCellMar>
                <w:left w:w="0" w:type="dxa"/>
                <w:right w:w="0" w:type="dxa"/>
              </w:tblCellMar>
              <w:tblLook w:val="04A0" w:firstRow="1" w:lastRow="0" w:firstColumn="1" w:lastColumn="0" w:noHBand="0" w:noVBand="1"/>
            </w:tblPr>
            <w:tblGrid>
              <w:gridCol w:w="196"/>
              <w:gridCol w:w="8561"/>
            </w:tblGrid>
            <w:tr w:rsidR="00FB3968" w:rsidRPr="009D6E89" w14:paraId="175EBB30" w14:textId="77777777" w:rsidTr="00F177F6">
              <w:tc>
                <w:tcPr>
                  <w:tcW w:w="0" w:type="auto"/>
                  <w:shd w:val="clear" w:color="auto" w:fill="auto"/>
                  <w:hideMark/>
                </w:tcPr>
                <w:p w14:paraId="2DCCB2D9" w14:textId="77777777" w:rsidR="00FB3968" w:rsidRPr="009D6E89" w:rsidRDefault="00FB3968" w:rsidP="00F177F6">
                  <w:pPr>
                    <w:pStyle w:val="Normal2"/>
                    <w:spacing w:before="120" w:beforeAutospacing="0" w:after="0" w:afterAutospacing="0" w:line="312" w:lineRule="atLeast"/>
                    <w:jc w:val="both"/>
                    <w:rPr>
                      <w:rFonts w:ascii="Arial" w:hAnsi="Arial" w:cs="Arial"/>
                      <w:color w:val="000000" w:themeColor="text1"/>
                      <w:sz w:val="22"/>
                      <w:szCs w:val="22"/>
                    </w:rPr>
                  </w:pPr>
                  <w:r w:rsidRPr="009D6E89">
                    <w:rPr>
                      <w:rFonts w:ascii="Arial" w:hAnsi="Arial" w:cs="Arial"/>
                      <w:color w:val="000000" w:themeColor="text1"/>
                      <w:sz w:val="22"/>
                      <w:szCs w:val="22"/>
                    </w:rPr>
                    <w:t>(i)</w:t>
                  </w:r>
                </w:p>
              </w:tc>
              <w:tc>
                <w:tcPr>
                  <w:tcW w:w="0" w:type="auto"/>
                  <w:shd w:val="clear" w:color="auto" w:fill="auto"/>
                  <w:hideMark/>
                </w:tcPr>
                <w:p w14:paraId="20F5F903" w14:textId="77777777" w:rsidR="00FB3968" w:rsidRPr="009D6E89" w:rsidRDefault="00FB3968" w:rsidP="00F177F6">
                  <w:pPr>
                    <w:pStyle w:val="Normal2"/>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a creditor whose claim arises from or is in connection with the operation of an establishment situated within the territory of the Member State where the opening of territorial proceedings is requested; or</w:t>
                  </w:r>
                </w:p>
              </w:tc>
            </w:tr>
          </w:tbl>
          <w:p w14:paraId="283FE4C6" w14:textId="77777777" w:rsidR="00FB3968" w:rsidRPr="009D6E89" w:rsidRDefault="00FB3968" w:rsidP="00F177F6">
            <w:pPr>
              <w:rPr>
                <w:rFonts w:ascii="Arial" w:hAnsi="Arial" w:cs="Arial"/>
                <w:vanish/>
                <w:color w:val="000000" w:themeColor="text1"/>
                <w:sz w:val="22"/>
                <w:szCs w:val="22"/>
              </w:rPr>
            </w:pPr>
          </w:p>
          <w:tbl>
            <w:tblPr>
              <w:tblW w:w="5000" w:type="pct"/>
              <w:tblCellMar>
                <w:left w:w="0" w:type="dxa"/>
                <w:right w:w="0" w:type="dxa"/>
              </w:tblCellMar>
              <w:tblLook w:val="04A0" w:firstRow="1" w:lastRow="0" w:firstColumn="1" w:lastColumn="0" w:noHBand="0" w:noVBand="1"/>
            </w:tblPr>
            <w:tblGrid>
              <w:gridCol w:w="245"/>
              <w:gridCol w:w="8512"/>
            </w:tblGrid>
            <w:tr w:rsidR="00FB3968" w:rsidRPr="009D6E89" w14:paraId="04EBACCC" w14:textId="77777777" w:rsidTr="00F177F6">
              <w:tc>
                <w:tcPr>
                  <w:tcW w:w="0" w:type="auto"/>
                  <w:shd w:val="clear" w:color="auto" w:fill="auto"/>
                  <w:hideMark/>
                </w:tcPr>
                <w:p w14:paraId="36384C95" w14:textId="77777777" w:rsidR="00FB3968" w:rsidRPr="009D6E89" w:rsidRDefault="00FB3968" w:rsidP="00F177F6">
                  <w:pPr>
                    <w:pStyle w:val="Normal2"/>
                    <w:spacing w:before="120" w:beforeAutospacing="0" w:after="0" w:afterAutospacing="0" w:line="312" w:lineRule="atLeast"/>
                    <w:jc w:val="both"/>
                    <w:rPr>
                      <w:rFonts w:ascii="Arial" w:hAnsi="Arial" w:cs="Arial"/>
                      <w:color w:val="000000" w:themeColor="text1"/>
                      <w:sz w:val="22"/>
                      <w:szCs w:val="22"/>
                    </w:rPr>
                  </w:pPr>
                  <w:r w:rsidRPr="009D6E89">
                    <w:rPr>
                      <w:rFonts w:ascii="Arial" w:hAnsi="Arial" w:cs="Arial"/>
                      <w:color w:val="000000" w:themeColor="text1"/>
                      <w:sz w:val="22"/>
                      <w:szCs w:val="22"/>
                    </w:rPr>
                    <w:t>(ii)</w:t>
                  </w:r>
                </w:p>
              </w:tc>
              <w:tc>
                <w:tcPr>
                  <w:tcW w:w="0" w:type="auto"/>
                  <w:shd w:val="clear" w:color="auto" w:fill="auto"/>
                  <w:hideMark/>
                </w:tcPr>
                <w:p w14:paraId="28DEC300" w14:textId="77777777" w:rsidR="00FB3968" w:rsidRPr="009D6E89" w:rsidRDefault="00FB3968" w:rsidP="00F177F6">
                  <w:pPr>
                    <w:pStyle w:val="Normal2"/>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a public authority which, under the law of the Member State within the territory of which the establishment is situated, has the right to request the opening of insolvency proceedings.</w:t>
                  </w:r>
                </w:p>
              </w:tc>
            </w:tr>
          </w:tbl>
          <w:p w14:paraId="6050C0C2" w14:textId="77777777" w:rsidR="00FB3968" w:rsidRPr="009D6E89" w:rsidRDefault="00FB3968" w:rsidP="00F177F6">
            <w:pPr>
              <w:rPr>
                <w:rFonts w:ascii="Arial" w:hAnsi="Arial" w:cs="Arial"/>
                <w:color w:val="000000" w:themeColor="text1"/>
                <w:sz w:val="22"/>
                <w:szCs w:val="22"/>
              </w:rPr>
            </w:pPr>
          </w:p>
        </w:tc>
      </w:tr>
    </w:tbl>
    <w:p w14:paraId="340BBCDA" w14:textId="77777777" w:rsidR="00FB3968" w:rsidRPr="009D6E89" w:rsidRDefault="00FB3968" w:rsidP="00FB3968">
      <w:pPr>
        <w:pStyle w:val="Normal2"/>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When main insolvency proceedings are opened, the territorial insolvency proceedings shall become secondary insolvency proceedings.</w:t>
      </w:r>
    </w:p>
    <w:p w14:paraId="4158C14D" w14:textId="77777777" w:rsidR="00FB3968" w:rsidRPr="009D6E89" w:rsidRDefault="00FB3968" w:rsidP="00FB3968">
      <w:pPr>
        <w:pStyle w:val="Heading1"/>
        <w:tabs>
          <w:tab w:val="left" w:pos="831"/>
          <w:tab w:val="left" w:pos="832"/>
        </w:tabs>
        <w:spacing w:before="1"/>
        <w:ind w:left="0"/>
        <w:rPr>
          <w:color w:val="000000" w:themeColor="text1"/>
        </w:rPr>
      </w:pPr>
      <w:bookmarkStart w:id="0" w:name="_TOC_250005"/>
    </w:p>
    <w:p w14:paraId="04FC731B" w14:textId="37B77DE3" w:rsidR="00FB3968" w:rsidRPr="009D6E89" w:rsidRDefault="00FB3968" w:rsidP="00FB3968">
      <w:pPr>
        <w:pStyle w:val="Heading1"/>
        <w:tabs>
          <w:tab w:val="left" w:pos="831"/>
          <w:tab w:val="left" w:pos="832"/>
        </w:tabs>
        <w:spacing w:before="1"/>
        <w:ind w:left="0"/>
        <w:rPr>
          <w:color w:val="000000" w:themeColor="text1"/>
        </w:rPr>
      </w:pPr>
      <w:r w:rsidRPr="009D6E89">
        <w:rPr>
          <w:color w:val="000000" w:themeColor="text1"/>
        </w:rPr>
        <w:t>Statement 2: Stay</w:t>
      </w:r>
      <w:r w:rsidRPr="009D6E89">
        <w:rPr>
          <w:color w:val="000000" w:themeColor="text1"/>
          <w:spacing w:val="-4"/>
        </w:rPr>
        <w:t xml:space="preserve"> </w:t>
      </w:r>
      <w:r w:rsidRPr="009D6E89">
        <w:rPr>
          <w:color w:val="000000" w:themeColor="text1"/>
        </w:rPr>
        <w:t>of</w:t>
      </w:r>
      <w:r w:rsidRPr="009D6E89">
        <w:rPr>
          <w:color w:val="000000" w:themeColor="text1"/>
          <w:spacing w:val="-3"/>
        </w:rPr>
        <w:t xml:space="preserve"> </w:t>
      </w:r>
      <w:r w:rsidRPr="009D6E89">
        <w:rPr>
          <w:color w:val="000000" w:themeColor="text1"/>
        </w:rPr>
        <w:t>the</w:t>
      </w:r>
      <w:r w:rsidRPr="009D6E89">
        <w:rPr>
          <w:color w:val="000000" w:themeColor="text1"/>
          <w:spacing w:val="-4"/>
        </w:rPr>
        <w:t xml:space="preserve"> </w:t>
      </w:r>
      <w:r w:rsidRPr="009D6E89">
        <w:rPr>
          <w:color w:val="000000" w:themeColor="text1"/>
        </w:rPr>
        <w:t>opening</w:t>
      </w:r>
      <w:r w:rsidRPr="009D6E89">
        <w:rPr>
          <w:color w:val="000000" w:themeColor="text1"/>
          <w:spacing w:val="-4"/>
        </w:rPr>
        <w:t xml:space="preserve"> </w:t>
      </w:r>
      <w:r w:rsidRPr="009D6E89">
        <w:rPr>
          <w:color w:val="000000" w:themeColor="text1"/>
        </w:rPr>
        <w:t>of</w:t>
      </w:r>
      <w:r w:rsidRPr="009D6E89">
        <w:rPr>
          <w:color w:val="000000" w:themeColor="text1"/>
          <w:spacing w:val="-3"/>
        </w:rPr>
        <w:t xml:space="preserve"> </w:t>
      </w:r>
      <w:r w:rsidRPr="009D6E89">
        <w:rPr>
          <w:color w:val="000000" w:themeColor="text1"/>
        </w:rPr>
        <w:t>secondary</w:t>
      </w:r>
      <w:r w:rsidRPr="009D6E89">
        <w:rPr>
          <w:color w:val="000000" w:themeColor="text1"/>
          <w:spacing w:val="-4"/>
        </w:rPr>
        <w:t xml:space="preserve"> </w:t>
      </w:r>
      <w:r w:rsidRPr="009D6E89">
        <w:rPr>
          <w:color w:val="000000" w:themeColor="text1"/>
        </w:rPr>
        <w:t>insolvency</w:t>
      </w:r>
      <w:r w:rsidRPr="009D6E89">
        <w:rPr>
          <w:color w:val="000000" w:themeColor="text1"/>
          <w:spacing w:val="-3"/>
        </w:rPr>
        <w:t xml:space="preserve"> </w:t>
      </w:r>
      <w:bookmarkEnd w:id="0"/>
      <w:r w:rsidRPr="009D6E89">
        <w:rPr>
          <w:color w:val="000000" w:themeColor="text1"/>
        </w:rPr>
        <w:t>proceedings. Article 38 EIR Recast.</w:t>
      </w:r>
    </w:p>
    <w:p w14:paraId="63D874E6" w14:textId="77777777" w:rsidR="00FB3968" w:rsidRPr="009D6E89" w:rsidRDefault="00FB3968" w:rsidP="00FB3968">
      <w:pPr>
        <w:pStyle w:val="Normal1"/>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3.   Where a temporary stay of individual enforcement proceedings has been granted in order to allow for negotiations between the debtor and its creditors, the court, at the request of the insolvency practitioner or the debtor in possession, may stay the opening of secondary insolvency proceedings for a period not exceeding 3 months, provided that suitable measures are in place to protect the interests of local creditors.</w:t>
      </w:r>
    </w:p>
    <w:p w14:paraId="02098E33" w14:textId="77777777" w:rsidR="00FB3968" w:rsidRPr="009D6E89" w:rsidRDefault="00FB3968" w:rsidP="00FB3968">
      <w:pPr>
        <w:pStyle w:val="Normal1"/>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The court referred to in paragraph 1 may order protective measures to protect the interests of local creditors by requiring the insolvency practitioner or the debtor in possession not to remove or dispose of any assets which are located in the Member State where its establishment is located unless this is done in the ordinary course of business. The court may also order other measures to protect the interest of local creditors during a stay, unless this is incompatible with the national rules on civil procedure.</w:t>
      </w:r>
    </w:p>
    <w:p w14:paraId="43A0EA8E" w14:textId="77777777" w:rsidR="00FB3968" w:rsidRPr="009D6E89" w:rsidRDefault="00FB3968" w:rsidP="00FB3968">
      <w:pPr>
        <w:pStyle w:val="Normal1"/>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The stay of the opening of secondary insolvency proceedings shall be lifted by the court of its own motion or at the request of any creditor if, during the stay, an agreement in the negotiations referred to in the first subparagraph has been concluded.</w:t>
      </w:r>
    </w:p>
    <w:p w14:paraId="2D93D433" w14:textId="41F4E556" w:rsidR="00FB3968" w:rsidRPr="00FB3968" w:rsidRDefault="00FB3968" w:rsidP="00FB3968">
      <w:pPr>
        <w:pStyle w:val="Normal1"/>
        <w:shd w:val="clear" w:color="auto" w:fill="FFFFFF"/>
        <w:spacing w:before="120" w:beforeAutospacing="0" w:after="0" w:afterAutospacing="0" w:line="312" w:lineRule="atLeast"/>
        <w:jc w:val="both"/>
        <w:rPr>
          <w:rFonts w:ascii="Arial" w:hAnsi="Arial" w:cs="Arial"/>
          <w:color w:val="000000" w:themeColor="text1"/>
          <w:sz w:val="22"/>
          <w:szCs w:val="22"/>
          <w:lang w:val="en-US"/>
        </w:rPr>
      </w:pPr>
      <w:r w:rsidRPr="009D6E89">
        <w:rPr>
          <w:rFonts w:ascii="Arial" w:hAnsi="Arial" w:cs="Arial"/>
          <w:color w:val="000000" w:themeColor="text1"/>
          <w:sz w:val="22"/>
          <w:szCs w:val="22"/>
          <w:lang w:val="en-US"/>
        </w:rPr>
        <w:t>The stay may be lifted by the court of its own motion or at the request of any creditor if the continuation of the stay is detrimental to the creditor's rights, in particular if the negotiations have been disrupted or it has become evident that they are unlikely to be concluded, or if the insolvency practitioner or the debtor in possession has infringed the prohibition on disposal of its assets or on removal of them from the territory of the Member State where the establishment is located.</w:t>
      </w: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40920E" w14:textId="77777777" w:rsidR="00477330" w:rsidRPr="0096716F" w:rsidRDefault="00477330" w:rsidP="00477330">
      <w:pPr>
        <w:pStyle w:val="Heading1"/>
        <w:numPr>
          <w:ilvl w:val="0"/>
          <w:numId w:val="12"/>
        </w:numPr>
        <w:tabs>
          <w:tab w:val="left" w:pos="831"/>
          <w:tab w:val="left" w:pos="832"/>
        </w:tabs>
        <w:rPr>
          <w:b w:val="0"/>
          <w:bCs w:val="0"/>
        </w:rPr>
      </w:pPr>
      <w:bookmarkStart w:id="1" w:name="_TOC_250010"/>
      <w:r w:rsidRPr="0096716F">
        <w:rPr>
          <w:b w:val="0"/>
          <w:bCs w:val="0"/>
        </w:rPr>
        <w:lastRenderedPageBreak/>
        <w:t>Co-operation</w:t>
      </w:r>
      <w:r w:rsidRPr="0096716F">
        <w:rPr>
          <w:b w:val="0"/>
          <w:bCs w:val="0"/>
          <w:spacing w:val="-6"/>
        </w:rPr>
        <w:t xml:space="preserve"> </w:t>
      </w:r>
      <w:r w:rsidRPr="0096716F">
        <w:rPr>
          <w:b w:val="0"/>
          <w:bCs w:val="0"/>
        </w:rPr>
        <w:t>and</w:t>
      </w:r>
      <w:r w:rsidRPr="0096716F">
        <w:rPr>
          <w:b w:val="0"/>
          <w:bCs w:val="0"/>
          <w:spacing w:val="-5"/>
        </w:rPr>
        <w:t xml:space="preserve"> </w:t>
      </w:r>
      <w:r w:rsidRPr="0096716F">
        <w:rPr>
          <w:b w:val="0"/>
          <w:bCs w:val="0"/>
        </w:rPr>
        <w:t>communication</w:t>
      </w:r>
      <w:r w:rsidRPr="0096716F">
        <w:rPr>
          <w:b w:val="0"/>
          <w:bCs w:val="0"/>
          <w:spacing w:val="-6"/>
        </w:rPr>
        <w:t xml:space="preserve"> </w:t>
      </w:r>
      <w:r w:rsidRPr="0096716F">
        <w:rPr>
          <w:b w:val="0"/>
          <w:bCs w:val="0"/>
        </w:rPr>
        <w:t>between</w:t>
      </w:r>
      <w:r w:rsidRPr="0096716F">
        <w:rPr>
          <w:b w:val="0"/>
          <w:bCs w:val="0"/>
          <w:spacing w:val="-5"/>
        </w:rPr>
        <w:t xml:space="preserve"> </w:t>
      </w:r>
      <w:r w:rsidRPr="0096716F">
        <w:rPr>
          <w:b w:val="0"/>
          <w:bCs w:val="0"/>
        </w:rPr>
        <w:t>insolvency</w:t>
      </w:r>
      <w:r w:rsidRPr="0096716F">
        <w:rPr>
          <w:b w:val="0"/>
          <w:bCs w:val="0"/>
          <w:spacing w:val="-6"/>
        </w:rPr>
        <w:t xml:space="preserve"> </w:t>
      </w:r>
      <w:bookmarkEnd w:id="1"/>
      <w:r w:rsidRPr="0096716F">
        <w:rPr>
          <w:b w:val="0"/>
          <w:bCs w:val="0"/>
        </w:rPr>
        <w:t>practitioners. Article 41 EIR Recast</w:t>
      </w:r>
      <w:bookmarkStart w:id="2" w:name="_TOC_250009"/>
      <w:r w:rsidRPr="0096716F">
        <w:rPr>
          <w:b w:val="0"/>
          <w:bCs w:val="0"/>
        </w:rPr>
        <w:t>.</w:t>
      </w:r>
    </w:p>
    <w:p w14:paraId="06300E76" w14:textId="77777777" w:rsidR="00477330" w:rsidRPr="0096716F" w:rsidRDefault="00477330" w:rsidP="00477330">
      <w:pPr>
        <w:pStyle w:val="Heading1"/>
        <w:tabs>
          <w:tab w:val="left" w:pos="831"/>
          <w:tab w:val="left" w:pos="832"/>
        </w:tabs>
        <w:ind w:left="720"/>
        <w:rPr>
          <w:b w:val="0"/>
          <w:bCs w:val="0"/>
        </w:rPr>
      </w:pPr>
    </w:p>
    <w:p w14:paraId="7CA78381" w14:textId="77777777" w:rsidR="00477330" w:rsidRPr="0096716F" w:rsidRDefault="00477330" w:rsidP="00477330">
      <w:pPr>
        <w:pStyle w:val="Heading1"/>
        <w:numPr>
          <w:ilvl w:val="0"/>
          <w:numId w:val="12"/>
        </w:numPr>
        <w:tabs>
          <w:tab w:val="left" w:pos="831"/>
          <w:tab w:val="left" w:pos="832"/>
        </w:tabs>
        <w:rPr>
          <w:b w:val="0"/>
          <w:bCs w:val="0"/>
        </w:rPr>
      </w:pPr>
      <w:r w:rsidRPr="0096716F">
        <w:rPr>
          <w:b w:val="0"/>
          <w:bCs w:val="0"/>
        </w:rPr>
        <w:t>Co-operation</w:t>
      </w:r>
      <w:r w:rsidRPr="0096716F">
        <w:rPr>
          <w:b w:val="0"/>
          <w:bCs w:val="0"/>
          <w:spacing w:val="-5"/>
        </w:rPr>
        <w:t xml:space="preserve"> </w:t>
      </w:r>
      <w:r w:rsidRPr="0096716F">
        <w:rPr>
          <w:b w:val="0"/>
          <w:bCs w:val="0"/>
        </w:rPr>
        <w:t>and</w:t>
      </w:r>
      <w:r w:rsidRPr="0096716F">
        <w:rPr>
          <w:b w:val="0"/>
          <w:bCs w:val="0"/>
          <w:spacing w:val="-4"/>
        </w:rPr>
        <w:t xml:space="preserve"> </w:t>
      </w:r>
      <w:r w:rsidRPr="0096716F">
        <w:rPr>
          <w:b w:val="0"/>
          <w:bCs w:val="0"/>
        </w:rPr>
        <w:t>communication</w:t>
      </w:r>
      <w:r w:rsidRPr="0096716F">
        <w:rPr>
          <w:b w:val="0"/>
          <w:bCs w:val="0"/>
          <w:spacing w:val="-5"/>
        </w:rPr>
        <w:t xml:space="preserve"> </w:t>
      </w:r>
      <w:r w:rsidRPr="0096716F">
        <w:rPr>
          <w:b w:val="0"/>
          <w:bCs w:val="0"/>
        </w:rPr>
        <w:t>between</w:t>
      </w:r>
      <w:r w:rsidRPr="0096716F">
        <w:rPr>
          <w:b w:val="0"/>
          <w:bCs w:val="0"/>
          <w:spacing w:val="-4"/>
        </w:rPr>
        <w:t xml:space="preserve"> </w:t>
      </w:r>
      <w:bookmarkEnd w:id="2"/>
      <w:r w:rsidRPr="0096716F">
        <w:rPr>
          <w:b w:val="0"/>
          <w:bCs w:val="0"/>
        </w:rPr>
        <w:t>courts. Article 42 EIR Recast.</w:t>
      </w:r>
      <w:bookmarkStart w:id="3" w:name="_TOC_250008"/>
    </w:p>
    <w:p w14:paraId="416CE65F" w14:textId="77777777" w:rsidR="00477330" w:rsidRPr="0096716F" w:rsidRDefault="00477330" w:rsidP="00477330">
      <w:pPr>
        <w:pStyle w:val="Heading1"/>
        <w:tabs>
          <w:tab w:val="left" w:pos="831"/>
          <w:tab w:val="left" w:pos="832"/>
        </w:tabs>
        <w:ind w:left="0"/>
        <w:rPr>
          <w:b w:val="0"/>
          <w:bCs w:val="0"/>
        </w:rPr>
      </w:pPr>
    </w:p>
    <w:p w14:paraId="09CEA3C1" w14:textId="77777777" w:rsidR="00477330" w:rsidRPr="0096716F" w:rsidRDefault="00477330" w:rsidP="00477330">
      <w:pPr>
        <w:pStyle w:val="Heading1"/>
        <w:numPr>
          <w:ilvl w:val="0"/>
          <w:numId w:val="12"/>
        </w:numPr>
        <w:tabs>
          <w:tab w:val="left" w:pos="831"/>
          <w:tab w:val="left" w:pos="832"/>
        </w:tabs>
        <w:rPr>
          <w:b w:val="0"/>
          <w:bCs w:val="0"/>
        </w:rPr>
      </w:pPr>
      <w:r w:rsidRPr="0096716F">
        <w:rPr>
          <w:b w:val="0"/>
          <w:bCs w:val="0"/>
        </w:rPr>
        <w:t>Co-operation</w:t>
      </w:r>
      <w:r w:rsidRPr="0096716F">
        <w:rPr>
          <w:b w:val="0"/>
          <w:bCs w:val="0"/>
          <w:spacing w:val="-5"/>
        </w:rPr>
        <w:t xml:space="preserve"> </w:t>
      </w:r>
      <w:r w:rsidRPr="0096716F">
        <w:rPr>
          <w:b w:val="0"/>
          <w:bCs w:val="0"/>
        </w:rPr>
        <w:t>and</w:t>
      </w:r>
      <w:r w:rsidRPr="0096716F">
        <w:rPr>
          <w:b w:val="0"/>
          <w:bCs w:val="0"/>
          <w:spacing w:val="-5"/>
        </w:rPr>
        <w:t xml:space="preserve"> </w:t>
      </w:r>
      <w:r w:rsidRPr="0096716F">
        <w:rPr>
          <w:b w:val="0"/>
          <w:bCs w:val="0"/>
        </w:rPr>
        <w:t>communication</w:t>
      </w:r>
      <w:r w:rsidRPr="0096716F">
        <w:rPr>
          <w:b w:val="0"/>
          <w:bCs w:val="0"/>
          <w:spacing w:val="-5"/>
        </w:rPr>
        <w:t xml:space="preserve"> </w:t>
      </w:r>
      <w:r w:rsidRPr="0096716F">
        <w:rPr>
          <w:b w:val="0"/>
          <w:bCs w:val="0"/>
        </w:rPr>
        <w:t>between</w:t>
      </w:r>
      <w:r w:rsidRPr="0096716F">
        <w:rPr>
          <w:b w:val="0"/>
          <w:bCs w:val="0"/>
          <w:spacing w:val="-4"/>
        </w:rPr>
        <w:t xml:space="preserve"> </w:t>
      </w:r>
      <w:r w:rsidRPr="0096716F">
        <w:rPr>
          <w:b w:val="0"/>
          <w:bCs w:val="0"/>
        </w:rPr>
        <w:t>insolvency</w:t>
      </w:r>
      <w:r w:rsidRPr="0096716F">
        <w:rPr>
          <w:b w:val="0"/>
          <w:bCs w:val="0"/>
          <w:spacing w:val="-5"/>
        </w:rPr>
        <w:t xml:space="preserve"> </w:t>
      </w:r>
      <w:r w:rsidRPr="0096716F">
        <w:rPr>
          <w:b w:val="0"/>
          <w:bCs w:val="0"/>
        </w:rPr>
        <w:t>practitioners</w:t>
      </w:r>
      <w:r w:rsidRPr="0096716F">
        <w:rPr>
          <w:b w:val="0"/>
          <w:bCs w:val="0"/>
          <w:spacing w:val="-5"/>
        </w:rPr>
        <w:t xml:space="preserve"> </w:t>
      </w:r>
      <w:r w:rsidRPr="0096716F">
        <w:rPr>
          <w:b w:val="0"/>
          <w:bCs w:val="0"/>
        </w:rPr>
        <w:t>and</w:t>
      </w:r>
      <w:r w:rsidRPr="0096716F">
        <w:rPr>
          <w:b w:val="0"/>
          <w:bCs w:val="0"/>
          <w:spacing w:val="-5"/>
        </w:rPr>
        <w:t xml:space="preserve"> </w:t>
      </w:r>
      <w:bookmarkEnd w:id="3"/>
      <w:r w:rsidRPr="0096716F">
        <w:rPr>
          <w:b w:val="0"/>
          <w:bCs w:val="0"/>
        </w:rPr>
        <w:t>courts. Article 43 EIR Recast.</w:t>
      </w:r>
    </w:p>
    <w:p w14:paraId="7AF8A6A4" w14:textId="77777777" w:rsidR="00FE2DE2" w:rsidRPr="008500BD" w:rsidRDefault="00FE2DE2" w:rsidP="00477330">
      <w:pPr>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17DA86D1" w:rsidR="00C82D87"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3572C682" w14:textId="77777777" w:rsidR="001D1D59" w:rsidRPr="008500BD" w:rsidRDefault="001D1D59" w:rsidP="002A37BB">
      <w:pPr>
        <w:jc w:val="both"/>
        <w:rPr>
          <w:rFonts w:ascii="Arial" w:hAnsi="Arial" w:cs="Arial"/>
          <w:sz w:val="22"/>
          <w:szCs w:val="22"/>
          <w:lang w:val="en-GB"/>
        </w:rPr>
      </w:pPr>
    </w:p>
    <w:p w14:paraId="28FA893F" w14:textId="5F41C2D0" w:rsidR="00962045" w:rsidRPr="008500BD" w:rsidRDefault="00962045" w:rsidP="002A37BB">
      <w:pPr>
        <w:ind w:left="720" w:hanging="720"/>
        <w:jc w:val="both"/>
        <w:rPr>
          <w:rFonts w:ascii="Arial" w:hAnsi="Arial" w:cs="Arial"/>
          <w:sz w:val="22"/>
          <w:szCs w:val="22"/>
          <w:lang w:val="en-GB"/>
        </w:rPr>
      </w:pPr>
    </w:p>
    <w:p w14:paraId="59134FFB" w14:textId="77777777" w:rsidR="001D1D59" w:rsidRPr="0096716F" w:rsidRDefault="001D1D59" w:rsidP="001D1D59">
      <w:pPr>
        <w:pStyle w:val="ListParagraph"/>
        <w:numPr>
          <w:ilvl w:val="0"/>
          <w:numId w:val="13"/>
        </w:numPr>
        <w:spacing w:after="160" w:line="259" w:lineRule="auto"/>
        <w:jc w:val="both"/>
        <w:rPr>
          <w:rFonts w:ascii="Arial" w:hAnsi="Arial" w:cs="Arial"/>
          <w:b/>
          <w:bCs/>
          <w:color w:val="000000" w:themeColor="text1"/>
          <w:sz w:val="22"/>
          <w:szCs w:val="22"/>
        </w:rPr>
      </w:pPr>
      <w:r w:rsidRPr="0096716F">
        <w:rPr>
          <w:rFonts w:ascii="Arial" w:hAnsi="Arial" w:cs="Arial"/>
          <w:b/>
          <w:bCs/>
          <w:color w:val="000000" w:themeColor="text1"/>
          <w:sz w:val="22"/>
          <w:szCs w:val="22"/>
        </w:rPr>
        <w:t>Scope. Article 1 EIR Recast.</w:t>
      </w:r>
    </w:p>
    <w:p w14:paraId="54F02E38" w14:textId="77777777" w:rsidR="001D1D59" w:rsidRPr="0096716F" w:rsidRDefault="001D1D59" w:rsidP="001D1D59">
      <w:pPr>
        <w:shd w:val="clear" w:color="auto" w:fill="FFFFFF"/>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 xml:space="preserve">1.   This Regulation shall apply to public collective proceedings, including interim proceedings, which are based on laws relating to insolvency and in which, for the purpose of rescue, adjustment of debt, </w:t>
      </w:r>
      <w:proofErr w:type="spellStart"/>
      <w:r w:rsidRPr="0096716F">
        <w:rPr>
          <w:rFonts w:ascii="Arial" w:hAnsi="Arial" w:cs="Arial"/>
          <w:color w:val="000000" w:themeColor="text1"/>
          <w:sz w:val="22"/>
          <w:szCs w:val="22"/>
          <w:lang w:eastAsia="es-PE"/>
        </w:rPr>
        <w:t>reorganisation</w:t>
      </w:r>
      <w:proofErr w:type="spellEnd"/>
      <w:r w:rsidRPr="0096716F">
        <w:rPr>
          <w:rFonts w:ascii="Arial" w:hAnsi="Arial" w:cs="Arial"/>
          <w:color w:val="000000" w:themeColor="text1"/>
          <w:sz w:val="22"/>
          <w:szCs w:val="22"/>
          <w:lang w:eastAsia="es-PE"/>
        </w:rPr>
        <w:t xml:space="preserve"> or liquidation:</w:t>
      </w: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1D1D59" w:rsidRPr="0096716F" w14:paraId="43564913" w14:textId="77777777" w:rsidTr="00F177F6">
        <w:tc>
          <w:tcPr>
            <w:tcW w:w="0" w:type="auto"/>
            <w:shd w:val="clear" w:color="auto" w:fill="FFFFFF"/>
            <w:hideMark/>
          </w:tcPr>
          <w:p w14:paraId="1D29F29D"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(a)</w:t>
            </w:r>
          </w:p>
        </w:tc>
        <w:tc>
          <w:tcPr>
            <w:tcW w:w="0" w:type="auto"/>
            <w:shd w:val="clear" w:color="auto" w:fill="FFFFFF"/>
            <w:hideMark/>
          </w:tcPr>
          <w:p w14:paraId="6D4D2376"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a debtor is totally or partially divested of its assets and an insolvency practitioner is appointed;</w:t>
            </w:r>
          </w:p>
        </w:tc>
      </w:tr>
    </w:tbl>
    <w:p w14:paraId="603E2442" w14:textId="77777777" w:rsidR="001D1D59" w:rsidRPr="0096716F" w:rsidRDefault="001D1D59" w:rsidP="001D1D59">
      <w:pPr>
        <w:jc w:val="both"/>
        <w:rPr>
          <w:rFonts w:ascii="Arial" w:hAnsi="Arial" w:cs="Arial"/>
          <w:vanish/>
          <w:color w:val="000000" w:themeColor="text1"/>
          <w:sz w:val="22"/>
          <w:szCs w:val="22"/>
          <w:lang w:eastAsia="es-PE"/>
        </w:rPr>
      </w:pPr>
    </w:p>
    <w:tbl>
      <w:tblPr>
        <w:tblW w:w="5000" w:type="pct"/>
        <w:shd w:val="clear" w:color="auto" w:fill="FFFFFF"/>
        <w:tblCellMar>
          <w:left w:w="0" w:type="dxa"/>
          <w:right w:w="0" w:type="dxa"/>
        </w:tblCellMar>
        <w:tblLook w:val="04A0" w:firstRow="1" w:lastRow="0" w:firstColumn="1" w:lastColumn="0" w:noHBand="0" w:noVBand="1"/>
      </w:tblPr>
      <w:tblGrid>
        <w:gridCol w:w="291"/>
        <w:gridCol w:w="8735"/>
      </w:tblGrid>
      <w:tr w:rsidR="001D1D59" w:rsidRPr="0096716F" w14:paraId="53094D97" w14:textId="77777777" w:rsidTr="00F177F6">
        <w:tc>
          <w:tcPr>
            <w:tcW w:w="0" w:type="auto"/>
            <w:shd w:val="clear" w:color="auto" w:fill="FFFFFF"/>
            <w:hideMark/>
          </w:tcPr>
          <w:p w14:paraId="4B01E752"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(b)</w:t>
            </w:r>
          </w:p>
        </w:tc>
        <w:tc>
          <w:tcPr>
            <w:tcW w:w="0" w:type="auto"/>
            <w:shd w:val="clear" w:color="auto" w:fill="FFFFFF"/>
            <w:hideMark/>
          </w:tcPr>
          <w:p w14:paraId="23140B7C"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the assets and affairs of a debtor are subject to control or supervision by a court; or</w:t>
            </w:r>
          </w:p>
        </w:tc>
      </w:tr>
    </w:tbl>
    <w:p w14:paraId="26F286E1" w14:textId="77777777" w:rsidR="001D1D59" w:rsidRPr="0096716F" w:rsidRDefault="001D1D59" w:rsidP="001D1D59">
      <w:pPr>
        <w:jc w:val="both"/>
        <w:rPr>
          <w:rFonts w:ascii="Arial" w:hAnsi="Arial" w:cs="Arial"/>
          <w:vanish/>
          <w:color w:val="000000" w:themeColor="text1"/>
          <w:sz w:val="22"/>
          <w:szCs w:val="22"/>
          <w:lang w:eastAsia="es-PE"/>
        </w:rPr>
      </w:pPr>
    </w:p>
    <w:tbl>
      <w:tblPr>
        <w:tblW w:w="5000" w:type="pct"/>
        <w:shd w:val="clear" w:color="auto" w:fill="FFFFFF"/>
        <w:tblCellMar>
          <w:left w:w="0" w:type="dxa"/>
          <w:right w:w="0" w:type="dxa"/>
        </w:tblCellMar>
        <w:tblLook w:val="04A0" w:firstRow="1" w:lastRow="0" w:firstColumn="1" w:lastColumn="0" w:noHBand="0" w:noVBand="1"/>
      </w:tblPr>
      <w:tblGrid>
        <w:gridCol w:w="257"/>
        <w:gridCol w:w="8769"/>
      </w:tblGrid>
      <w:tr w:rsidR="001D1D59" w:rsidRPr="0096716F" w14:paraId="0352C1FD" w14:textId="77777777" w:rsidTr="00F177F6">
        <w:tc>
          <w:tcPr>
            <w:tcW w:w="0" w:type="auto"/>
            <w:shd w:val="clear" w:color="auto" w:fill="FFFFFF"/>
            <w:hideMark/>
          </w:tcPr>
          <w:p w14:paraId="412D243B"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(c)</w:t>
            </w:r>
          </w:p>
        </w:tc>
        <w:tc>
          <w:tcPr>
            <w:tcW w:w="0" w:type="auto"/>
            <w:shd w:val="clear" w:color="auto" w:fill="FFFFFF"/>
            <w:hideMark/>
          </w:tcPr>
          <w:p w14:paraId="7BD3B1A3"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p>
        </w:tc>
      </w:tr>
    </w:tbl>
    <w:p w14:paraId="18E8BF7C" w14:textId="77777777" w:rsidR="001D1D59" w:rsidRPr="0096716F" w:rsidRDefault="001D1D59" w:rsidP="001D1D59">
      <w:pPr>
        <w:shd w:val="clear" w:color="auto" w:fill="FFFFFF"/>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Where the proceedings referred to in this paragraph may be commenced in situations where there is only a likelihood of insolvency, their purpose shall be to avoid the debtor's insolvency or the cessation of the debtor's business activities.</w:t>
      </w:r>
    </w:p>
    <w:p w14:paraId="3406B0D9" w14:textId="77777777" w:rsidR="001D1D59" w:rsidRPr="0096716F" w:rsidRDefault="001D1D59" w:rsidP="001D1D59">
      <w:pPr>
        <w:shd w:val="clear" w:color="auto" w:fill="FFFFFF"/>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The proceedings referred to in this paragraph are listed in Annex A.</w:t>
      </w:r>
    </w:p>
    <w:p w14:paraId="7FBB332B" w14:textId="77777777" w:rsidR="001D1D59" w:rsidRPr="0096716F" w:rsidRDefault="001D1D59" w:rsidP="001D1D59">
      <w:pPr>
        <w:shd w:val="clear" w:color="auto" w:fill="FFFFFF"/>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2.   This Regulation shall not apply to proceedings referred to in paragraph 1 that concern:</w:t>
      </w:r>
    </w:p>
    <w:tbl>
      <w:tblPr>
        <w:tblW w:w="5000" w:type="pct"/>
        <w:shd w:val="clear" w:color="auto" w:fill="FFFFFF"/>
        <w:tblCellMar>
          <w:left w:w="0" w:type="dxa"/>
          <w:right w:w="0" w:type="dxa"/>
        </w:tblCellMar>
        <w:tblLook w:val="04A0" w:firstRow="1" w:lastRow="0" w:firstColumn="1" w:lastColumn="0" w:noHBand="0" w:noVBand="1"/>
      </w:tblPr>
      <w:tblGrid>
        <w:gridCol w:w="932"/>
        <w:gridCol w:w="8094"/>
      </w:tblGrid>
      <w:tr w:rsidR="001D1D59" w:rsidRPr="0096716F" w14:paraId="57AC0A6A" w14:textId="77777777" w:rsidTr="00F177F6">
        <w:tc>
          <w:tcPr>
            <w:tcW w:w="0" w:type="auto"/>
            <w:shd w:val="clear" w:color="auto" w:fill="FFFFFF"/>
            <w:hideMark/>
          </w:tcPr>
          <w:p w14:paraId="4BA6FD9E"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(a)</w:t>
            </w:r>
          </w:p>
        </w:tc>
        <w:tc>
          <w:tcPr>
            <w:tcW w:w="0" w:type="auto"/>
            <w:shd w:val="clear" w:color="auto" w:fill="FFFFFF"/>
            <w:hideMark/>
          </w:tcPr>
          <w:p w14:paraId="605C801F"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insurance undertakings;</w:t>
            </w:r>
          </w:p>
        </w:tc>
      </w:tr>
    </w:tbl>
    <w:p w14:paraId="7E186696" w14:textId="77777777" w:rsidR="001D1D59" w:rsidRPr="0096716F" w:rsidRDefault="001D1D59" w:rsidP="001D1D59">
      <w:pPr>
        <w:jc w:val="both"/>
        <w:rPr>
          <w:rFonts w:ascii="Arial" w:hAnsi="Arial" w:cs="Arial"/>
          <w:vanish/>
          <w:color w:val="000000" w:themeColor="text1"/>
          <w:sz w:val="22"/>
          <w:szCs w:val="22"/>
          <w:lang w:eastAsia="es-PE"/>
        </w:rPr>
      </w:pPr>
    </w:p>
    <w:tbl>
      <w:tblPr>
        <w:tblW w:w="5000" w:type="pct"/>
        <w:shd w:val="clear" w:color="auto" w:fill="FFFFFF"/>
        <w:tblCellMar>
          <w:left w:w="0" w:type="dxa"/>
          <w:right w:w="0" w:type="dxa"/>
        </w:tblCellMar>
        <w:tblLook w:val="04A0" w:firstRow="1" w:lastRow="0" w:firstColumn="1" w:lastColumn="0" w:noHBand="0" w:noVBand="1"/>
      </w:tblPr>
      <w:tblGrid>
        <w:gridCol w:w="1233"/>
        <w:gridCol w:w="7793"/>
      </w:tblGrid>
      <w:tr w:rsidR="001D1D59" w:rsidRPr="0096716F" w14:paraId="308211A5" w14:textId="77777777" w:rsidTr="00F177F6">
        <w:tc>
          <w:tcPr>
            <w:tcW w:w="0" w:type="auto"/>
            <w:shd w:val="clear" w:color="auto" w:fill="FFFFFF"/>
            <w:hideMark/>
          </w:tcPr>
          <w:p w14:paraId="09247FC8"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(b)</w:t>
            </w:r>
          </w:p>
        </w:tc>
        <w:tc>
          <w:tcPr>
            <w:tcW w:w="0" w:type="auto"/>
            <w:shd w:val="clear" w:color="auto" w:fill="FFFFFF"/>
            <w:hideMark/>
          </w:tcPr>
          <w:p w14:paraId="5846D5B9"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credit institutions;</w:t>
            </w:r>
          </w:p>
        </w:tc>
      </w:tr>
    </w:tbl>
    <w:p w14:paraId="08EBAEF4" w14:textId="77777777" w:rsidR="001D1D59" w:rsidRPr="0096716F" w:rsidRDefault="001D1D59" w:rsidP="001D1D59">
      <w:pPr>
        <w:jc w:val="both"/>
        <w:rPr>
          <w:rFonts w:ascii="Arial" w:hAnsi="Arial" w:cs="Arial"/>
          <w:vanish/>
          <w:color w:val="000000" w:themeColor="text1"/>
          <w:sz w:val="22"/>
          <w:szCs w:val="22"/>
          <w:lang w:eastAsia="es-PE"/>
        </w:rPr>
      </w:pPr>
    </w:p>
    <w:tbl>
      <w:tblPr>
        <w:tblW w:w="5000" w:type="pct"/>
        <w:shd w:val="clear" w:color="auto" w:fill="FFFFFF"/>
        <w:tblCellMar>
          <w:left w:w="0" w:type="dxa"/>
          <w:right w:w="0" w:type="dxa"/>
        </w:tblCellMar>
        <w:tblLook w:val="04A0" w:firstRow="1" w:lastRow="0" w:firstColumn="1" w:lastColumn="0" w:noHBand="0" w:noVBand="1"/>
      </w:tblPr>
      <w:tblGrid>
        <w:gridCol w:w="257"/>
        <w:gridCol w:w="8769"/>
      </w:tblGrid>
      <w:tr w:rsidR="001D1D59" w:rsidRPr="0096716F" w14:paraId="6549AF3F" w14:textId="77777777" w:rsidTr="00F177F6">
        <w:tc>
          <w:tcPr>
            <w:tcW w:w="0" w:type="auto"/>
            <w:shd w:val="clear" w:color="auto" w:fill="FFFFFF"/>
            <w:hideMark/>
          </w:tcPr>
          <w:p w14:paraId="54A3691B"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(c)</w:t>
            </w:r>
          </w:p>
        </w:tc>
        <w:tc>
          <w:tcPr>
            <w:tcW w:w="0" w:type="auto"/>
            <w:shd w:val="clear" w:color="auto" w:fill="FFFFFF"/>
            <w:hideMark/>
          </w:tcPr>
          <w:p w14:paraId="1C041FEE"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investment firms and other firms, institutions and undertakings to the extent that they are covered by Directive 2001/24/EC; or</w:t>
            </w:r>
          </w:p>
        </w:tc>
      </w:tr>
    </w:tbl>
    <w:p w14:paraId="56D4F028" w14:textId="77777777" w:rsidR="001D1D59" w:rsidRPr="0096716F" w:rsidRDefault="001D1D59" w:rsidP="001D1D59">
      <w:pPr>
        <w:jc w:val="both"/>
        <w:rPr>
          <w:rFonts w:ascii="Arial" w:hAnsi="Arial" w:cs="Arial"/>
          <w:vanish/>
          <w:color w:val="000000" w:themeColor="text1"/>
          <w:sz w:val="22"/>
          <w:szCs w:val="22"/>
          <w:lang w:eastAsia="es-PE"/>
        </w:rPr>
      </w:pPr>
    </w:p>
    <w:tbl>
      <w:tblPr>
        <w:tblW w:w="5000" w:type="pct"/>
        <w:shd w:val="clear" w:color="auto" w:fill="FFFFFF"/>
        <w:tblCellMar>
          <w:left w:w="0" w:type="dxa"/>
          <w:right w:w="0" w:type="dxa"/>
        </w:tblCellMar>
        <w:tblLook w:val="04A0" w:firstRow="1" w:lastRow="0" w:firstColumn="1" w:lastColumn="0" w:noHBand="0" w:noVBand="1"/>
      </w:tblPr>
      <w:tblGrid>
        <w:gridCol w:w="660"/>
        <w:gridCol w:w="8366"/>
      </w:tblGrid>
      <w:tr w:rsidR="001D1D59" w:rsidRPr="0096716F" w14:paraId="7931F21C" w14:textId="77777777" w:rsidTr="00F177F6">
        <w:tc>
          <w:tcPr>
            <w:tcW w:w="0" w:type="auto"/>
            <w:shd w:val="clear" w:color="auto" w:fill="FFFFFF"/>
            <w:hideMark/>
          </w:tcPr>
          <w:p w14:paraId="420E1A6E"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(d)</w:t>
            </w:r>
          </w:p>
        </w:tc>
        <w:tc>
          <w:tcPr>
            <w:tcW w:w="0" w:type="auto"/>
            <w:shd w:val="clear" w:color="auto" w:fill="FFFFFF"/>
            <w:hideMark/>
          </w:tcPr>
          <w:p w14:paraId="3218B704"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collective investment undertakings.</w:t>
            </w:r>
          </w:p>
        </w:tc>
      </w:tr>
    </w:tbl>
    <w:p w14:paraId="0C221E53" w14:textId="77777777" w:rsidR="001D1D59" w:rsidRPr="0096716F" w:rsidRDefault="001D1D59" w:rsidP="001D1D59">
      <w:pPr>
        <w:jc w:val="both"/>
        <w:rPr>
          <w:rFonts w:ascii="Arial" w:hAnsi="Arial" w:cs="Arial"/>
          <w:color w:val="000000" w:themeColor="text1"/>
          <w:sz w:val="22"/>
          <w:szCs w:val="22"/>
        </w:rPr>
      </w:pPr>
    </w:p>
    <w:p w14:paraId="13F21D43" w14:textId="77777777" w:rsidR="001D1D59" w:rsidRPr="0096716F" w:rsidRDefault="001D1D59" w:rsidP="001D1D59">
      <w:pPr>
        <w:pStyle w:val="ListParagraph"/>
        <w:numPr>
          <w:ilvl w:val="0"/>
          <w:numId w:val="13"/>
        </w:numPr>
        <w:spacing w:after="160" w:line="259" w:lineRule="auto"/>
        <w:jc w:val="both"/>
        <w:rPr>
          <w:rFonts w:ascii="Arial" w:hAnsi="Arial" w:cs="Arial"/>
          <w:b/>
          <w:bCs/>
          <w:color w:val="000000" w:themeColor="text1"/>
          <w:sz w:val="22"/>
          <w:szCs w:val="22"/>
        </w:rPr>
      </w:pPr>
      <w:r w:rsidRPr="0096716F">
        <w:rPr>
          <w:rFonts w:ascii="Arial" w:hAnsi="Arial" w:cs="Arial"/>
          <w:b/>
          <w:bCs/>
          <w:color w:val="000000" w:themeColor="text1"/>
          <w:sz w:val="22"/>
          <w:szCs w:val="22"/>
          <w:shd w:val="clear" w:color="auto" w:fill="FFFFFF"/>
        </w:rPr>
        <w:t xml:space="preserve">Definitions. Article 2 EIR </w:t>
      </w:r>
      <w:r w:rsidRPr="00FB399B">
        <w:rPr>
          <w:rFonts w:ascii="Arial" w:hAnsi="Arial" w:cs="Arial"/>
          <w:b/>
          <w:bCs/>
          <w:color w:val="000000" w:themeColor="text1"/>
          <w:sz w:val="22"/>
          <w:szCs w:val="22"/>
          <w:shd w:val="clear" w:color="auto" w:fill="FFFFFF"/>
        </w:rPr>
        <w:t>Recast. (5) Insolvency practitioner</w:t>
      </w: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1D1D59" w:rsidRPr="0096716F" w14:paraId="26894ABC" w14:textId="77777777" w:rsidTr="00F177F6">
        <w:tc>
          <w:tcPr>
            <w:tcW w:w="0" w:type="auto"/>
            <w:shd w:val="clear" w:color="auto" w:fill="FFFFFF"/>
            <w:hideMark/>
          </w:tcPr>
          <w:p w14:paraId="4A595547"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(5)</w:t>
            </w:r>
          </w:p>
        </w:tc>
        <w:tc>
          <w:tcPr>
            <w:tcW w:w="0" w:type="auto"/>
            <w:shd w:val="clear" w:color="auto" w:fill="FFFFFF"/>
            <w:hideMark/>
          </w:tcPr>
          <w:p w14:paraId="602958A3"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‘insolvency practitioner’ means any person or body whose function, including on an interim basis, is to:</w:t>
            </w:r>
          </w:p>
          <w:tbl>
            <w:tblPr>
              <w:tblW w:w="5000" w:type="pct"/>
              <w:tblCellMar>
                <w:left w:w="0" w:type="dxa"/>
                <w:right w:w="0" w:type="dxa"/>
              </w:tblCellMar>
              <w:tblLook w:val="04A0" w:firstRow="1" w:lastRow="0" w:firstColumn="1" w:lastColumn="0" w:noHBand="0" w:noVBand="1"/>
            </w:tblPr>
            <w:tblGrid>
              <w:gridCol w:w="282"/>
              <w:gridCol w:w="8475"/>
            </w:tblGrid>
            <w:tr w:rsidR="001D1D59" w:rsidRPr="0096716F" w14:paraId="1897948C" w14:textId="77777777" w:rsidTr="00F177F6">
              <w:tc>
                <w:tcPr>
                  <w:tcW w:w="0" w:type="auto"/>
                  <w:shd w:val="clear" w:color="auto" w:fill="auto"/>
                  <w:hideMark/>
                </w:tcPr>
                <w:p w14:paraId="2D3A48DF"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(i)</w:t>
                  </w:r>
                </w:p>
              </w:tc>
              <w:tc>
                <w:tcPr>
                  <w:tcW w:w="0" w:type="auto"/>
                  <w:shd w:val="clear" w:color="auto" w:fill="auto"/>
                  <w:hideMark/>
                </w:tcPr>
                <w:p w14:paraId="300A5CD1"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verify and admit claims submitted in insolvency proceedings;</w:t>
                  </w:r>
                </w:p>
              </w:tc>
            </w:tr>
          </w:tbl>
          <w:p w14:paraId="0A2A7171" w14:textId="77777777" w:rsidR="001D1D59" w:rsidRPr="0096716F" w:rsidRDefault="001D1D59" w:rsidP="00F177F6">
            <w:pPr>
              <w:jc w:val="both"/>
              <w:rPr>
                <w:rFonts w:ascii="Arial" w:hAnsi="Arial" w:cs="Arial"/>
                <w:vanish/>
                <w:color w:val="000000" w:themeColor="text1"/>
                <w:sz w:val="22"/>
                <w:szCs w:val="22"/>
                <w:lang w:eastAsia="es-PE"/>
              </w:rPr>
            </w:pPr>
          </w:p>
          <w:tbl>
            <w:tblPr>
              <w:tblW w:w="5000" w:type="pct"/>
              <w:tblCellMar>
                <w:left w:w="0" w:type="dxa"/>
                <w:right w:w="0" w:type="dxa"/>
              </w:tblCellMar>
              <w:tblLook w:val="04A0" w:firstRow="1" w:lastRow="0" w:firstColumn="1" w:lastColumn="0" w:noHBand="0" w:noVBand="1"/>
            </w:tblPr>
            <w:tblGrid>
              <w:gridCol w:w="441"/>
              <w:gridCol w:w="8316"/>
            </w:tblGrid>
            <w:tr w:rsidR="001D1D59" w:rsidRPr="0096716F" w14:paraId="4FA2E4D9" w14:textId="77777777" w:rsidTr="00F177F6">
              <w:tc>
                <w:tcPr>
                  <w:tcW w:w="0" w:type="auto"/>
                  <w:shd w:val="clear" w:color="auto" w:fill="auto"/>
                  <w:hideMark/>
                </w:tcPr>
                <w:p w14:paraId="194EA078"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lastRenderedPageBreak/>
                    <w:t>(ii)</w:t>
                  </w:r>
                </w:p>
              </w:tc>
              <w:tc>
                <w:tcPr>
                  <w:tcW w:w="0" w:type="auto"/>
                  <w:shd w:val="clear" w:color="auto" w:fill="auto"/>
                  <w:hideMark/>
                </w:tcPr>
                <w:p w14:paraId="786ED9B5"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represent the collective interest of the creditors;</w:t>
                  </w:r>
                </w:p>
              </w:tc>
            </w:tr>
          </w:tbl>
          <w:p w14:paraId="3732287B" w14:textId="77777777" w:rsidR="001D1D59" w:rsidRPr="0096716F" w:rsidRDefault="001D1D59" w:rsidP="00F177F6">
            <w:pPr>
              <w:jc w:val="both"/>
              <w:rPr>
                <w:rFonts w:ascii="Arial" w:hAnsi="Arial" w:cs="Arial"/>
                <w:vanish/>
                <w:color w:val="000000" w:themeColor="text1"/>
                <w:sz w:val="22"/>
                <w:szCs w:val="22"/>
                <w:lang w:eastAsia="es-PE"/>
              </w:rPr>
            </w:pPr>
          </w:p>
          <w:tbl>
            <w:tblPr>
              <w:tblW w:w="5000" w:type="pct"/>
              <w:tblCellMar>
                <w:left w:w="0" w:type="dxa"/>
                <w:right w:w="0" w:type="dxa"/>
              </w:tblCellMar>
              <w:tblLook w:val="04A0" w:firstRow="1" w:lastRow="0" w:firstColumn="1" w:lastColumn="0" w:noHBand="0" w:noVBand="1"/>
            </w:tblPr>
            <w:tblGrid>
              <w:gridCol w:w="319"/>
              <w:gridCol w:w="8438"/>
            </w:tblGrid>
            <w:tr w:rsidR="001D1D59" w:rsidRPr="0096716F" w14:paraId="34F7FD62" w14:textId="77777777" w:rsidTr="00F177F6">
              <w:tc>
                <w:tcPr>
                  <w:tcW w:w="0" w:type="auto"/>
                  <w:shd w:val="clear" w:color="auto" w:fill="auto"/>
                  <w:hideMark/>
                </w:tcPr>
                <w:p w14:paraId="1A47D3BF"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(iii)</w:t>
                  </w:r>
                </w:p>
              </w:tc>
              <w:tc>
                <w:tcPr>
                  <w:tcW w:w="0" w:type="auto"/>
                  <w:shd w:val="clear" w:color="auto" w:fill="auto"/>
                  <w:hideMark/>
                </w:tcPr>
                <w:p w14:paraId="509310CA"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administer, either in full or in part, assets of which the debtor has been divested;</w:t>
                  </w:r>
                </w:p>
              </w:tc>
            </w:tr>
          </w:tbl>
          <w:p w14:paraId="28C076F0" w14:textId="77777777" w:rsidR="001D1D59" w:rsidRPr="0096716F" w:rsidRDefault="001D1D59" w:rsidP="00F177F6">
            <w:pPr>
              <w:jc w:val="both"/>
              <w:rPr>
                <w:rFonts w:ascii="Arial" w:hAnsi="Arial" w:cs="Arial"/>
                <w:vanish/>
                <w:color w:val="000000" w:themeColor="text1"/>
                <w:sz w:val="22"/>
                <w:szCs w:val="22"/>
                <w:lang w:eastAsia="es-PE"/>
              </w:rPr>
            </w:pPr>
          </w:p>
          <w:tbl>
            <w:tblPr>
              <w:tblW w:w="5000" w:type="pct"/>
              <w:tblCellMar>
                <w:left w:w="0" w:type="dxa"/>
                <w:right w:w="0" w:type="dxa"/>
              </w:tblCellMar>
              <w:tblLook w:val="04A0" w:firstRow="1" w:lastRow="0" w:firstColumn="1" w:lastColumn="0" w:noHBand="0" w:noVBand="1"/>
            </w:tblPr>
            <w:tblGrid>
              <w:gridCol w:w="569"/>
              <w:gridCol w:w="8188"/>
            </w:tblGrid>
            <w:tr w:rsidR="001D1D59" w:rsidRPr="0096716F" w14:paraId="605D8C0C" w14:textId="77777777" w:rsidTr="00F177F6">
              <w:tc>
                <w:tcPr>
                  <w:tcW w:w="0" w:type="auto"/>
                  <w:shd w:val="clear" w:color="auto" w:fill="auto"/>
                  <w:hideMark/>
                </w:tcPr>
                <w:p w14:paraId="7A9FA2F6"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(iv)</w:t>
                  </w:r>
                </w:p>
              </w:tc>
              <w:tc>
                <w:tcPr>
                  <w:tcW w:w="0" w:type="auto"/>
                  <w:shd w:val="clear" w:color="auto" w:fill="auto"/>
                  <w:hideMark/>
                </w:tcPr>
                <w:p w14:paraId="593BA609"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liquidate the assets referred to in point (iii); or</w:t>
                  </w:r>
                </w:p>
              </w:tc>
            </w:tr>
          </w:tbl>
          <w:p w14:paraId="7FD28DF5" w14:textId="77777777" w:rsidR="001D1D59" w:rsidRPr="0096716F" w:rsidRDefault="001D1D59" w:rsidP="00F177F6">
            <w:pPr>
              <w:jc w:val="both"/>
              <w:rPr>
                <w:rFonts w:ascii="Arial" w:hAnsi="Arial" w:cs="Arial"/>
                <w:vanish/>
                <w:color w:val="000000" w:themeColor="text1"/>
                <w:sz w:val="22"/>
                <w:szCs w:val="22"/>
                <w:lang w:eastAsia="es-PE"/>
              </w:rPr>
            </w:pPr>
          </w:p>
          <w:tbl>
            <w:tblPr>
              <w:tblW w:w="5000" w:type="pct"/>
              <w:tblCellMar>
                <w:left w:w="0" w:type="dxa"/>
                <w:right w:w="0" w:type="dxa"/>
              </w:tblCellMar>
              <w:tblLook w:val="04A0" w:firstRow="1" w:lastRow="0" w:firstColumn="1" w:lastColumn="0" w:noHBand="0" w:noVBand="1"/>
            </w:tblPr>
            <w:tblGrid>
              <w:gridCol w:w="436"/>
              <w:gridCol w:w="8321"/>
            </w:tblGrid>
            <w:tr w:rsidR="001D1D59" w:rsidRPr="0096716F" w14:paraId="04DAAE4E" w14:textId="77777777" w:rsidTr="00F177F6">
              <w:tc>
                <w:tcPr>
                  <w:tcW w:w="0" w:type="auto"/>
                  <w:shd w:val="clear" w:color="auto" w:fill="auto"/>
                  <w:hideMark/>
                </w:tcPr>
                <w:p w14:paraId="4B9CFBE5"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(v)</w:t>
                  </w:r>
                </w:p>
              </w:tc>
              <w:tc>
                <w:tcPr>
                  <w:tcW w:w="0" w:type="auto"/>
                  <w:shd w:val="clear" w:color="auto" w:fill="auto"/>
                  <w:hideMark/>
                </w:tcPr>
                <w:p w14:paraId="60785ED3"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supervise the administration of the debtor's affairs.</w:t>
                  </w:r>
                </w:p>
              </w:tc>
            </w:tr>
          </w:tbl>
          <w:p w14:paraId="545D9E28"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The persons and bodies referred to in the first subparagraph are listed in Annex B;</w:t>
            </w:r>
          </w:p>
        </w:tc>
      </w:tr>
    </w:tbl>
    <w:p w14:paraId="7C04DED7" w14:textId="77777777" w:rsidR="001D1D59" w:rsidRPr="0096716F" w:rsidRDefault="001D1D59" w:rsidP="001D1D59">
      <w:pPr>
        <w:jc w:val="both"/>
        <w:rPr>
          <w:rFonts w:ascii="Arial" w:hAnsi="Arial" w:cs="Arial"/>
          <w:color w:val="000000" w:themeColor="text1"/>
          <w:sz w:val="22"/>
          <w:szCs w:val="22"/>
        </w:rPr>
      </w:pPr>
    </w:p>
    <w:p w14:paraId="61E5E86C" w14:textId="77777777" w:rsidR="001D1D59" w:rsidRPr="0096716F" w:rsidRDefault="001D1D59" w:rsidP="001D1D59">
      <w:pPr>
        <w:pStyle w:val="ListParagraph"/>
        <w:numPr>
          <w:ilvl w:val="0"/>
          <w:numId w:val="13"/>
        </w:numPr>
        <w:spacing w:after="160" w:line="259" w:lineRule="auto"/>
        <w:jc w:val="both"/>
        <w:rPr>
          <w:rFonts w:ascii="Arial" w:eastAsiaTheme="minorHAnsi" w:hAnsi="Arial" w:cs="Arial"/>
          <w:color w:val="000000" w:themeColor="text1"/>
          <w:sz w:val="22"/>
          <w:szCs w:val="22"/>
        </w:rPr>
      </w:pPr>
      <w:r w:rsidRPr="0096716F">
        <w:rPr>
          <w:rFonts w:ascii="Arial" w:hAnsi="Arial" w:cs="Arial"/>
          <w:color w:val="000000" w:themeColor="text1"/>
          <w:sz w:val="22"/>
          <w:szCs w:val="22"/>
        </w:rPr>
        <w:t xml:space="preserve"> </w:t>
      </w:r>
      <w:r w:rsidRPr="0096716F">
        <w:rPr>
          <w:rFonts w:ascii="Arial" w:hAnsi="Arial" w:cs="Arial"/>
          <w:b/>
          <w:bCs/>
          <w:color w:val="000000" w:themeColor="text1"/>
          <w:sz w:val="22"/>
          <w:szCs w:val="22"/>
          <w:lang w:eastAsia="es-PE"/>
        </w:rPr>
        <w:t>Cooperation and communication between insolvency practitioners. Article 56 EIR Recast</w:t>
      </w:r>
    </w:p>
    <w:p w14:paraId="4C125D10" w14:textId="77777777" w:rsidR="001D1D59" w:rsidRPr="0096716F" w:rsidRDefault="001D1D59" w:rsidP="001D1D59">
      <w:pPr>
        <w:shd w:val="clear" w:color="auto" w:fill="FFFFFF"/>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1.   Where insolvency proceedings relate to two or more members of a group of companies, an insolvency practitioner appointed in proceedings concerning a member of the group shall cooperate with any insolvency practitioner appointed in proceedings concerning another member of the same group to the extent that such cooperation is appropriate to facilitate the effective administration of those proceedings, is not incompatible with the rules applicable to such proceedings and does not entail any conflict of interest. That cooperation may take any form, including the conclusion of agreements or protocols.</w:t>
      </w:r>
    </w:p>
    <w:p w14:paraId="778902E1" w14:textId="77777777" w:rsidR="001D1D59" w:rsidRPr="0096716F" w:rsidRDefault="001D1D59" w:rsidP="001D1D59">
      <w:pPr>
        <w:shd w:val="clear" w:color="auto" w:fill="FFFFFF"/>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2.   In implementing the cooperation set out in paragraph 1, insolvency practitioners shall:</w:t>
      </w: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1D1D59" w:rsidRPr="0096716F" w14:paraId="32509F1F" w14:textId="77777777" w:rsidTr="00F177F6">
        <w:tc>
          <w:tcPr>
            <w:tcW w:w="0" w:type="auto"/>
            <w:shd w:val="clear" w:color="auto" w:fill="FFFFFF"/>
            <w:hideMark/>
          </w:tcPr>
          <w:p w14:paraId="5E406A4C"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(a)</w:t>
            </w:r>
          </w:p>
        </w:tc>
        <w:tc>
          <w:tcPr>
            <w:tcW w:w="0" w:type="auto"/>
            <w:shd w:val="clear" w:color="auto" w:fill="FFFFFF"/>
            <w:hideMark/>
          </w:tcPr>
          <w:p w14:paraId="683AC97D"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as soon as possible communicate to each other any information which may be relevant to the other proceedings, provided appropriate arrangements are made to protect confidential information;</w:t>
            </w:r>
          </w:p>
        </w:tc>
      </w:tr>
    </w:tbl>
    <w:p w14:paraId="59F53284" w14:textId="77777777" w:rsidR="001D1D59" w:rsidRPr="0096716F" w:rsidRDefault="001D1D59" w:rsidP="001D1D59">
      <w:pPr>
        <w:jc w:val="both"/>
        <w:rPr>
          <w:rFonts w:ascii="Arial" w:hAnsi="Arial" w:cs="Arial"/>
          <w:vanish/>
          <w:color w:val="000000" w:themeColor="text1"/>
          <w:sz w:val="22"/>
          <w:szCs w:val="22"/>
          <w:lang w:eastAsia="es-PE"/>
        </w:rPr>
      </w:pP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1D1D59" w:rsidRPr="0096716F" w14:paraId="3908ABEF" w14:textId="77777777" w:rsidTr="00F177F6">
        <w:tc>
          <w:tcPr>
            <w:tcW w:w="0" w:type="auto"/>
            <w:shd w:val="clear" w:color="auto" w:fill="FFFFFF"/>
            <w:hideMark/>
          </w:tcPr>
          <w:p w14:paraId="2E9FCC05"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(b)</w:t>
            </w:r>
          </w:p>
        </w:tc>
        <w:tc>
          <w:tcPr>
            <w:tcW w:w="0" w:type="auto"/>
            <w:shd w:val="clear" w:color="auto" w:fill="FFFFFF"/>
            <w:hideMark/>
          </w:tcPr>
          <w:p w14:paraId="43629C08"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consider whether possibilities exist for coordinating the administration and supervision of the affairs of the group members which are subject to insolvency proceedings, and if so, coordinate such administration and supervision;</w:t>
            </w:r>
          </w:p>
        </w:tc>
      </w:tr>
    </w:tbl>
    <w:p w14:paraId="1CB8BF2D" w14:textId="77777777" w:rsidR="001D1D59" w:rsidRPr="0096716F" w:rsidRDefault="001D1D59" w:rsidP="001D1D59">
      <w:pPr>
        <w:jc w:val="both"/>
        <w:rPr>
          <w:rFonts w:ascii="Arial" w:hAnsi="Arial" w:cs="Arial"/>
          <w:vanish/>
          <w:color w:val="000000" w:themeColor="text1"/>
          <w:sz w:val="22"/>
          <w:szCs w:val="22"/>
          <w:lang w:eastAsia="es-PE"/>
        </w:rPr>
      </w:pPr>
    </w:p>
    <w:tbl>
      <w:tblPr>
        <w:tblW w:w="5000" w:type="pct"/>
        <w:shd w:val="clear" w:color="auto" w:fill="FFFFFF"/>
        <w:tblCellMar>
          <w:left w:w="0" w:type="dxa"/>
          <w:right w:w="0" w:type="dxa"/>
        </w:tblCellMar>
        <w:tblLook w:val="04A0" w:firstRow="1" w:lastRow="0" w:firstColumn="1" w:lastColumn="0" w:noHBand="0" w:noVBand="1"/>
      </w:tblPr>
      <w:tblGrid>
        <w:gridCol w:w="257"/>
        <w:gridCol w:w="8769"/>
      </w:tblGrid>
      <w:tr w:rsidR="001D1D59" w:rsidRPr="0096716F" w14:paraId="24B81F9C" w14:textId="77777777" w:rsidTr="00F177F6">
        <w:tc>
          <w:tcPr>
            <w:tcW w:w="0" w:type="auto"/>
            <w:shd w:val="clear" w:color="auto" w:fill="FFFFFF"/>
            <w:hideMark/>
          </w:tcPr>
          <w:p w14:paraId="768AE288"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(c)</w:t>
            </w:r>
          </w:p>
        </w:tc>
        <w:tc>
          <w:tcPr>
            <w:tcW w:w="0" w:type="auto"/>
            <w:shd w:val="clear" w:color="auto" w:fill="FFFFFF"/>
            <w:hideMark/>
          </w:tcPr>
          <w:p w14:paraId="49217CA8" w14:textId="77777777" w:rsidR="001D1D59" w:rsidRPr="0096716F" w:rsidRDefault="001D1D59" w:rsidP="00F177F6">
            <w:pPr>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consider whether possibilities exist for restructuring group members which are subject to insolvency proceedings and, if so, coordinate with regard to the proposal and negotiation of a coordinated restructuring plan.</w:t>
            </w:r>
          </w:p>
        </w:tc>
      </w:tr>
    </w:tbl>
    <w:p w14:paraId="5ABBB1A7" w14:textId="31237A05" w:rsidR="001D1D59" w:rsidRPr="001D1D59" w:rsidRDefault="001D1D59" w:rsidP="001D1D59">
      <w:pPr>
        <w:shd w:val="clear" w:color="auto" w:fill="FFFFFF"/>
        <w:spacing w:before="120" w:line="312" w:lineRule="atLeast"/>
        <w:jc w:val="both"/>
        <w:rPr>
          <w:rFonts w:ascii="Arial" w:hAnsi="Arial" w:cs="Arial"/>
          <w:color w:val="000000" w:themeColor="text1"/>
          <w:sz w:val="22"/>
          <w:szCs w:val="22"/>
          <w:lang w:eastAsia="es-PE"/>
        </w:rPr>
      </w:pPr>
      <w:r w:rsidRPr="0096716F">
        <w:rPr>
          <w:rFonts w:ascii="Arial" w:hAnsi="Arial" w:cs="Arial"/>
          <w:color w:val="000000" w:themeColor="text1"/>
          <w:sz w:val="22"/>
          <w:szCs w:val="22"/>
          <w:lang w:eastAsia="es-PE"/>
        </w:rPr>
        <w:t>For the purposes of points (b) and (c), all or some of the insolvency practitioners referred to in paragraph 1 may agree to grant additional powers to an insolvency practitioner appointed in one of the proceedings where such an agreement is permitted by the rules applicable to each of the proceedings. They may also agree on the allocation of certain tasks amongst them, where such allocation of tasks is permitted by the rules applicable to each of the proceedings.</w:t>
      </w: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176EFFF5" w14:textId="77777777" w:rsidR="007B4BBD" w:rsidRDefault="007B4BBD" w:rsidP="007B4BBD">
      <w:pPr>
        <w:pStyle w:val="Heading1"/>
        <w:numPr>
          <w:ilvl w:val="0"/>
          <w:numId w:val="14"/>
        </w:numPr>
        <w:tabs>
          <w:tab w:val="left" w:pos="831"/>
          <w:tab w:val="left" w:pos="832"/>
        </w:tabs>
        <w:ind w:left="786"/>
      </w:pPr>
      <w:bookmarkStart w:id="4" w:name="_TOC_250006"/>
      <w:r>
        <w:t>Right</w:t>
      </w:r>
      <w:r>
        <w:rPr>
          <w:spacing w:val="-5"/>
        </w:rPr>
        <w:t xml:space="preserve"> </w:t>
      </w:r>
      <w:r>
        <w:t>to</w:t>
      </w:r>
      <w:r>
        <w:rPr>
          <w:spacing w:val="-4"/>
        </w:rPr>
        <w:t xml:space="preserve"> </w:t>
      </w:r>
      <w:r>
        <w:t>give</w:t>
      </w:r>
      <w:r>
        <w:rPr>
          <w:spacing w:val="-4"/>
        </w:rPr>
        <w:t xml:space="preserve"> </w:t>
      </w:r>
      <w:r>
        <w:t>an</w:t>
      </w:r>
      <w:r>
        <w:rPr>
          <w:spacing w:val="-4"/>
        </w:rPr>
        <w:t xml:space="preserve"> </w:t>
      </w:r>
      <w:r>
        <w:t>undertaking</w:t>
      </w:r>
      <w:r>
        <w:rPr>
          <w:spacing w:val="-4"/>
        </w:rPr>
        <w:t xml:space="preserve"> </w:t>
      </w:r>
      <w:r>
        <w:t>(“synthetic”</w:t>
      </w:r>
      <w:r>
        <w:rPr>
          <w:spacing w:val="-4"/>
        </w:rPr>
        <w:t xml:space="preserve"> </w:t>
      </w:r>
      <w:r>
        <w:t>secondary</w:t>
      </w:r>
      <w:r>
        <w:rPr>
          <w:spacing w:val="-4"/>
        </w:rPr>
        <w:t xml:space="preserve"> </w:t>
      </w:r>
      <w:bookmarkEnd w:id="4"/>
      <w:r>
        <w:t>proceedings)</w:t>
      </w:r>
    </w:p>
    <w:p w14:paraId="185E2815" w14:textId="77777777" w:rsidR="007B4BBD" w:rsidRDefault="007B4BBD" w:rsidP="007B4BBD">
      <w:pPr>
        <w:pStyle w:val="Heading1"/>
        <w:tabs>
          <w:tab w:val="left" w:pos="831"/>
          <w:tab w:val="left" w:pos="832"/>
        </w:tabs>
        <w:ind w:left="720"/>
      </w:pPr>
    </w:p>
    <w:p w14:paraId="6F346B71" w14:textId="77777777" w:rsidR="007B4BBD" w:rsidRPr="007B4BBD" w:rsidRDefault="007B4BBD" w:rsidP="007B4BBD">
      <w:pPr>
        <w:pStyle w:val="Heading1"/>
        <w:tabs>
          <w:tab w:val="left" w:pos="831"/>
          <w:tab w:val="left" w:pos="832"/>
        </w:tabs>
        <w:ind w:left="0"/>
        <w:jc w:val="both"/>
        <w:rPr>
          <w:b w:val="0"/>
          <w:bCs w:val="0"/>
        </w:rPr>
      </w:pPr>
      <w:r w:rsidRPr="007B4BBD">
        <w:rPr>
          <w:b w:val="0"/>
          <w:bCs w:val="0"/>
        </w:rPr>
        <w:t xml:space="preserve">For example, courts authorize an administrator of a group of companies to implement the assurances given earlier to creditors in the relevant European jurisdictions and hence to depart </w:t>
      </w:r>
      <w:r w:rsidRPr="007B4BBD">
        <w:rPr>
          <w:b w:val="0"/>
          <w:bCs w:val="0"/>
        </w:rPr>
        <w:lastRenderedPageBreak/>
        <w:t>from the application of the ordinary provisions of the law of the main proceedings.</w:t>
      </w:r>
    </w:p>
    <w:p w14:paraId="490AC8A2" w14:textId="77777777" w:rsidR="007B4BBD" w:rsidRPr="007B4BBD" w:rsidRDefault="007B4BBD" w:rsidP="007B4BBD">
      <w:pPr>
        <w:pStyle w:val="Heading1"/>
        <w:tabs>
          <w:tab w:val="left" w:pos="831"/>
          <w:tab w:val="left" w:pos="832"/>
        </w:tabs>
        <w:ind w:left="0"/>
        <w:jc w:val="both"/>
        <w:rPr>
          <w:b w:val="0"/>
          <w:bCs w:val="0"/>
        </w:rPr>
      </w:pPr>
    </w:p>
    <w:p w14:paraId="3DBFCEFC" w14:textId="77777777" w:rsidR="007B4BBD" w:rsidRPr="007B4BBD" w:rsidRDefault="007B4BBD" w:rsidP="007B4BBD">
      <w:pPr>
        <w:pStyle w:val="Heading1"/>
        <w:tabs>
          <w:tab w:val="left" w:pos="831"/>
          <w:tab w:val="left" w:pos="832"/>
        </w:tabs>
        <w:ind w:left="0"/>
        <w:jc w:val="both"/>
        <w:rPr>
          <w:b w:val="0"/>
          <w:bCs w:val="0"/>
        </w:rPr>
      </w:pPr>
      <w:r w:rsidRPr="007B4BBD">
        <w:rPr>
          <w:b w:val="0"/>
          <w:bCs w:val="0"/>
        </w:rPr>
        <w:t>In this case, the</w:t>
      </w:r>
      <w:r w:rsidRPr="007B4BBD">
        <w:rPr>
          <w:b w:val="0"/>
          <w:bCs w:val="0"/>
          <w:spacing w:val="1"/>
        </w:rPr>
        <w:t xml:space="preserve"> </w:t>
      </w:r>
      <w:r w:rsidRPr="007B4BBD">
        <w:rPr>
          <w:b w:val="0"/>
          <w:bCs w:val="0"/>
        </w:rPr>
        <w:t>court asked to open secondary proceedings should not, at the request of the</w:t>
      </w:r>
      <w:r w:rsidRPr="007B4BBD">
        <w:rPr>
          <w:b w:val="0"/>
          <w:bCs w:val="0"/>
          <w:spacing w:val="1"/>
        </w:rPr>
        <w:t xml:space="preserve"> </w:t>
      </w:r>
      <w:r w:rsidRPr="007B4BBD">
        <w:rPr>
          <w:b w:val="0"/>
          <w:bCs w:val="0"/>
        </w:rPr>
        <w:t>insolvency practitioner, open them if it is satisfied that the undertaking adequately</w:t>
      </w:r>
      <w:r w:rsidRPr="007B4BBD">
        <w:rPr>
          <w:b w:val="0"/>
          <w:bCs w:val="0"/>
          <w:spacing w:val="1"/>
        </w:rPr>
        <w:t xml:space="preserve"> </w:t>
      </w:r>
      <w:r w:rsidRPr="007B4BBD">
        <w:rPr>
          <w:b w:val="0"/>
          <w:bCs w:val="0"/>
        </w:rPr>
        <w:t>protects the general interests of local creditors.</w:t>
      </w:r>
    </w:p>
    <w:p w14:paraId="48BD8BA9" w14:textId="77777777" w:rsidR="007B4BBD" w:rsidRPr="007B4BBD" w:rsidRDefault="007B4BBD" w:rsidP="007B4BBD">
      <w:pPr>
        <w:pStyle w:val="Heading1"/>
        <w:tabs>
          <w:tab w:val="left" w:pos="831"/>
          <w:tab w:val="left" w:pos="832"/>
        </w:tabs>
        <w:ind w:left="0"/>
      </w:pPr>
    </w:p>
    <w:p w14:paraId="2AA3C018" w14:textId="77777777" w:rsidR="007B4BBD" w:rsidRPr="007B4BBD" w:rsidRDefault="007B4BBD" w:rsidP="007B4BBD">
      <w:pPr>
        <w:pStyle w:val="Heading1"/>
        <w:numPr>
          <w:ilvl w:val="0"/>
          <w:numId w:val="14"/>
        </w:numPr>
        <w:tabs>
          <w:tab w:val="left" w:pos="831"/>
          <w:tab w:val="left" w:pos="832"/>
        </w:tabs>
      </w:pPr>
      <w:bookmarkStart w:id="5" w:name="_Hlk71221024"/>
      <w:r w:rsidRPr="007B4BBD">
        <w:t>Stay</w:t>
      </w:r>
      <w:r w:rsidRPr="007B4BBD">
        <w:rPr>
          <w:spacing w:val="-4"/>
        </w:rPr>
        <w:t xml:space="preserve"> </w:t>
      </w:r>
      <w:r w:rsidRPr="007B4BBD">
        <w:t>of</w:t>
      </w:r>
      <w:r w:rsidRPr="007B4BBD">
        <w:rPr>
          <w:spacing w:val="-3"/>
        </w:rPr>
        <w:t xml:space="preserve"> </w:t>
      </w:r>
      <w:r w:rsidRPr="007B4BBD">
        <w:t>the</w:t>
      </w:r>
      <w:r w:rsidRPr="007B4BBD">
        <w:rPr>
          <w:spacing w:val="-4"/>
        </w:rPr>
        <w:t xml:space="preserve"> </w:t>
      </w:r>
      <w:r w:rsidRPr="007B4BBD">
        <w:t>opening</w:t>
      </w:r>
      <w:r w:rsidRPr="007B4BBD">
        <w:rPr>
          <w:spacing w:val="-4"/>
        </w:rPr>
        <w:t xml:space="preserve"> </w:t>
      </w:r>
      <w:r w:rsidRPr="007B4BBD">
        <w:t>of</w:t>
      </w:r>
      <w:r w:rsidRPr="007B4BBD">
        <w:rPr>
          <w:spacing w:val="-3"/>
        </w:rPr>
        <w:t xml:space="preserve"> </w:t>
      </w:r>
      <w:r w:rsidRPr="007B4BBD">
        <w:t>secondary</w:t>
      </w:r>
      <w:r w:rsidRPr="007B4BBD">
        <w:rPr>
          <w:spacing w:val="-4"/>
        </w:rPr>
        <w:t xml:space="preserve"> </w:t>
      </w:r>
      <w:r w:rsidRPr="007B4BBD">
        <w:t>insolvency</w:t>
      </w:r>
      <w:r w:rsidRPr="007B4BBD">
        <w:rPr>
          <w:spacing w:val="-3"/>
        </w:rPr>
        <w:t xml:space="preserve"> </w:t>
      </w:r>
      <w:r w:rsidRPr="007B4BBD">
        <w:t>proceedings</w:t>
      </w:r>
    </w:p>
    <w:bookmarkEnd w:id="5"/>
    <w:p w14:paraId="670D2033" w14:textId="77777777" w:rsidR="007B4BBD" w:rsidRPr="007B4BBD" w:rsidRDefault="007B4BBD" w:rsidP="007B4BBD">
      <w:pPr>
        <w:pStyle w:val="ListParagraph"/>
        <w:jc w:val="both"/>
        <w:rPr>
          <w:rFonts w:ascii="Arial" w:hAnsi="Arial" w:cs="Arial"/>
          <w:color w:val="000000" w:themeColor="text1"/>
          <w:sz w:val="22"/>
          <w:szCs w:val="22"/>
        </w:rPr>
      </w:pPr>
    </w:p>
    <w:p w14:paraId="7D99294D" w14:textId="47BDE34C" w:rsidR="007B4BBD" w:rsidRPr="007B4BBD" w:rsidRDefault="007B4BBD" w:rsidP="007B4BBD">
      <w:pPr>
        <w:jc w:val="both"/>
        <w:rPr>
          <w:rFonts w:ascii="Arial" w:hAnsi="Arial" w:cs="Arial"/>
          <w:sz w:val="22"/>
          <w:szCs w:val="22"/>
        </w:rPr>
      </w:pPr>
      <w:r w:rsidRPr="007B4BBD">
        <w:rPr>
          <w:rFonts w:ascii="Arial" w:hAnsi="Arial" w:cs="Arial"/>
          <w:color w:val="000000" w:themeColor="text1"/>
          <w:sz w:val="22"/>
          <w:szCs w:val="22"/>
        </w:rPr>
        <w:t xml:space="preserve">For instance, when an insolvency practitioner or the debtor in possession request to the court a stay of the opening of secondary insolvency proceedings. This stay </w:t>
      </w:r>
      <w:r w:rsidRPr="007B4BBD">
        <w:rPr>
          <w:rFonts w:ascii="Arial" w:hAnsi="Arial" w:cs="Arial"/>
          <w:sz w:val="22"/>
          <w:szCs w:val="22"/>
        </w:rPr>
        <w:t>may be imposed for a</w:t>
      </w:r>
      <w:r w:rsidRPr="007B4BBD">
        <w:rPr>
          <w:rFonts w:ascii="Arial" w:hAnsi="Arial" w:cs="Arial"/>
          <w:spacing w:val="1"/>
          <w:sz w:val="22"/>
          <w:szCs w:val="22"/>
        </w:rPr>
        <w:t xml:space="preserve"> </w:t>
      </w:r>
      <w:r w:rsidRPr="007B4BBD">
        <w:rPr>
          <w:rFonts w:ascii="Arial" w:hAnsi="Arial" w:cs="Arial"/>
          <w:sz w:val="22"/>
          <w:szCs w:val="22"/>
        </w:rPr>
        <w:t>period not exceeding three months and on condition that suitable measures are in</w:t>
      </w:r>
      <w:r w:rsidRPr="007B4BBD">
        <w:rPr>
          <w:rFonts w:ascii="Arial" w:hAnsi="Arial" w:cs="Arial"/>
          <w:spacing w:val="1"/>
          <w:sz w:val="22"/>
          <w:szCs w:val="22"/>
        </w:rPr>
        <w:t xml:space="preserve"> </w:t>
      </w:r>
      <w:r w:rsidRPr="007B4BBD">
        <w:rPr>
          <w:rFonts w:ascii="Arial" w:hAnsi="Arial" w:cs="Arial"/>
          <w:sz w:val="22"/>
          <w:szCs w:val="22"/>
        </w:rPr>
        <w:t>place</w:t>
      </w:r>
      <w:r w:rsidRPr="007B4BBD">
        <w:rPr>
          <w:rFonts w:ascii="Arial" w:hAnsi="Arial" w:cs="Arial"/>
          <w:spacing w:val="3"/>
          <w:sz w:val="22"/>
          <w:szCs w:val="22"/>
        </w:rPr>
        <w:t xml:space="preserve"> </w:t>
      </w:r>
      <w:r w:rsidRPr="007B4BBD">
        <w:rPr>
          <w:rFonts w:ascii="Arial" w:hAnsi="Arial" w:cs="Arial"/>
          <w:sz w:val="22"/>
          <w:szCs w:val="22"/>
        </w:rPr>
        <w:t>to</w:t>
      </w:r>
      <w:r w:rsidRPr="007B4BBD">
        <w:rPr>
          <w:rFonts w:ascii="Arial" w:hAnsi="Arial" w:cs="Arial"/>
          <w:spacing w:val="3"/>
          <w:sz w:val="22"/>
          <w:szCs w:val="22"/>
        </w:rPr>
        <w:t xml:space="preserve"> </w:t>
      </w:r>
      <w:r w:rsidRPr="007B4BBD">
        <w:rPr>
          <w:rFonts w:ascii="Arial" w:hAnsi="Arial" w:cs="Arial"/>
          <w:sz w:val="22"/>
          <w:szCs w:val="22"/>
        </w:rPr>
        <w:t>protect</w:t>
      </w:r>
      <w:r w:rsidRPr="007B4BBD">
        <w:rPr>
          <w:rFonts w:ascii="Arial" w:hAnsi="Arial" w:cs="Arial"/>
          <w:spacing w:val="4"/>
          <w:sz w:val="22"/>
          <w:szCs w:val="22"/>
        </w:rPr>
        <w:t xml:space="preserve"> </w:t>
      </w:r>
      <w:r w:rsidRPr="007B4BBD">
        <w:rPr>
          <w:rFonts w:ascii="Arial" w:hAnsi="Arial" w:cs="Arial"/>
          <w:sz w:val="22"/>
          <w:szCs w:val="22"/>
        </w:rPr>
        <w:t>the</w:t>
      </w:r>
      <w:r w:rsidRPr="007B4BBD">
        <w:rPr>
          <w:rFonts w:ascii="Arial" w:hAnsi="Arial" w:cs="Arial"/>
          <w:spacing w:val="3"/>
          <w:sz w:val="22"/>
          <w:szCs w:val="22"/>
        </w:rPr>
        <w:t xml:space="preserve"> </w:t>
      </w:r>
      <w:r w:rsidRPr="007B4BBD">
        <w:rPr>
          <w:rFonts w:ascii="Arial" w:hAnsi="Arial" w:cs="Arial"/>
          <w:sz w:val="22"/>
          <w:szCs w:val="22"/>
        </w:rPr>
        <w:t>interests</w:t>
      </w:r>
      <w:r w:rsidRPr="007B4BBD">
        <w:rPr>
          <w:rFonts w:ascii="Arial" w:hAnsi="Arial" w:cs="Arial"/>
          <w:spacing w:val="4"/>
          <w:sz w:val="22"/>
          <w:szCs w:val="22"/>
        </w:rPr>
        <w:t xml:space="preserve"> </w:t>
      </w:r>
      <w:r w:rsidRPr="007B4BBD">
        <w:rPr>
          <w:rFonts w:ascii="Arial" w:hAnsi="Arial" w:cs="Arial"/>
          <w:sz w:val="22"/>
          <w:szCs w:val="22"/>
        </w:rPr>
        <w:t>of</w:t>
      </w:r>
      <w:r w:rsidRPr="007B4BBD">
        <w:rPr>
          <w:rFonts w:ascii="Arial" w:hAnsi="Arial" w:cs="Arial"/>
          <w:spacing w:val="3"/>
          <w:sz w:val="22"/>
          <w:szCs w:val="22"/>
        </w:rPr>
        <w:t xml:space="preserve"> </w:t>
      </w:r>
      <w:r w:rsidRPr="007B4BBD">
        <w:rPr>
          <w:rFonts w:ascii="Arial" w:hAnsi="Arial" w:cs="Arial"/>
          <w:sz w:val="22"/>
          <w:szCs w:val="22"/>
        </w:rPr>
        <w:t>local</w:t>
      </w:r>
      <w:r w:rsidRPr="007B4BBD">
        <w:rPr>
          <w:rFonts w:ascii="Arial" w:hAnsi="Arial" w:cs="Arial"/>
          <w:spacing w:val="4"/>
          <w:sz w:val="22"/>
          <w:szCs w:val="22"/>
        </w:rPr>
        <w:t xml:space="preserve"> </w:t>
      </w:r>
      <w:r w:rsidRPr="007B4BBD">
        <w:rPr>
          <w:rFonts w:ascii="Arial" w:hAnsi="Arial" w:cs="Arial"/>
          <w:sz w:val="22"/>
          <w:szCs w:val="22"/>
        </w:rPr>
        <w:t>creditors.</w:t>
      </w:r>
    </w:p>
    <w:p w14:paraId="5AC5B0DA" w14:textId="77777777" w:rsidR="007B4BBD" w:rsidRPr="007B4BBD" w:rsidRDefault="007B4BBD" w:rsidP="007B4BBD">
      <w:pPr>
        <w:jc w:val="both"/>
        <w:rPr>
          <w:rFonts w:ascii="Arial" w:hAnsi="Arial" w:cs="Arial"/>
          <w:color w:val="000000" w:themeColor="text1"/>
          <w:sz w:val="22"/>
          <w:szCs w:val="22"/>
        </w:rPr>
      </w:pPr>
    </w:p>
    <w:p w14:paraId="321358EA" w14:textId="1BA68D5A" w:rsidR="009954B2" w:rsidRPr="007B4BBD" w:rsidRDefault="007B4BBD" w:rsidP="002A37BB">
      <w:pPr>
        <w:jc w:val="both"/>
        <w:rPr>
          <w:rFonts w:ascii="Arial" w:hAnsi="Arial" w:cs="Arial"/>
          <w:color w:val="000000" w:themeColor="text1"/>
          <w:sz w:val="22"/>
          <w:szCs w:val="22"/>
        </w:rPr>
      </w:pPr>
      <w:r w:rsidRPr="007B4BBD">
        <w:rPr>
          <w:rFonts w:ascii="Arial" w:hAnsi="Arial" w:cs="Arial"/>
          <w:color w:val="000000" w:themeColor="text1"/>
          <w:sz w:val="22"/>
          <w:szCs w:val="22"/>
        </w:rPr>
        <w:t>The EIR Recast provides for the possibility for the court to temporarily stay the opening of secondary insolvency proceedings, when a temporary stay of individual enforcement proceedings has been granted in the main insolvency proceedings.</w:t>
      </w: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00FB106D" w14:textId="2AD0C947" w:rsidR="007D1911" w:rsidRPr="007D1911" w:rsidRDefault="007D1911" w:rsidP="007D1911">
      <w:pPr>
        <w:jc w:val="both"/>
        <w:rPr>
          <w:rFonts w:ascii="Arial" w:hAnsi="Arial" w:cs="Arial"/>
          <w:color w:val="000000"/>
          <w:sz w:val="22"/>
          <w:szCs w:val="22"/>
          <w:shd w:val="clear" w:color="auto" w:fill="FFFFFF"/>
        </w:rPr>
      </w:pPr>
      <w:r w:rsidRPr="007D1911">
        <w:rPr>
          <w:rFonts w:ascii="Arial" w:hAnsi="Arial" w:cs="Arial"/>
          <w:color w:val="000000"/>
          <w:sz w:val="22"/>
          <w:szCs w:val="22"/>
          <w:shd w:val="clear" w:color="auto" w:fill="FFFFFF"/>
        </w:rPr>
        <w:t xml:space="preserve">On 12 December 2012, the Commission adopted a report on the application of Council Regulation (EC) No 1346/2002. The report concluded that the Regulation is functioning well in general but that it would be desirable to improve the application of certain of its provisions in order to enhance the effective administration of cross-border insolvency proceedings. </w:t>
      </w:r>
    </w:p>
    <w:p w14:paraId="26C6815C" w14:textId="77777777" w:rsidR="007D1911" w:rsidRPr="007D1911" w:rsidRDefault="007D1911" w:rsidP="007D1911">
      <w:pPr>
        <w:jc w:val="both"/>
        <w:rPr>
          <w:rFonts w:ascii="Arial" w:hAnsi="Arial" w:cs="Arial"/>
          <w:color w:val="000000"/>
          <w:sz w:val="22"/>
          <w:szCs w:val="22"/>
          <w:shd w:val="clear" w:color="auto" w:fill="FFFFFF"/>
        </w:rPr>
      </w:pPr>
    </w:p>
    <w:p w14:paraId="3AB1E8F5" w14:textId="285D74B9" w:rsidR="007D1911" w:rsidRPr="007D1911" w:rsidRDefault="007D1911" w:rsidP="007D1911">
      <w:pPr>
        <w:jc w:val="both"/>
        <w:rPr>
          <w:rFonts w:ascii="Arial" w:hAnsi="Arial" w:cs="Arial"/>
          <w:sz w:val="22"/>
          <w:szCs w:val="22"/>
        </w:rPr>
      </w:pPr>
      <w:r w:rsidRPr="007D1911">
        <w:rPr>
          <w:rFonts w:ascii="Arial" w:hAnsi="Arial" w:cs="Arial"/>
          <w:color w:val="000000"/>
          <w:sz w:val="22"/>
          <w:szCs w:val="22"/>
          <w:shd w:val="clear" w:color="auto" w:fill="FFFFFF"/>
        </w:rPr>
        <w:t>Furthermore, according to this report</w:t>
      </w:r>
      <w:r w:rsidRPr="007D1911">
        <w:rPr>
          <w:rStyle w:val="FootnoteReference"/>
          <w:rFonts w:ascii="Arial" w:hAnsi="Arial" w:cs="Arial"/>
          <w:color w:val="000000"/>
          <w:sz w:val="22"/>
          <w:szCs w:val="22"/>
          <w:shd w:val="clear" w:color="auto" w:fill="FFFFFF"/>
        </w:rPr>
        <w:footnoteReference w:id="1"/>
      </w:r>
      <w:r w:rsidRPr="007D1911">
        <w:rPr>
          <w:rFonts w:ascii="Arial" w:hAnsi="Arial" w:cs="Arial"/>
          <w:color w:val="000000"/>
          <w:sz w:val="22"/>
          <w:szCs w:val="22"/>
          <w:shd w:val="clear" w:color="auto" w:fill="FFFFFF"/>
        </w:rPr>
        <w:t xml:space="preserve">, among the main </w:t>
      </w:r>
      <w:r w:rsidRPr="007D1911">
        <w:rPr>
          <w:rFonts w:ascii="Arial" w:hAnsi="Arial" w:cs="Arial"/>
          <w:sz w:val="22"/>
          <w:szCs w:val="22"/>
        </w:rPr>
        <w:t xml:space="preserve">elements of the proposed reform of the Insolvency Regulation can be </w:t>
      </w:r>
      <w:proofErr w:type="spellStart"/>
      <w:r w:rsidRPr="007D1911">
        <w:rPr>
          <w:rFonts w:ascii="Arial" w:hAnsi="Arial" w:cs="Arial"/>
          <w:sz w:val="22"/>
          <w:szCs w:val="22"/>
        </w:rPr>
        <w:t>summarised</w:t>
      </w:r>
      <w:proofErr w:type="spellEnd"/>
      <w:r w:rsidRPr="007D1911">
        <w:rPr>
          <w:rFonts w:ascii="Arial" w:hAnsi="Arial" w:cs="Arial"/>
          <w:sz w:val="22"/>
          <w:szCs w:val="22"/>
        </w:rPr>
        <w:t xml:space="preserve"> as follows:</w:t>
      </w:r>
    </w:p>
    <w:p w14:paraId="2453AFEE" w14:textId="77777777" w:rsidR="007D1911" w:rsidRPr="007D1911" w:rsidRDefault="007D1911" w:rsidP="007D1911">
      <w:pPr>
        <w:jc w:val="both"/>
        <w:rPr>
          <w:rFonts w:ascii="Arial" w:hAnsi="Arial" w:cs="Arial"/>
          <w:color w:val="000000"/>
          <w:sz w:val="22"/>
          <w:szCs w:val="22"/>
          <w:shd w:val="clear" w:color="auto" w:fill="FFFFFF"/>
        </w:rPr>
      </w:pPr>
    </w:p>
    <w:p w14:paraId="5642E428" w14:textId="39910551" w:rsidR="007D1911" w:rsidRPr="007D1911" w:rsidRDefault="007D1911" w:rsidP="007D1911">
      <w:pPr>
        <w:jc w:val="both"/>
        <w:rPr>
          <w:rFonts w:ascii="Arial" w:hAnsi="Arial" w:cs="Arial"/>
          <w:b/>
          <w:bCs/>
          <w:sz w:val="22"/>
          <w:szCs w:val="22"/>
        </w:rPr>
      </w:pPr>
      <w:r w:rsidRPr="007D1911">
        <w:rPr>
          <w:rFonts w:ascii="Arial" w:hAnsi="Arial" w:cs="Arial"/>
          <w:b/>
          <w:bCs/>
          <w:sz w:val="22"/>
          <w:szCs w:val="22"/>
        </w:rPr>
        <w:t xml:space="preserve">Scope: </w:t>
      </w:r>
    </w:p>
    <w:p w14:paraId="0B85D5B0" w14:textId="77777777" w:rsidR="007D1911" w:rsidRPr="007D1911" w:rsidRDefault="007D1911" w:rsidP="007D1911">
      <w:pPr>
        <w:jc w:val="both"/>
        <w:rPr>
          <w:rFonts w:ascii="Arial" w:hAnsi="Arial" w:cs="Arial"/>
          <w:b/>
          <w:bCs/>
          <w:sz w:val="22"/>
          <w:szCs w:val="22"/>
        </w:rPr>
      </w:pPr>
    </w:p>
    <w:p w14:paraId="5F37C013" w14:textId="28636B93" w:rsidR="007D1911" w:rsidRPr="007D1911" w:rsidRDefault="007D1911" w:rsidP="007D1911">
      <w:pPr>
        <w:jc w:val="both"/>
        <w:rPr>
          <w:rFonts w:ascii="Arial" w:hAnsi="Arial" w:cs="Arial"/>
          <w:sz w:val="22"/>
          <w:szCs w:val="22"/>
        </w:rPr>
      </w:pPr>
      <w:r w:rsidRPr="007D1911">
        <w:rPr>
          <w:rFonts w:ascii="Arial" w:hAnsi="Arial" w:cs="Arial"/>
          <w:sz w:val="22"/>
          <w:szCs w:val="22"/>
        </w:rPr>
        <w:t>The proposal extends the scope of the Regulation by revising the definition of insolvency proceedings to include hybrid and pre-insolvency proceedings as well as debt discharge proceedings and other insolvency proceedings for natural persons which currently do not fit the definition.</w:t>
      </w:r>
    </w:p>
    <w:p w14:paraId="0922A772" w14:textId="77777777" w:rsidR="007D1911" w:rsidRPr="007D1911" w:rsidRDefault="007D1911" w:rsidP="007D1911">
      <w:pPr>
        <w:jc w:val="both"/>
        <w:rPr>
          <w:rFonts w:ascii="Arial" w:hAnsi="Arial" w:cs="Arial"/>
          <w:sz w:val="22"/>
          <w:szCs w:val="22"/>
        </w:rPr>
      </w:pPr>
    </w:p>
    <w:p w14:paraId="78D0882B" w14:textId="117E6701" w:rsidR="007D1911" w:rsidRPr="007D1911" w:rsidRDefault="007D1911" w:rsidP="007D1911">
      <w:pPr>
        <w:jc w:val="both"/>
        <w:rPr>
          <w:rFonts w:ascii="Arial" w:hAnsi="Arial" w:cs="Arial"/>
          <w:b/>
          <w:bCs/>
          <w:sz w:val="22"/>
          <w:szCs w:val="22"/>
        </w:rPr>
      </w:pPr>
      <w:r w:rsidRPr="007D1911">
        <w:rPr>
          <w:rFonts w:ascii="Arial" w:hAnsi="Arial" w:cs="Arial"/>
          <w:b/>
          <w:bCs/>
          <w:sz w:val="22"/>
          <w:szCs w:val="22"/>
        </w:rPr>
        <w:t xml:space="preserve">Jurisdiction: </w:t>
      </w:r>
    </w:p>
    <w:p w14:paraId="394259BF" w14:textId="77777777" w:rsidR="007D1911" w:rsidRPr="007D1911" w:rsidRDefault="007D1911" w:rsidP="007D1911">
      <w:pPr>
        <w:jc w:val="both"/>
        <w:rPr>
          <w:rFonts w:ascii="Arial" w:hAnsi="Arial" w:cs="Arial"/>
          <w:b/>
          <w:bCs/>
          <w:sz w:val="22"/>
          <w:szCs w:val="22"/>
        </w:rPr>
      </w:pPr>
    </w:p>
    <w:p w14:paraId="7304CFB5" w14:textId="4179B9B2" w:rsidR="007D1911" w:rsidRPr="007D1911" w:rsidRDefault="007D1911" w:rsidP="007D1911">
      <w:pPr>
        <w:jc w:val="both"/>
        <w:rPr>
          <w:rFonts w:ascii="Arial" w:hAnsi="Arial" w:cs="Arial"/>
          <w:sz w:val="22"/>
          <w:szCs w:val="22"/>
        </w:rPr>
      </w:pPr>
      <w:r w:rsidRPr="007D1911">
        <w:rPr>
          <w:rFonts w:ascii="Arial" w:hAnsi="Arial" w:cs="Arial"/>
          <w:sz w:val="22"/>
          <w:szCs w:val="22"/>
        </w:rPr>
        <w:t>The proposal clarifies the jurisdiction rules and improves the procedural framework for determining jurisdiction.</w:t>
      </w:r>
    </w:p>
    <w:p w14:paraId="75D5BC2D" w14:textId="77777777" w:rsidR="007D1911" w:rsidRPr="007D1911" w:rsidRDefault="007D1911" w:rsidP="007D1911">
      <w:pPr>
        <w:jc w:val="both"/>
        <w:rPr>
          <w:rFonts w:ascii="Arial" w:hAnsi="Arial" w:cs="Arial"/>
          <w:sz w:val="22"/>
          <w:szCs w:val="22"/>
        </w:rPr>
      </w:pPr>
    </w:p>
    <w:p w14:paraId="1AA136C9" w14:textId="23A0F460" w:rsidR="007D1911" w:rsidRPr="007D1911" w:rsidRDefault="007D1911" w:rsidP="007D1911">
      <w:pPr>
        <w:jc w:val="both"/>
        <w:rPr>
          <w:rFonts w:ascii="Arial" w:hAnsi="Arial" w:cs="Arial"/>
          <w:b/>
          <w:bCs/>
          <w:sz w:val="22"/>
          <w:szCs w:val="22"/>
        </w:rPr>
      </w:pPr>
      <w:r w:rsidRPr="007D1911">
        <w:rPr>
          <w:rFonts w:ascii="Arial" w:hAnsi="Arial" w:cs="Arial"/>
          <w:b/>
          <w:bCs/>
          <w:sz w:val="22"/>
          <w:szCs w:val="22"/>
        </w:rPr>
        <w:t xml:space="preserve">Secondary proceedings: </w:t>
      </w:r>
    </w:p>
    <w:p w14:paraId="70CBBB3F" w14:textId="77777777" w:rsidR="007D1911" w:rsidRPr="007D1911" w:rsidRDefault="007D1911" w:rsidP="007D1911">
      <w:pPr>
        <w:jc w:val="both"/>
        <w:rPr>
          <w:rFonts w:ascii="Arial" w:hAnsi="Arial" w:cs="Arial"/>
          <w:b/>
          <w:bCs/>
          <w:sz w:val="22"/>
          <w:szCs w:val="22"/>
        </w:rPr>
      </w:pPr>
    </w:p>
    <w:p w14:paraId="35BF8361" w14:textId="52DB5ED0" w:rsidR="007D1911" w:rsidRPr="007D1911" w:rsidRDefault="007D1911" w:rsidP="007D1911">
      <w:pPr>
        <w:jc w:val="both"/>
        <w:rPr>
          <w:rFonts w:ascii="Arial" w:hAnsi="Arial" w:cs="Arial"/>
          <w:sz w:val="22"/>
          <w:szCs w:val="22"/>
        </w:rPr>
      </w:pPr>
      <w:r w:rsidRPr="007D1911">
        <w:rPr>
          <w:rFonts w:ascii="Arial" w:hAnsi="Arial" w:cs="Arial"/>
          <w:sz w:val="22"/>
          <w:szCs w:val="22"/>
        </w:rPr>
        <w:t xml:space="preserve">The proposal provides for a more efficient administration of insolvency proceedings by enabling the court to refuse the opening of secondary proceedings if this is not necessary to </w:t>
      </w:r>
      <w:r w:rsidRPr="007D1911">
        <w:rPr>
          <w:rFonts w:ascii="Arial" w:hAnsi="Arial" w:cs="Arial"/>
          <w:sz w:val="22"/>
          <w:szCs w:val="22"/>
        </w:rPr>
        <w:lastRenderedPageBreak/>
        <w:t>protect the interests of local creditors, by abolishing the requirement that secondary proceedings must be winding-up proceedings and by improving the cooperation between main and secondary proceedings, in particular by extending the cooperation requirements to the courts involved.</w:t>
      </w:r>
    </w:p>
    <w:p w14:paraId="44D14660" w14:textId="77777777" w:rsidR="007D1911" w:rsidRPr="007D1911" w:rsidRDefault="007D1911" w:rsidP="007D1911">
      <w:pPr>
        <w:jc w:val="both"/>
        <w:rPr>
          <w:rFonts w:ascii="Arial" w:hAnsi="Arial" w:cs="Arial"/>
          <w:sz w:val="22"/>
          <w:szCs w:val="22"/>
        </w:rPr>
      </w:pPr>
    </w:p>
    <w:p w14:paraId="0F1FE939" w14:textId="2B85B189" w:rsidR="007D1911" w:rsidRPr="007D1911" w:rsidRDefault="007D1911" w:rsidP="007D1911">
      <w:pPr>
        <w:jc w:val="both"/>
        <w:rPr>
          <w:rFonts w:ascii="Arial" w:hAnsi="Arial" w:cs="Arial"/>
          <w:b/>
          <w:bCs/>
          <w:sz w:val="22"/>
          <w:szCs w:val="22"/>
        </w:rPr>
      </w:pPr>
      <w:r w:rsidRPr="007D1911">
        <w:rPr>
          <w:rFonts w:ascii="Arial" w:hAnsi="Arial" w:cs="Arial"/>
          <w:b/>
          <w:bCs/>
          <w:sz w:val="22"/>
          <w:szCs w:val="22"/>
        </w:rPr>
        <w:t xml:space="preserve">Publicity of proceedings and lodging of claims: </w:t>
      </w:r>
    </w:p>
    <w:p w14:paraId="42F89462" w14:textId="77777777" w:rsidR="007D1911" w:rsidRPr="007D1911" w:rsidRDefault="007D1911" w:rsidP="007D1911">
      <w:pPr>
        <w:jc w:val="both"/>
        <w:rPr>
          <w:rFonts w:ascii="Arial" w:hAnsi="Arial" w:cs="Arial"/>
          <w:b/>
          <w:bCs/>
          <w:sz w:val="22"/>
          <w:szCs w:val="22"/>
        </w:rPr>
      </w:pPr>
    </w:p>
    <w:p w14:paraId="5642E009" w14:textId="5561559B" w:rsidR="007D1911" w:rsidRPr="007D1911" w:rsidRDefault="007D1911" w:rsidP="007D1911">
      <w:pPr>
        <w:jc w:val="both"/>
        <w:rPr>
          <w:rFonts w:ascii="Arial" w:hAnsi="Arial" w:cs="Arial"/>
          <w:sz w:val="22"/>
          <w:szCs w:val="22"/>
        </w:rPr>
      </w:pPr>
      <w:r w:rsidRPr="007D1911">
        <w:rPr>
          <w:rFonts w:ascii="Arial" w:hAnsi="Arial" w:cs="Arial"/>
          <w:sz w:val="22"/>
          <w:szCs w:val="22"/>
        </w:rPr>
        <w:t>The proposal requires Member States to publish the relevant court decisions in cross-border insolvency cases in a publicly accessible electronic register and provides for the interconnection of national insolvency registers. It also introduces standard forms for the lodging of claims.</w:t>
      </w:r>
    </w:p>
    <w:p w14:paraId="121E0BA1" w14:textId="77777777" w:rsidR="007D1911" w:rsidRPr="007D1911" w:rsidRDefault="007D1911" w:rsidP="007D1911">
      <w:pPr>
        <w:jc w:val="both"/>
        <w:rPr>
          <w:rFonts w:ascii="Arial" w:hAnsi="Arial" w:cs="Arial"/>
          <w:sz w:val="22"/>
          <w:szCs w:val="22"/>
        </w:rPr>
      </w:pPr>
    </w:p>
    <w:p w14:paraId="5E99992D" w14:textId="25B0DDAE" w:rsidR="007D1911" w:rsidRPr="007D1911" w:rsidRDefault="007D1911" w:rsidP="007D1911">
      <w:pPr>
        <w:jc w:val="both"/>
        <w:rPr>
          <w:rFonts w:ascii="Arial" w:hAnsi="Arial" w:cs="Arial"/>
          <w:b/>
          <w:bCs/>
          <w:sz w:val="22"/>
          <w:szCs w:val="22"/>
        </w:rPr>
      </w:pPr>
      <w:r w:rsidRPr="007D1911">
        <w:rPr>
          <w:rFonts w:ascii="Arial" w:hAnsi="Arial" w:cs="Arial"/>
          <w:b/>
          <w:bCs/>
          <w:sz w:val="22"/>
          <w:szCs w:val="22"/>
        </w:rPr>
        <w:t xml:space="preserve">Groups of companies: </w:t>
      </w:r>
    </w:p>
    <w:p w14:paraId="0D352CEA" w14:textId="77777777" w:rsidR="007D1911" w:rsidRPr="007D1911" w:rsidRDefault="007D1911" w:rsidP="007D1911">
      <w:pPr>
        <w:jc w:val="both"/>
        <w:rPr>
          <w:rFonts w:ascii="Arial" w:hAnsi="Arial" w:cs="Arial"/>
          <w:b/>
          <w:bCs/>
          <w:sz w:val="22"/>
          <w:szCs w:val="22"/>
        </w:rPr>
      </w:pPr>
    </w:p>
    <w:p w14:paraId="4A637290" w14:textId="40CA391E" w:rsidR="00544127" w:rsidRPr="007D1911" w:rsidRDefault="007D1911" w:rsidP="007D1911">
      <w:pPr>
        <w:jc w:val="both"/>
        <w:rPr>
          <w:rFonts w:ascii="Arial" w:hAnsi="Arial" w:cs="Arial"/>
          <w:sz w:val="22"/>
          <w:szCs w:val="22"/>
        </w:rPr>
      </w:pPr>
      <w:r w:rsidRPr="007D1911">
        <w:rPr>
          <w:rFonts w:ascii="Arial" w:hAnsi="Arial" w:cs="Arial"/>
          <w:sz w:val="22"/>
          <w:szCs w:val="22"/>
        </w:rPr>
        <w:t>The proposal provides for a coordination of the insolvency proceedings concerning different members of the same group of companies by obliging the liquidators and courts involved in the different main proceedings to cooperate and communicate with each other; in addition, it gives the liquidators involved in such proceedings the procedural tools to request a stay of the respective other proceedings and to propose a rescue plan for the members of the group subject to insolvency proceedings.</w:t>
      </w: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3DAA6780" w14:textId="13836466" w:rsidR="00962045" w:rsidRPr="00362663" w:rsidRDefault="00962045" w:rsidP="002A37BB">
      <w:pPr>
        <w:jc w:val="both"/>
        <w:rPr>
          <w:rFonts w:ascii="Arial" w:hAnsi="Arial" w:cs="Arial"/>
          <w:sz w:val="22"/>
          <w:szCs w:val="22"/>
        </w:rPr>
      </w:pPr>
    </w:p>
    <w:p w14:paraId="0C40DC9B" w14:textId="77777777" w:rsidR="00362663" w:rsidRPr="00362663" w:rsidRDefault="00362663" w:rsidP="00362663">
      <w:pPr>
        <w:pStyle w:val="ListParagraph"/>
        <w:numPr>
          <w:ilvl w:val="0"/>
          <w:numId w:val="15"/>
        </w:numPr>
        <w:spacing w:after="160" w:line="259" w:lineRule="auto"/>
        <w:jc w:val="both"/>
        <w:rPr>
          <w:rFonts w:ascii="Arial" w:hAnsi="Arial" w:cs="Arial"/>
          <w:b/>
          <w:bCs/>
          <w:sz w:val="22"/>
          <w:szCs w:val="22"/>
        </w:rPr>
      </w:pPr>
      <w:r w:rsidRPr="00362663">
        <w:rPr>
          <w:rFonts w:ascii="Arial" w:hAnsi="Arial" w:cs="Arial"/>
          <w:b/>
          <w:bCs/>
          <w:sz w:val="22"/>
          <w:szCs w:val="22"/>
        </w:rPr>
        <w:t>Scope</w:t>
      </w:r>
    </w:p>
    <w:p w14:paraId="2F5BEA9B" w14:textId="4B7F2390" w:rsidR="00362663" w:rsidRPr="00362663" w:rsidRDefault="00362663" w:rsidP="00362663">
      <w:pPr>
        <w:jc w:val="both"/>
        <w:rPr>
          <w:rFonts w:ascii="Arial" w:hAnsi="Arial" w:cs="Arial"/>
          <w:sz w:val="22"/>
          <w:szCs w:val="22"/>
          <w:shd w:val="clear" w:color="auto" w:fill="FFFFFF"/>
        </w:rPr>
      </w:pPr>
      <w:r w:rsidRPr="00362663">
        <w:rPr>
          <w:rFonts w:ascii="Arial" w:hAnsi="Arial" w:cs="Arial"/>
          <w:sz w:val="22"/>
          <w:szCs w:val="22"/>
          <w:shd w:val="clear" w:color="auto" w:fill="FFFFFF"/>
        </w:rPr>
        <w:t>The scope has been extended to include certain pre-insolvency rescue and restructuring proceedings.</w:t>
      </w:r>
    </w:p>
    <w:p w14:paraId="67841EDB" w14:textId="77777777" w:rsidR="00362663" w:rsidRPr="00362663" w:rsidRDefault="00362663" w:rsidP="00362663">
      <w:pPr>
        <w:jc w:val="both"/>
        <w:rPr>
          <w:rFonts w:ascii="Arial" w:hAnsi="Arial" w:cs="Arial"/>
          <w:sz w:val="22"/>
          <w:szCs w:val="22"/>
        </w:rPr>
      </w:pPr>
    </w:p>
    <w:p w14:paraId="744418A8" w14:textId="11409A0F" w:rsidR="00362663" w:rsidRPr="00362663" w:rsidRDefault="00362663" w:rsidP="00362663">
      <w:pPr>
        <w:jc w:val="both"/>
        <w:rPr>
          <w:rFonts w:ascii="Arial" w:hAnsi="Arial" w:cs="Arial"/>
          <w:sz w:val="22"/>
          <w:szCs w:val="22"/>
        </w:rPr>
      </w:pPr>
      <w:r w:rsidRPr="00362663">
        <w:rPr>
          <w:rFonts w:ascii="Arial" w:hAnsi="Arial" w:cs="Arial"/>
          <w:sz w:val="22"/>
          <w:szCs w:val="22"/>
        </w:rPr>
        <w:t xml:space="preserve">It is noticeable from the wording of Article 1 that the EIR Recast extends not only to traditional liquidation-oriented procedures, but also to proceedings aiming at rescuing economically viable but financially distressed businesses, including those providing for a stay of individual creditors’ actions for the sake of protecting the general body of creditors. </w:t>
      </w:r>
    </w:p>
    <w:p w14:paraId="7662E885" w14:textId="77777777" w:rsidR="00362663" w:rsidRPr="00362663" w:rsidRDefault="00362663" w:rsidP="00362663">
      <w:pPr>
        <w:jc w:val="both"/>
        <w:rPr>
          <w:rFonts w:ascii="Arial" w:hAnsi="Arial" w:cs="Arial"/>
          <w:sz w:val="22"/>
          <w:szCs w:val="22"/>
        </w:rPr>
      </w:pPr>
    </w:p>
    <w:p w14:paraId="7372CD24" w14:textId="21D5CF80" w:rsidR="00362663" w:rsidRPr="00362663" w:rsidRDefault="00362663" w:rsidP="00362663">
      <w:pPr>
        <w:jc w:val="both"/>
        <w:rPr>
          <w:rFonts w:ascii="Arial" w:hAnsi="Arial" w:cs="Arial"/>
          <w:sz w:val="22"/>
          <w:szCs w:val="22"/>
        </w:rPr>
      </w:pPr>
      <w:r w:rsidRPr="00362663">
        <w:rPr>
          <w:rFonts w:ascii="Arial" w:hAnsi="Arial" w:cs="Arial"/>
          <w:sz w:val="22"/>
          <w:szCs w:val="22"/>
        </w:rPr>
        <w:t>So, companies with the expectation to restructure themselves to manage and administer the business can do that in benefit to creditors.</w:t>
      </w:r>
    </w:p>
    <w:p w14:paraId="22863233" w14:textId="77777777" w:rsidR="00362663" w:rsidRPr="00362663" w:rsidRDefault="00362663" w:rsidP="00362663">
      <w:pPr>
        <w:jc w:val="both"/>
        <w:rPr>
          <w:rFonts w:ascii="Arial" w:hAnsi="Arial" w:cs="Arial"/>
          <w:sz w:val="22"/>
          <w:szCs w:val="22"/>
        </w:rPr>
      </w:pPr>
    </w:p>
    <w:p w14:paraId="1634DA16" w14:textId="5F1939DD" w:rsidR="00362663" w:rsidRPr="00362663" w:rsidRDefault="00362663" w:rsidP="00362663">
      <w:pPr>
        <w:jc w:val="both"/>
        <w:rPr>
          <w:rFonts w:ascii="Arial" w:hAnsi="Arial" w:cs="Arial"/>
          <w:sz w:val="22"/>
          <w:szCs w:val="22"/>
        </w:rPr>
      </w:pPr>
      <w:r w:rsidRPr="00362663">
        <w:rPr>
          <w:rFonts w:ascii="Arial" w:hAnsi="Arial" w:cs="Arial"/>
          <w:sz w:val="22"/>
          <w:szCs w:val="22"/>
        </w:rPr>
        <w:t>In addition, Annex A provides a list of names of insolvency proceedings for all 27 countries covered by the EIR Recast.</w:t>
      </w:r>
    </w:p>
    <w:p w14:paraId="65CDC39A" w14:textId="77777777" w:rsidR="00362663" w:rsidRPr="00362663" w:rsidRDefault="00362663" w:rsidP="00362663">
      <w:pPr>
        <w:jc w:val="both"/>
        <w:rPr>
          <w:rFonts w:ascii="Arial" w:hAnsi="Arial" w:cs="Arial"/>
          <w:sz w:val="22"/>
          <w:szCs w:val="22"/>
        </w:rPr>
      </w:pPr>
    </w:p>
    <w:p w14:paraId="049F4926" w14:textId="77777777" w:rsidR="00362663" w:rsidRPr="00362663" w:rsidRDefault="00362663" w:rsidP="00362663">
      <w:pPr>
        <w:pStyle w:val="ListParagraph"/>
        <w:numPr>
          <w:ilvl w:val="0"/>
          <w:numId w:val="15"/>
        </w:numPr>
        <w:spacing w:after="160" w:line="259" w:lineRule="auto"/>
        <w:jc w:val="both"/>
        <w:rPr>
          <w:rFonts w:ascii="Arial" w:hAnsi="Arial" w:cs="Arial"/>
          <w:b/>
          <w:bCs/>
          <w:sz w:val="22"/>
          <w:szCs w:val="22"/>
        </w:rPr>
      </w:pPr>
      <w:r w:rsidRPr="00362663">
        <w:rPr>
          <w:rFonts w:ascii="Arial" w:hAnsi="Arial" w:cs="Arial"/>
          <w:b/>
          <w:bCs/>
          <w:sz w:val="22"/>
          <w:szCs w:val="22"/>
        </w:rPr>
        <w:t xml:space="preserve">Synthetic secondary proceedings </w:t>
      </w:r>
    </w:p>
    <w:p w14:paraId="6DC5F165" w14:textId="4D0CF173" w:rsidR="00362663" w:rsidRPr="00362663" w:rsidRDefault="00362663" w:rsidP="00362663">
      <w:pPr>
        <w:jc w:val="both"/>
        <w:rPr>
          <w:rFonts w:ascii="Arial" w:hAnsi="Arial" w:cs="Arial"/>
          <w:sz w:val="22"/>
          <w:szCs w:val="22"/>
        </w:rPr>
      </w:pPr>
      <w:r w:rsidRPr="00362663">
        <w:rPr>
          <w:rFonts w:ascii="Arial" w:hAnsi="Arial" w:cs="Arial"/>
          <w:sz w:val="22"/>
          <w:szCs w:val="22"/>
        </w:rPr>
        <w:t>Secondary proceedings undeniably complicate the operation of an insolvent</w:t>
      </w:r>
      <w:r w:rsidRPr="00362663">
        <w:rPr>
          <w:rFonts w:ascii="Arial" w:hAnsi="Arial" w:cs="Arial"/>
          <w:spacing w:val="1"/>
          <w:sz w:val="22"/>
          <w:szCs w:val="22"/>
        </w:rPr>
        <w:t xml:space="preserve"> </w:t>
      </w:r>
      <w:r w:rsidRPr="00362663">
        <w:rPr>
          <w:rFonts w:ascii="Arial" w:hAnsi="Arial" w:cs="Arial"/>
          <w:sz w:val="22"/>
          <w:szCs w:val="22"/>
        </w:rPr>
        <w:t>debtor, result in additional costs for insolvency practitioners and courts, lengthen the proceedings either to the detriment of creditors and or may disrupt the debtor’s</w:t>
      </w:r>
      <w:r w:rsidRPr="00362663">
        <w:rPr>
          <w:rFonts w:ascii="Arial" w:hAnsi="Arial" w:cs="Arial"/>
          <w:spacing w:val="1"/>
          <w:sz w:val="22"/>
          <w:szCs w:val="22"/>
        </w:rPr>
        <w:t xml:space="preserve"> </w:t>
      </w:r>
      <w:r w:rsidRPr="00362663">
        <w:rPr>
          <w:rFonts w:ascii="Arial" w:hAnsi="Arial" w:cs="Arial"/>
          <w:sz w:val="22"/>
          <w:szCs w:val="22"/>
        </w:rPr>
        <w:t>efficient restructuring or liquidation.</w:t>
      </w:r>
    </w:p>
    <w:p w14:paraId="5A88CC28" w14:textId="77777777" w:rsidR="00362663" w:rsidRPr="00362663" w:rsidRDefault="00362663" w:rsidP="00362663">
      <w:pPr>
        <w:jc w:val="both"/>
        <w:rPr>
          <w:rFonts w:ascii="Arial" w:hAnsi="Arial" w:cs="Arial"/>
          <w:sz w:val="22"/>
          <w:szCs w:val="22"/>
        </w:rPr>
      </w:pPr>
    </w:p>
    <w:p w14:paraId="5DCAB18A" w14:textId="5405018C" w:rsidR="00362663" w:rsidRPr="00362663" w:rsidRDefault="00362663" w:rsidP="00362663">
      <w:pPr>
        <w:jc w:val="both"/>
        <w:rPr>
          <w:rFonts w:ascii="Arial" w:hAnsi="Arial" w:cs="Arial"/>
          <w:sz w:val="22"/>
          <w:szCs w:val="22"/>
          <w:shd w:val="clear" w:color="auto" w:fill="FFFFFF"/>
        </w:rPr>
      </w:pPr>
      <w:r w:rsidRPr="00362663">
        <w:rPr>
          <w:rFonts w:ascii="Arial" w:hAnsi="Arial" w:cs="Arial"/>
          <w:sz w:val="22"/>
          <w:szCs w:val="22"/>
          <w:shd w:val="clear" w:color="auto" w:fill="FFFFFF"/>
        </w:rPr>
        <w:t>Secondary proceedings are limited to the debtor's assets in the member state where they are opened.  They can cause difficulties for the office-holder in the main proceedings. To avoid this, the office-holder may now give an undertaking to treat claims of foreign creditors in the same way as they would be treated in the local jurisdiction. </w:t>
      </w:r>
      <w:r w:rsidRPr="00362663">
        <w:rPr>
          <w:rFonts w:ascii="Arial" w:hAnsi="Arial" w:cs="Arial"/>
          <w:sz w:val="22"/>
          <w:szCs w:val="22"/>
        </w:rPr>
        <w:t>As</w:t>
      </w:r>
      <w:r w:rsidRPr="00362663">
        <w:rPr>
          <w:rFonts w:ascii="Arial" w:hAnsi="Arial" w:cs="Arial"/>
          <w:spacing w:val="1"/>
          <w:sz w:val="22"/>
          <w:szCs w:val="22"/>
        </w:rPr>
        <w:t xml:space="preserve"> </w:t>
      </w:r>
      <w:r w:rsidRPr="00362663">
        <w:rPr>
          <w:rFonts w:ascii="Arial" w:hAnsi="Arial" w:cs="Arial"/>
          <w:sz w:val="22"/>
          <w:szCs w:val="22"/>
        </w:rPr>
        <w:t>a result, creditors were to receive the benefits of the secondary proceedings (for instance preferential</w:t>
      </w:r>
      <w:r w:rsidRPr="00362663">
        <w:rPr>
          <w:rFonts w:ascii="Arial" w:hAnsi="Arial" w:cs="Arial"/>
          <w:spacing w:val="3"/>
          <w:sz w:val="22"/>
          <w:szCs w:val="22"/>
        </w:rPr>
        <w:t xml:space="preserve"> </w:t>
      </w:r>
      <w:r w:rsidRPr="00362663">
        <w:rPr>
          <w:rFonts w:ascii="Arial" w:hAnsi="Arial" w:cs="Arial"/>
          <w:sz w:val="22"/>
          <w:szCs w:val="22"/>
        </w:rPr>
        <w:t>payments),</w:t>
      </w:r>
      <w:r w:rsidRPr="00362663">
        <w:rPr>
          <w:rFonts w:ascii="Arial" w:hAnsi="Arial" w:cs="Arial"/>
          <w:spacing w:val="3"/>
          <w:sz w:val="22"/>
          <w:szCs w:val="22"/>
        </w:rPr>
        <w:t xml:space="preserve"> </w:t>
      </w:r>
      <w:r w:rsidRPr="00362663">
        <w:rPr>
          <w:rFonts w:ascii="Arial" w:hAnsi="Arial" w:cs="Arial"/>
          <w:sz w:val="22"/>
          <w:szCs w:val="22"/>
        </w:rPr>
        <w:t>while</w:t>
      </w:r>
      <w:r w:rsidRPr="00362663">
        <w:rPr>
          <w:rFonts w:ascii="Arial" w:hAnsi="Arial" w:cs="Arial"/>
          <w:spacing w:val="3"/>
          <w:sz w:val="22"/>
          <w:szCs w:val="22"/>
        </w:rPr>
        <w:t xml:space="preserve"> </w:t>
      </w:r>
      <w:r w:rsidRPr="00362663">
        <w:rPr>
          <w:rFonts w:ascii="Arial" w:hAnsi="Arial" w:cs="Arial"/>
          <w:sz w:val="22"/>
          <w:szCs w:val="22"/>
        </w:rPr>
        <w:lastRenderedPageBreak/>
        <w:t>such</w:t>
      </w:r>
      <w:r w:rsidRPr="00362663">
        <w:rPr>
          <w:rFonts w:ascii="Arial" w:hAnsi="Arial" w:cs="Arial"/>
          <w:spacing w:val="4"/>
          <w:sz w:val="22"/>
          <w:szCs w:val="22"/>
        </w:rPr>
        <w:t xml:space="preserve"> </w:t>
      </w:r>
      <w:r w:rsidRPr="00362663">
        <w:rPr>
          <w:rFonts w:ascii="Arial" w:hAnsi="Arial" w:cs="Arial"/>
          <w:sz w:val="22"/>
          <w:szCs w:val="22"/>
        </w:rPr>
        <w:t>proceedings</w:t>
      </w:r>
      <w:r w:rsidRPr="00362663">
        <w:rPr>
          <w:rFonts w:ascii="Arial" w:hAnsi="Arial" w:cs="Arial"/>
          <w:spacing w:val="3"/>
          <w:sz w:val="22"/>
          <w:szCs w:val="22"/>
        </w:rPr>
        <w:t xml:space="preserve"> </w:t>
      </w:r>
      <w:r w:rsidRPr="00362663">
        <w:rPr>
          <w:rFonts w:ascii="Arial" w:hAnsi="Arial" w:cs="Arial"/>
          <w:sz w:val="22"/>
          <w:szCs w:val="22"/>
        </w:rPr>
        <w:t>did</w:t>
      </w:r>
      <w:r w:rsidRPr="00362663">
        <w:rPr>
          <w:rFonts w:ascii="Arial" w:hAnsi="Arial" w:cs="Arial"/>
          <w:spacing w:val="3"/>
          <w:sz w:val="22"/>
          <w:szCs w:val="22"/>
        </w:rPr>
        <w:t xml:space="preserve"> </w:t>
      </w:r>
      <w:r w:rsidRPr="00362663">
        <w:rPr>
          <w:rFonts w:ascii="Arial" w:hAnsi="Arial" w:cs="Arial"/>
          <w:sz w:val="22"/>
          <w:szCs w:val="22"/>
        </w:rPr>
        <w:t>not</w:t>
      </w:r>
      <w:r w:rsidRPr="00362663">
        <w:rPr>
          <w:rFonts w:ascii="Arial" w:hAnsi="Arial" w:cs="Arial"/>
          <w:spacing w:val="4"/>
          <w:sz w:val="22"/>
          <w:szCs w:val="22"/>
        </w:rPr>
        <w:t xml:space="preserve"> </w:t>
      </w:r>
      <w:r w:rsidRPr="00362663">
        <w:rPr>
          <w:rFonts w:ascii="Arial" w:hAnsi="Arial" w:cs="Arial"/>
          <w:sz w:val="22"/>
          <w:szCs w:val="22"/>
        </w:rPr>
        <w:t>formally</w:t>
      </w:r>
      <w:r w:rsidRPr="00362663">
        <w:rPr>
          <w:rFonts w:ascii="Arial" w:hAnsi="Arial" w:cs="Arial"/>
          <w:spacing w:val="3"/>
          <w:sz w:val="22"/>
          <w:szCs w:val="22"/>
        </w:rPr>
        <w:t xml:space="preserve"> </w:t>
      </w:r>
      <w:r w:rsidRPr="00362663">
        <w:rPr>
          <w:rFonts w:ascii="Arial" w:hAnsi="Arial" w:cs="Arial"/>
          <w:sz w:val="22"/>
          <w:szCs w:val="22"/>
        </w:rPr>
        <w:t>exist.</w:t>
      </w:r>
      <w:r w:rsidRPr="00362663">
        <w:rPr>
          <w:rFonts w:ascii="Arial" w:hAnsi="Arial" w:cs="Arial"/>
          <w:spacing w:val="3"/>
          <w:sz w:val="22"/>
          <w:szCs w:val="22"/>
        </w:rPr>
        <w:t xml:space="preserve"> </w:t>
      </w:r>
      <w:r w:rsidRPr="00362663">
        <w:rPr>
          <w:rFonts w:ascii="Arial" w:hAnsi="Arial" w:cs="Arial"/>
          <w:sz w:val="22"/>
          <w:szCs w:val="22"/>
          <w:shd w:val="clear" w:color="auto" w:fill="FFFFFF"/>
        </w:rPr>
        <w:t>If the court which is being asked to open secondary proceedings considers that this undertaking adequately protects creditors, it may refuse to open secondary proceedings.</w:t>
      </w:r>
    </w:p>
    <w:p w14:paraId="55F4629B" w14:textId="77777777" w:rsidR="00362663" w:rsidRPr="00362663" w:rsidRDefault="00362663" w:rsidP="00362663">
      <w:pPr>
        <w:jc w:val="both"/>
        <w:rPr>
          <w:rFonts w:ascii="Arial" w:hAnsi="Arial" w:cs="Arial"/>
          <w:color w:val="212529"/>
          <w:sz w:val="22"/>
          <w:szCs w:val="22"/>
          <w:shd w:val="clear" w:color="auto" w:fill="FFFFFF"/>
        </w:rPr>
      </w:pPr>
    </w:p>
    <w:p w14:paraId="4409F318" w14:textId="77777777" w:rsidR="00362663" w:rsidRPr="00362663" w:rsidRDefault="00362663" w:rsidP="00362663">
      <w:pPr>
        <w:pStyle w:val="ListParagraph"/>
        <w:numPr>
          <w:ilvl w:val="0"/>
          <w:numId w:val="15"/>
        </w:numPr>
        <w:spacing w:after="160" w:line="259" w:lineRule="auto"/>
        <w:jc w:val="both"/>
        <w:rPr>
          <w:rFonts w:ascii="Arial" w:hAnsi="Arial" w:cs="Arial"/>
          <w:b/>
          <w:bCs/>
          <w:sz w:val="22"/>
          <w:szCs w:val="22"/>
        </w:rPr>
      </w:pPr>
      <w:r w:rsidRPr="00362663">
        <w:rPr>
          <w:rFonts w:ascii="Arial" w:hAnsi="Arial" w:cs="Arial"/>
          <w:b/>
          <w:bCs/>
          <w:sz w:val="22"/>
          <w:szCs w:val="22"/>
        </w:rPr>
        <w:t>Co-operation and communication in group insolvencies</w:t>
      </w:r>
    </w:p>
    <w:p w14:paraId="4CBFB224" w14:textId="18924835" w:rsidR="00362663" w:rsidRPr="00362663" w:rsidRDefault="00362663" w:rsidP="00362663">
      <w:pPr>
        <w:jc w:val="both"/>
        <w:rPr>
          <w:rFonts w:ascii="Arial" w:hAnsi="Arial" w:cs="Arial"/>
          <w:sz w:val="22"/>
          <w:szCs w:val="22"/>
        </w:rPr>
      </w:pPr>
      <w:r w:rsidRPr="00362663">
        <w:rPr>
          <w:rFonts w:ascii="Arial" w:hAnsi="Arial" w:cs="Arial"/>
          <w:sz w:val="22"/>
          <w:szCs w:val="22"/>
        </w:rPr>
        <w:t>The EIR 2000 did not touch the issues pertinent to the insolvency of different group members being the needs to ensure the fair and efficient administration of cross-border insolvencies concerning enterprise group member. So, The EIR Recast introduced some articles to co-operation and communication in group insolvencies.</w:t>
      </w:r>
    </w:p>
    <w:p w14:paraId="3EE8E6BB" w14:textId="77777777" w:rsidR="00362663" w:rsidRPr="00362663" w:rsidRDefault="00362663" w:rsidP="00362663">
      <w:pPr>
        <w:jc w:val="both"/>
        <w:rPr>
          <w:rFonts w:ascii="Arial" w:hAnsi="Arial" w:cs="Arial"/>
          <w:sz w:val="22"/>
          <w:szCs w:val="22"/>
        </w:rPr>
      </w:pPr>
    </w:p>
    <w:p w14:paraId="7121E16C" w14:textId="6B3D099C" w:rsidR="00362663" w:rsidRPr="00362663" w:rsidRDefault="00362663" w:rsidP="00362663">
      <w:pPr>
        <w:jc w:val="both"/>
        <w:rPr>
          <w:rFonts w:ascii="Arial" w:hAnsi="Arial" w:cs="Arial"/>
          <w:sz w:val="22"/>
          <w:szCs w:val="22"/>
        </w:rPr>
      </w:pPr>
      <w:r w:rsidRPr="00362663">
        <w:rPr>
          <w:rFonts w:ascii="Arial" w:hAnsi="Arial" w:cs="Arial"/>
          <w:sz w:val="22"/>
          <w:szCs w:val="22"/>
        </w:rPr>
        <w:t>Insolvency practitioners appointed in insolvency proceedings, opened against members of the same corporate group, must co-operate to the extent that such co- operation is appropriate to facilitate the effective administration of those proceedings and so far as it is compatible with the rules applicable to them and does not entail any conflict of interest.</w:t>
      </w:r>
    </w:p>
    <w:p w14:paraId="79B9E2C1" w14:textId="77777777" w:rsidR="00362663" w:rsidRPr="00362663" w:rsidRDefault="00362663" w:rsidP="00362663">
      <w:pPr>
        <w:jc w:val="both"/>
        <w:rPr>
          <w:rFonts w:ascii="Arial" w:hAnsi="Arial" w:cs="Arial"/>
          <w:sz w:val="22"/>
          <w:szCs w:val="22"/>
        </w:rPr>
      </w:pPr>
    </w:p>
    <w:p w14:paraId="3BD1DDFA" w14:textId="77777777" w:rsidR="00362663" w:rsidRPr="00362663" w:rsidRDefault="00362663" w:rsidP="00362663">
      <w:pPr>
        <w:jc w:val="both"/>
        <w:rPr>
          <w:rFonts w:ascii="Arial" w:hAnsi="Arial" w:cs="Arial"/>
          <w:sz w:val="22"/>
          <w:szCs w:val="22"/>
        </w:rPr>
      </w:pPr>
      <w:r w:rsidRPr="00362663">
        <w:rPr>
          <w:rFonts w:ascii="Arial" w:hAnsi="Arial" w:cs="Arial"/>
          <w:sz w:val="22"/>
          <w:szCs w:val="22"/>
        </w:rPr>
        <w:t>Furthermore, insolvency Practitioners appointed in these circumstances are under an obligation to communicate and cooperate with office-holders in other member states. The relevant courts are similarly obliged to communicate and cooperate with one another.</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04142EAD" w14:textId="77777777" w:rsidR="00220366" w:rsidRPr="00220366" w:rsidRDefault="00220366" w:rsidP="00220366">
      <w:pPr>
        <w:pStyle w:val="ListParagraph"/>
        <w:numPr>
          <w:ilvl w:val="0"/>
          <w:numId w:val="16"/>
        </w:numPr>
        <w:spacing w:after="160" w:line="259" w:lineRule="auto"/>
        <w:jc w:val="both"/>
        <w:rPr>
          <w:rFonts w:ascii="Arial" w:hAnsi="Arial" w:cs="Arial"/>
          <w:sz w:val="22"/>
          <w:szCs w:val="22"/>
        </w:rPr>
      </w:pPr>
      <w:r w:rsidRPr="00220366">
        <w:rPr>
          <w:rFonts w:ascii="Arial" w:hAnsi="Arial" w:cs="Arial"/>
          <w:b/>
          <w:bCs/>
          <w:sz w:val="22"/>
          <w:szCs w:val="22"/>
          <w:shd w:val="clear" w:color="auto" w:fill="FFFFFF"/>
        </w:rPr>
        <w:t>Objections by insolvency practitioners</w:t>
      </w:r>
    </w:p>
    <w:p w14:paraId="154F4491" w14:textId="77777777" w:rsidR="00220366" w:rsidRPr="00220366" w:rsidRDefault="00220366" w:rsidP="00220366">
      <w:pPr>
        <w:jc w:val="both"/>
        <w:rPr>
          <w:rFonts w:ascii="Arial" w:hAnsi="Arial" w:cs="Arial"/>
          <w:sz w:val="22"/>
          <w:szCs w:val="22"/>
        </w:rPr>
      </w:pPr>
      <w:r w:rsidRPr="00220366">
        <w:rPr>
          <w:rFonts w:ascii="Arial" w:hAnsi="Arial" w:cs="Arial"/>
          <w:sz w:val="22"/>
          <w:szCs w:val="22"/>
        </w:rPr>
        <w:t>The EIR Recast</w:t>
      </w:r>
      <w:r w:rsidRPr="00220366">
        <w:rPr>
          <w:rFonts w:ascii="Arial" w:hAnsi="Arial" w:cs="Arial"/>
          <w:spacing w:val="1"/>
          <w:sz w:val="22"/>
          <w:szCs w:val="22"/>
        </w:rPr>
        <w:t xml:space="preserve"> </w:t>
      </w:r>
      <w:r w:rsidRPr="00220366">
        <w:rPr>
          <w:rFonts w:ascii="Arial" w:hAnsi="Arial" w:cs="Arial"/>
          <w:sz w:val="22"/>
          <w:szCs w:val="22"/>
        </w:rPr>
        <w:t>to</w:t>
      </w:r>
      <w:r w:rsidRPr="00220366">
        <w:rPr>
          <w:rFonts w:ascii="Arial" w:hAnsi="Arial" w:cs="Arial"/>
          <w:spacing w:val="2"/>
          <w:sz w:val="22"/>
          <w:szCs w:val="22"/>
        </w:rPr>
        <w:t xml:space="preserve"> </w:t>
      </w:r>
      <w:r w:rsidRPr="00220366">
        <w:rPr>
          <w:rFonts w:ascii="Arial" w:hAnsi="Arial" w:cs="Arial"/>
          <w:sz w:val="22"/>
          <w:szCs w:val="22"/>
        </w:rPr>
        <w:t>improving</w:t>
      </w:r>
      <w:r w:rsidRPr="00220366">
        <w:rPr>
          <w:rFonts w:ascii="Arial" w:hAnsi="Arial" w:cs="Arial"/>
          <w:spacing w:val="2"/>
          <w:sz w:val="22"/>
          <w:szCs w:val="22"/>
        </w:rPr>
        <w:t xml:space="preserve"> </w:t>
      </w:r>
      <w:r w:rsidRPr="00220366">
        <w:rPr>
          <w:rFonts w:ascii="Arial" w:hAnsi="Arial" w:cs="Arial"/>
          <w:sz w:val="22"/>
          <w:szCs w:val="22"/>
        </w:rPr>
        <w:t>the</w:t>
      </w:r>
      <w:r w:rsidRPr="00220366">
        <w:rPr>
          <w:rFonts w:ascii="Arial" w:hAnsi="Arial" w:cs="Arial"/>
          <w:spacing w:val="1"/>
          <w:sz w:val="22"/>
          <w:szCs w:val="22"/>
        </w:rPr>
        <w:t xml:space="preserve"> </w:t>
      </w:r>
      <w:r w:rsidRPr="00220366">
        <w:rPr>
          <w:rFonts w:ascii="Arial" w:hAnsi="Arial" w:cs="Arial"/>
          <w:sz w:val="22"/>
          <w:szCs w:val="22"/>
        </w:rPr>
        <w:t>co-ordination</w:t>
      </w:r>
      <w:r w:rsidRPr="00220366">
        <w:rPr>
          <w:rFonts w:ascii="Arial" w:hAnsi="Arial" w:cs="Arial"/>
          <w:spacing w:val="2"/>
          <w:sz w:val="22"/>
          <w:szCs w:val="22"/>
        </w:rPr>
        <w:t xml:space="preserve"> </w:t>
      </w:r>
      <w:r w:rsidRPr="00220366">
        <w:rPr>
          <w:rFonts w:ascii="Arial" w:hAnsi="Arial" w:cs="Arial"/>
          <w:sz w:val="22"/>
          <w:szCs w:val="22"/>
        </w:rPr>
        <w:t>of</w:t>
      </w:r>
      <w:r w:rsidRPr="00220366">
        <w:rPr>
          <w:rFonts w:ascii="Arial" w:hAnsi="Arial" w:cs="Arial"/>
          <w:spacing w:val="2"/>
          <w:sz w:val="22"/>
          <w:szCs w:val="22"/>
        </w:rPr>
        <w:t xml:space="preserve"> </w:t>
      </w:r>
      <w:r w:rsidRPr="00220366">
        <w:rPr>
          <w:rFonts w:ascii="Arial" w:hAnsi="Arial" w:cs="Arial"/>
          <w:sz w:val="22"/>
          <w:szCs w:val="22"/>
        </w:rPr>
        <w:t>insolvency</w:t>
      </w:r>
      <w:r w:rsidRPr="00220366">
        <w:rPr>
          <w:rFonts w:ascii="Arial" w:hAnsi="Arial" w:cs="Arial"/>
          <w:spacing w:val="1"/>
          <w:sz w:val="22"/>
          <w:szCs w:val="22"/>
        </w:rPr>
        <w:t xml:space="preserve"> </w:t>
      </w:r>
      <w:r w:rsidRPr="00220366">
        <w:rPr>
          <w:rFonts w:ascii="Arial" w:hAnsi="Arial" w:cs="Arial"/>
          <w:sz w:val="22"/>
          <w:szCs w:val="22"/>
        </w:rPr>
        <w:t>proceedings</w:t>
      </w:r>
      <w:r w:rsidRPr="00220366">
        <w:rPr>
          <w:rFonts w:ascii="Arial" w:hAnsi="Arial" w:cs="Arial"/>
          <w:spacing w:val="2"/>
          <w:sz w:val="22"/>
          <w:szCs w:val="22"/>
        </w:rPr>
        <w:t xml:space="preserve"> </w:t>
      </w:r>
      <w:r w:rsidRPr="00220366">
        <w:rPr>
          <w:rFonts w:ascii="Arial" w:hAnsi="Arial" w:cs="Arial"/>
          <w:sz w:val="22"/>
          <w:szCs w:val="22"/>
        </w:rPr>
        <w:t>of</w:t>
      </w:r>
      <w:r w:rsidRPr="00220366">
        <w:rPr>
          <w:rFonts w:ascii="Arial" w:hAnsi="Arial" w:cs="Arial"/>
          <w:spacing w:val="2"/>
          <w:sz w:val="22"/>
          <w:szCs w:val="22"/>
        </w:rPr>
        <w:t xml:space="preserve"> </w:t>
      </w:r>
      <w:r w:rsidRPr="00220366">
        <w:rPr>
          <w:rFonts w:ascii="Arial" w:hAnsi="Arial" w:cs="Arial"/>
          <w:sz w:val="22"/>
          <w:szCs w:val="22"/>
        </w:rPr>
        <w:t>members</w:t>
      </w:r>
      <w:r w:rsidRPr="00220366">
        <w:rPr>
          <w:rFonts w:ascii="Arial" w:hAnsi="Arial" w:cs="Arial"/>
          <w:spacing w:val="1"/>
          <w:sz w:val="22"/>
          <w:szCs w:val="22"/>
        </w:rPr>
        <w:t xml:space="preserve"> </w:t>
      </w:r>
      <w:r w:rsidRPr="00220366">
        <w:rPr>
          <w:rFonts w:ascii="Arial" w:hAnsi="Arial" w:cs="Arial"/>
          <w:sz w:val="22"/>
          <w:szCs w:val="22"/>
        </w:rPr>
        <w:t>of</w:t>
      </w:r>
      <w:r w:rsidRPr="00220366">
        <w:rPr>
          <w:rFonts w:ascii="Arial" w:hAnsi="Arial" w:cs="Arial"/>
          <w:spacing w:val="1"/>
          <w:sz w:val="22"/>
          <w:szCs w:val="22"/>
        </w:rPr>
        <w:t xml:space="preserve"> </w:t>
      </w:r>
      <w:r w:rsidRPr="00220366">
        <w:rPr>
          <w:rFonts w:ascii="Arial" w:hAnsi="Arial" w:cs="Arial"/>
          <w:sz w:val="22"/>
          <w:szCs w:val="22"/>
        </w:rPr>
        <w:t>a</w:t>
      </w:r>
      <w:r w:rsidRPr="00220366">
        <w:rPr>
          <w:rFonts w:ascii="Arial" w:hAnsi="Arial" w:cs="Arial"/>
          <w:spacing w:val="1"/>
          <w:sz w:val="22"/>
          <w:szCs w:val="22"/>
        </w:rPr>
        <w:t xml:space="preserve"> </w:t>
      </w:r>
      <w:r w:rsidRPr="00220366">
        <w:rPr>
          <w:rFonts w:ascii="Arial" w:hAnsi="Arial" w:cs="Arial"/>
          <w:sz w:val="22"/>
          <w:szCs w:val="22"/>
        </w:rPr>
        <w:t>group</w:t>
      </w:r>
      <w:r w:rsidRPr="00220366">
        <w:rPr>
          <w:rFonts w:ascii="Arial" w:hAnsi="Arial" w:cs="Arial"/>
          <w:spacing w:val="1"/>
          <w:sz w:val="22"/>
          <w:szCs w:val="22"/>
        </w:rPr>
        <w:t xml:space="preserve"> </w:t>
      </w:r>
      <w:r w:rsidRPr="00220366">
        <w:rPr>
          <w:rFonts w:ascii="Arial" w:hAnsi="Arial" w:cs="Arial"/>
          <w:sz w:val="22"/>
          <w:szCs w:val="22"/>
        </w:rPr>
        <w:t>of</w:t>
      </w:r>
      <w:r w:rsidRPr="00220366">
        <w:rPr>
          <w:rFonts w:ascii="Arial" w:hAnsi="Arial" w:cs="Arial"/>
          <w:spacing w:val="2"/>
          <w:sz w:val="22"/>
          <w:szCs w:val="22"/>
        </w:rPr>
        <w:t xml:space="preserve"> </w:t>
      </w:r>
      <w:r w:rsidRPr="00220366">
        <w:rPr>
          <w:rFonts w:ascii="Arial" w:hAnsi="Arial" w:cs="Arial"/>
          <w:sz w:val="22"/>
          <w:szCs w:val="22"/>
        </w:rPr>
        <w:t>companies</w:t>
      </w:r>
      <w:r w:rsidRPr="00220366">
        <w:rPr>
          <w:rFonts w:ascii="Arial" w:hAnsi="Arial" w:cs="Arial"/>
          <w:spacing w:val="1"/>
          <w:sz w:val="22"/>
          <w:szCs w:val="22"/>
        </w:rPr>
        <w:t xml:space="preserve"> </w:t>
      </w:r>
      <w:r w:rsidRPr="00220366">
        <w:rPr>
          <w:rFonts w:ascii="Arial" w:hAnsi="Arial" w:cs="Arial"/>
          <w:sz w:val="22"/>
          <w:szCs w:val="22"/>
        </w:rPr>
        <w:t>and</w:t>
      </w:r>
      <w:r w:rsidRPr="00220366">
        <w:rPr>
          <w:rFonts w:ascii="Arial" w:hAnsi="Arial" w:cs="Arial"/>
          <w:spacing w:val="2"/>
          <w:sz w:val="22"/>
          <w:szCs w:val="22"/>
        </w:rPr>
        <w:t xml:space="preserve"> </w:t>
      </w:r>
      <w:r w:rsidRPr="00220366">
        <w:rPr>
          <w:rFonts w:ascii="Arial" w:hAnsi="Arial" w:cs="Arial"/>
          <w:sz w:val="22"/>
          <w:szCs w:val="22"/>
        </w:rPr>
        <w:t>to</w:t>
      </w:r>
      <w:r w:rsidRPr="00220366">
        <w:rPr>
          <w:rFonts w:ascii="Arial" w:hAnsi="Arial" w:cs="Arial"/>
          <w:spacing w:val="1"/>
          <w:sz w:val="22"/>
          <w:szCs w:val="22"/>
        </w:rPr>
        <w:t xml:space="preserve"> </w:t>
      </w:r>
      <w:r w:rsidRPr="00220366">
        <w:rPr>
          <w:rFonts w:ascii="Arial" w:hAnsi="Arial" w:cs="Arial"/>
          <w:sz w:val="22"/>
          <w:szCs w:val="22"/>
        </w:rPr>
        <w:t>allow</w:t>
      </w:r>
      <w:r w:rsidRPr="00220366">
        <w:rPr>
          <w:rFonts w:ascii="Arial" w:hAnsi="Arial" w:cs="Arial"/>
          <w:spacing w:val="2"/>
          <w:sz w:val="22"/>
          <w:szCs w:val="22"/>
        </w:rPr>
        <w:t xml:space="preserve"> </w:t>
      </w:r>
      <w:r w:rsidRPr="00220366">
        <w:rPr>
          <w:rFonts w:ascii="Arial" w:hAnsi="Arial" w:cs="Arial"/>
          <w:sz w:val="22"/>
          <w:szCs w:val="22"/>
        </w:rPr>
        <w:t>for</w:t>
      </w:r>
      <w:r w:rsidRPr="00220366">
        <w:rPr>
          <w:rFonts w:ascii="Arial" w:hAnsi="Arial" w:cs="Arial"/>
          <w:spacing w:val="1"/>
          <w:sz w:val="22"/>
          <w:szCs w:val="22"/>
        </w:rPr>
        <w:t xml:space="preserve"> </w:t>
      </w:r>
      <w:proofErr w:type="spellStart"/>
      <w:r w:rsidRPr="00220366">
        <w:rPr>
          <w:rFonts w:ascii="Arial" w:hAnsi="Arial" w:cs="Arial"/>
          <w:sz w:val="22"/>
          <w:szCs w:val="22"/>
        </w:rPr>
        <w:t>co-ordinated</w:t>
      </w:r>
      <w:proofErr w:type="spellEnd"/>
      <w:r w:rsidRPr="00220366">
        <w:rPr>
          <w:rFonts w:ascii="Arial" w:hAnsi="Arial" w:cs="Arial"/>
          <w:spacing w:val="2"/>
          <w:sz w:val="22"/>
          <w:szCs w:val="22"/>
        </w:rPr>
        <w:t xml:space="preserve"> </w:t>
      </w:r>
      <w:r w:rsidRPr="00220366">
        <w:rPr>
          <w:rFonts w:ascii="Arial" w:hAnsi="Arial" w:cs="Arial"/>
          <w:sz w:val="22"/>
          <w:szCs w:val="22"/>
        </w:rPr>
        <w:t>restructuring</w:t>
      </w:r>
      <w:r w:rsidRPr="00220366">
        <w:rPr>
          <w:rFonts w:ascii="Arial" w:hAnsi="Arial" w:cs="Arial"/>
          <w:spacing w:val="1"/>
          <w:sz w:val="22"/>
          <w:szCs w:val="22"/>
        </w:rPr>
        <w:t xml:space="preserve"> </w:t>
      </w:r>
      <w:r w:rsidRPr="00220366">
        <w:rPr>
          <w:rFonts w:ascii="Arial" w:hAnsi="Arial" w:cs="Arial"/>
          <w:sz w:val="22"/>
          <w:szCs w:val="22"/>
        </w:rPr>
        <w:t>of</w:t>
      </w:r>
      <w:r w:rsidRPr="00220366">
        <w:rPr>
          <w:rFonts w:ascii="Arial" w:hAnsi="Arial" w:cs="Arial"/>
          <w:spacing w:val="2"/>
          <w:sz w:val="22"/>
          <w:szCs w:val="22"/>
        </w:rPr>
        <w:t xml:space="preserve"> </w:t>
      </w:r>
      <w:r w:rsidRPr="00220366">
        <w:rPr>
          <w:rFonts w:ascii="Arial" w:hAnsi="Arial" w:cs="Arial"/>
          <w:sz w:val="22"/>
          <w:szCs w:val="22"/>
        </w:rPr>
        <w:t>the</w:t>
      </w:r>
      <w:r w:rsidRPr="00220366">
        <w:rPr>
          <w:rFonts w:ascii="Arial" w:hAnsi="Arial" w:cs="Arial"/>
          <w:spacing w:val="1"/>
          <w:sz w:val="22"/>
          <w:szCs w:val="22"/>
        </w:rPr>
        <w:t xml:space="preserve"> </w:t>
      </w:r>
      <w:r w:rsidRPr="00220366">
        <w:rPr>
          <w:rFonts w:ascii="Arial" w:hAnsi="Arial" w:cs="Arial"/>
          <w:sz w:val="22"/>
          <w:szCs w:val="22"/>
        </w:rPr>
        <w:t>group, introduces procedural rules on the co-ordination of the insolvency</w:t>
      </w:r>
      <w:r w:rsidRPr="00220366">
        <w:rPr>
          <w:rFonts w:ascii="Arial" w:hAnsi="Arial" w:cs="Arial"/>
          <w:spacing w:val="1"/>
          <w:sz w:val="22"/>
          <w:szCs w:val="22"/>
        </w:rPr>
        <w:t xml:space="preserve"> </w:t>
      </w:r>
      <w:r w:rsidRPr="00220366">
        <w:rPr>
          <w:rFonts w:ascii="Arial" w:hAnsi="Arial" w:cs="Arial"/>
          <w:sz w:val="22"/>
          <w:szCs w:val="22"/>
        </w:rPr>
        <w:t>proceedings of members of a company.</w:t>
      </w:r>
    </w:p>
    <w:p w14:paraId="1D063E7A" w14:textId="77777777" w:rsidR="00220366" w:rsidRPr="00220366" w:rsidRDefault="00220366" w:rsidP="00220366">
      <w:pPr>
        <w:jc w:val="both"/>
        <w:rPr>
          <w:rFonts w:ascii="Arial" w:hAnsi="Arial" w:cs="Arial"/>
          <w:sz w:val="22"/>
          <w:szCs w:val="22"/>
        </w:rPr>
      </w:pPr>
      <w:r w:rsidRPr="00220366">
        <w:rPr>
          <w:rFonts w:ascii="Arial" w:hAnsi="Arial" w:cs="Arial"/>
          <w:sz w:val="22"/>
          <w:szCs w:val="22"/>
        </w:rPr>
        <w:t>Article 64 EIR Recast states that:</w:t>
      </w:r>
    </w:p>
    <w:p w14:paraId="139792F5" w14:textId="77777777" w:rsidR="00220366" w:rsidRPr="00220366" w:rsidRDefault="00220366" w:rsidP="00220366">
      <w:pPr>
        <w:shd w:val="clear" w:color="auto" w:fill="FFFFFF"/>
        <w:spacing w:before="120" w:line="312" w:lineRule="atLeast"/>
        <w:jc w:val="both"/>
        <w:rPr>
          <w:rFonts w:ascii="Arial" w:hAnsi="Arial" w:cs="Arial"/>
          <w:sz w:val="22"/>
          <w:szCs w:val="22"/>
          <w:lang w:eastAsia="es-PE"/>
        </w:rPr>
      </w:pPr>
      <w:r w:rsidRPr="00220366">
        <w:rPr>
          <w:rFonts w:ascii="Arial" w:hAnsi="Arial" w:cs="Arial"/>
          <w:sz w:val="22"/>
          <w:szCs w:val="22"/>
        </w:rPr>
        <w:t>“</w:t>
      </w:r>
      <w:r w:rsidRPr="00220366">
        <w:rPr>
          <w:rFonts w:ascii="Arial" w:hAnsi="Arial" w:cs="Arial"/>
          <w:sz w:val="22"/>
          <w:szCs w:val="22"/>
          <w:lang w:eastAsia="es-PE"/>
        </w:rPr>
        <w:t>1.   An insolvency practitioner appointed in respect of any group member may object to:</w:t>
      </w: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220366" w:rsidRPr="00220366" w14:paraId="13F1E305" w14:textId="77777777" w:rsidTr="00540668">
        <w:tc>
          <w:tcPr>
            <w:tcW w:w="0" w:type="auto"/>
            <w:shd w:val="clear" w:color="auto" w:fill="FFFFFF"/>
            <w:hideMark/>
          </w:tcPr>
          <w:p w14:paraId="38ED832B" w14:textId="77777777" w:rsidR="00220366" w:rsidRPr="00220366" w:rsidRDefault="00220366" w:rsidP="00540668">
            <w:pPr>
              <w:spacing w:before="120" w:line="312" w:lineRule="atLeast"/>
              <w:jc w:val="both"/>
              <w:rPr>
                <w:rFonts w:ascii="Arial" w:hAnsi="Arial" w:cs="Arial"/>
                <w:sz w:val="22"/>
                <w:szCs w:val="22"/>
                <w:lang w:eastAsia="es-PE"/>
              </w:rPr>
            </w:pPr>
            <w:r w:rsidRPr="00220366">
              <w:rPr>
                <w:rFonts w:ascii="Arial" w:hAnsi="Arial" w:cs="Arial"/>
                <w:sz w:val="22"/>
                <w:szCs w:val="22"/>
                <w:lang w:eastAsia="es-PE"/>
              </w:rPr>
              <w:t>(a)</w:t>
            </w:r>
          </w:p>
        </w:tc>
        <w:tc>
          <w:tcPr>
            <w:tcW w:w="0" w:type="auto"/>
            <w:shd w:val="clear" w:color="auto" w:fill="FFFFFF"/>
            <w:hideMark/>
          </w:tcPr>
          <w:p w14:paraId="0ACDCB03" w14:textId="77777777" w:rsidR="00220366" w:rsidRPr="00220366" w:rsidRDefault="00220366" w:rsidP="00540668">
            <w:pPr>
              <w:spacing w:before="120" w:line="312" w:lineRule="atLeast"/>
              <w:jc w:val="both"/>
              <w:rPr>
                <w:rFonts w:ascii="Arial" w:hAnsi="Arial" w:cs="Arial"/>
                <w:sz w:val="22"/>
                <w:szCs w:val="22"/>
                <w:lang w:eastAsia="es-PE"/>
              </w:rPr>
            </w:pPr>
            <w:r w:rsidRPr="00220366">
              <w:rPr>
                <w:rFonts w:ascii="Arial" w:hAnsi="Arial" w:cs="Arial"/>
                <w:sz w:val="22"/>
                <w:szCs w:val="22"/>
                <w:lang w:eastAsia="es-PE"/>
              </w:rPr>
              <w:t>the inclusion within group coordination proceedings of the insolvency proceedings in respect of which it has been appointed; or</w:t>
            </w:r>
          </w:p>
        </w:tc>
      </w:tr>
    </w:tbl>
    <w:p w14:paraId="419F01BF" w14:textId="77777777" w:rsidR="00220366" w:rsidRPr="00220366" w:rsidRDefault="00220366" w:rsidP="00220366">
      <w:pPr>
        <w:jc w:val="both"/>
        <w:rPr>
          <w:rFonts w:ascii="Arial" w:hAnsi="Arial" w:cs="Arial"/>
          <w:vanish/>
          <w:sz w:val="22"/>
          <w:szCs w:val="22"/>
          <w:lang w:eastAsia="es-PE"/>
        </w:rPr>
      </w:pPr>
    </w:p>
    <w:tbl>
      <w:tblPr>
        <w:tblW w:w="5000" w:type="pct"/>
        <w:shd w:val="clear" w:color="auto" w:fill="FFFFFF"/>
        <w:tblCellMar>
          <w:left w:w="0" w:type="dxa"/>
          <w:right w:w="0" w:type="dxa"/>
        </w:tblCellMar>
        <w:tblLook w:val="04A0" w:firstRow="1" w:lastRow="0" w:firstColumn="1" w:lastColumn="0" w:noHBand="0" w:noVBand="1"/>
      </w:tblPr>
      <w:tblGrid>
        <w:gridCol w:w="609"/>
        <w:gridCol w:w="8417"/>
      </w:tblGrid>
      <w:tr w:rsidR="00220366" w:rsidRPr="00220366" w14:paraId="6D717687" w14:textId="77777777" w:rsidTr="00540668">
        <w:tc>
          <w:tcPr>
            <w:tcW w:w="0" w:type="auto"/>
            <w:shd w:val="clear" w:color="auto" w:fill="FFFFFF"/>
            <w:hideMark/>
          </w:tcPr>
          <w:p w14:paraId="0C12C871" w14:textId="77777777" w:rsidR="00220366" w:rsidRPr="00220366" w:rsidRDefault="00220366" w:rsidP="00540668">
            <w:pPr>
              <w:spacing w:before="120" w:line="312" w:lineRule="atLeast"/>
              <w:jc w:val="both"/>
              <w:rPr>
                <w:rFonts w:ascii="Arial" w:hAnsi="Arial" w:cs="Arial"/>
                <w:sz w:val="22"/>
                <w:szCs w:val="22"/>
                <w:lang w:eastAsia="es-PE"/>
              </w:rPr>
            </w:pPr>
            <w:r w:rsidRPr="00220366">
              <w:rPr>
                <w:rFonts w:ascii="Arial" w:hAnsi="Arial" w:cs="Arial"/>
                <w:sz w:val="22"/>
                <w:szCs w:val="22"/>
                <w:lang w:eastAsia="es-PE"/>
              </w:rPr>
              <w:t>(b)</w:t>
            </w:r>
          </w:p>
        </w:tc>
        <w:tc>
          <w:tcPr>
            <w:tcW w:w="0" w:type="auto"/>
            <w:shd w:val="clear" w:color="auto" w:fill="FFFFFF"/>
            <w:hideMark/>
          </w:tcPr>
          <w:p w14:paraId="47A0588A" w14:textId="77777777" w:rsidR="00220366" w:rsidRPr="00220366" w:rsidRDefault="00220366" w:rsidP="00540668">
            <w:pPr>
              <w:spacing w:before="120" w:line="312" w:lineRule="atLeast"/>
              <w:jc w:val="both"/>
              <w:rPr>
                <w:rFonts w:ascii="Arial" w:hAnsi="Arial" w:cs="Arial"/>
                <w:sz w:val="22"/>
                <w:szCs w:val="22"/>
                <w:lang w:eastAsia="es-PE"/>
              </w:rPr>
            </w:pPr>
            <w:r w:rsidRPr="00220366">
              <w:rPr>
                <w:rFonts w:ascii="Arial" w:hAnsi="Arial" w:cs="Arial"/>
                <w:sz w:val="22"/>
                <w:szCs w:val="22"/>
                <w:lang w:eastAsia="es-PE"/>
              </w:rPr>
              <w:t>the person proposed as a coordinator.</w:t>
            </w:r>
          </w:p>
        </w:tc>
      </w:tr>
    </w:tbl>
    <w:p w14:paraId="34DD156D" w14:textId="77777777" w:rsidR="00220366" w:rsidRPr="00220366" w:rsidRDefault="00220366" w:rsidP="00220366">
      <w:pPr>
        <w:shd w:val="clear" w:color="auto" w:fill="FFFFFF"/>
        <w:spacing w:before="120" w:line="312" w:lineRule="atLeast"/>
        <w:jc w:val="both"/>
        <w:rPr>
          <w:rFonts w:ascii="Arial" w:hAnsi="Arial" w:cs="Arial"/>
          <w:sz w:val="22"/>
          <w:szCs w:val="22"/>
          <w:lang w:eastAsia="es-PE"/>
        </w:rPr>
      </w:pPr>
      <w:r w:rsidRPr="00220366">
        <w:rPr>
          <w:rFonts w:ascii="Arial" w:hAnsi="Arial" w:cs="Arial"/>
          <w:sz w:val="22"/>
          <w:szCs w:val="22"/>
          <w:lang w:eastAsia="es-PE"/>
        </w:rPr>
        <w:t>2.   Objections pursuant to paragraph 1 of this Article shall be lodged with the court referred to in Article 63 within 30 days of receipt of notice of the request for the opening of group coordination proceedings by the insolvency practitioner referred to in paragraph 1 of this Article.</w:t>
      </w:r>
    </w:p>
    <w:p w14:paraId="208BBE28" w14:textId="77777777" w:rsidR="00220366" w:rsidRPr="00220366" w:rsidRDefault="00220366" w:rsidP="00220366">
      <w:pPr>
        <w:shd w:val="clear" w:color="auto" w:fill="FFFFFF"/>
        <w:spacing w:before="120" w:line="312" w:lineRule="atLeast"/>
        <w:jc w:val="both"/>
        <w:rPr>
          <w:rFonts w:ascii="Arial" w:hAnsi="Arial" w:cs="Arial"/>
          <w:sz w:val="22"/>
          <w:szCs w:val="22"/>
          <w:lang w:eastAsia="es-PE"/>
        </w:rPr>
      </w:pPr>
      <w:r w:rsidRPr="00220366">
        <w:rPr>
          <w:rFonts w:ascii="Arial" w:hAnsi="Arial" w:cs="Arial"/>
          <w:sz w:val="22"/>
          <w:szCs w:val="22"/>
          <w:lang w:eastAsia="es-PE"/>
        </w:rPr>
        <w:t>The objection may be made by means of the standard form established in accordance with Article 88.</w:t>
      </w:r>
    </w:p>
    <w:p w14:paraId="2C0AC9EB" w14:textId="77777777" w:rsidR="00220366" w:rsidRPr="00220366" w:rsidRDefault="00220366" w:rsidP="00220366">
      <w:pPr>
        <w:shd w:val="clear" w:color="auto" w:fill="FFFFFF"/>
        <w:spacing w:before="120" w:line="312" w:lineRule="atLeast"/>
        <w:jc w:val="both"/>
        <w:rPr>
          <w:rFonts w:ascii="Arial" w:hAnsi="Arial" w:cs="Arial"/>
          <w:sz w:val="22"/>
          <w:szCs w:val="22"/>
          <w:lang w:eastAsia="es-PE"/>
        </w:rPr>
      </w:pPr>
      <w:r w:rsidRPr="00220366">
        <w:rPr>
          <w:rFonts w:ascii="Arial" w:hAnsi="Arial" w:cs="Arial"/>
          <w:sz w:val="22"/>
          <w:szCs w:val="22"/>
          <w:lang w:eastAsia="es-PE"/>
        </w:rPr>
        <w:t>3.   Prior to taking the decision to participate or not to participate in the coordination in accordance with point (a) of paragraph 1, an insolvency practitioner shall obtain any approval which may be required under the law of the State of the opening of proceedings for which it has been appointed”.</w:t>
      </w:r>
    </w:p>
    <w:p w14:paraId="34F0F77E" w14:textId="77777777" w:rsidR="00220366" w:rsidRPr="00220366" w:rsidRDefault="00220366" w:rsidP="00220366">
      <w:pPr>
        <w:jc w:val="both"/>
        <w:rPr>
          <w:rFonts w:ascii="Arial" w:hAnsi="Arial" w:cs="Arial"/>
          <w:sz w:val="22"/>
          <w:szCs w:val="22"/>
          <w:lang w:eastAsia="es-PE"/>
        </w:rPr>
      </w:pPr>
    </w:p>
    <w:p w14:paraId="1B535C51" w14:textId="77777777" w:rsidR="00220366" w:rsidRPr="00220366" w:rsidRDefault="00220366" w:rsidP="00220366">
      <w:pPr>
        <w:jc w:val="both"/>
        <w:rPr>
          <w:rFonts w:ascii="Arial" w:hAnsi="Arial" w:cs="Arial"/>
          <w:sz w:val="22"/>
          <w:szCs w:val="22"/>
          <w:lang w:eastAsia="es-PE"/>
        </w:rPr>
      </w:pPr>
      <w:r w:rsidRPr="00220366">
        <w:rPr>
          <w:rFonts w:ascii="Arial" w:hAnsi="Arial" w:cs="Arial"/>
          <w:sz w:val="22"/>
          <w:szCs w:val="22"/>
          <w:lang w:eastAsia="es-PE"/>
        </w:rPr>
        <w:t>However, this article does not require insolvency practitioners to give reasons for this objection, but I think that these practitioners should provide the reasons of these objections even take into account how the group of creditors will react to this exclusion.</w:t>
      </w:r>
    </w:p>
    <w:p w14:paraId="68094419" w14:textId="168BC117" w:rsidR="00220366" w:rsidRPr="00A821F8" w:rsidRDefault="00220366" w:rsidP="00220366">
      <w:pPr>
        <w:jc w:val="both"/>
        <w:rPr>
          <w:rFonts w:ascii="Arial" w:hAnsi="Arial" w:cs="Arial"/>
          <w:sz w:val="22"/>
          <w:szCs w:val="22"/>
          <w:lang w:eastAsia="es-PE"/>
        </w:rPr>
      </w:pPr>
      <w:r w:rsidRPr="00A821F8">
        <w:rPr>
          <w:rFonts w:ascii="Arial" w:hAnsi="Arial" w:cs="Arial"/>
          <w:sz w:val="22"/>
          <w:szCs w:val="22"/>
          <w:lang w:eastAsia="es-PE"/>
        </w:rPr>
        <w:lastRenderedPageBreak/>
        <w:t>To managing these procedures that EIR Recast should include regulations where practitioners must provide the reasons for these objections.</w:t>
      </w:r>
    </w:p>
    <w:p w14:paraId="0A7B4E26" w14:textId="77777777" w:rsidR="00220366" w:rsidRPr="00A821F8" w:rsidRDefault="00220366" w:rsidP="00220366">
      <w:pPr>
        <w:jc w:val="both"/>
        <w:rPr>
          <w:rFonts w:ascii="Arial" w:hAnsi="Arial" w:cs="Arial"/>
          <w:sz w:val="22"/>
          <w:szCs w:val="22"/>
          <w:lang w:eastAsia="es-PE"/>
        </w:rPr>
      </w:pPr>
    </w:p>
    <w:p w14:paraId="46866785" w14:textId="77777777" w:rsidR="00220366" w:rsidRPr="00A821F8" w:rsidRDefault="00220366" w:rsidP="00220366">
      <w:pPr>
        <w:pStyle w:val="ListParagraph"/>
        <w:numPr>
          <w:ilvl w:val="0"/>
          <w:numId w:val="16"/>
        </w:numPr>
        <w:spacing w:after="160" w:line="259" w:lineRule="auto"/>
        <w:jc w:val="both"/>
        <w:rPr>
          <w:rFonts w:ascii="Arial" w:hAnsi="Arial" w:cs="Arial"/>
          <w:b/>
          <w:bCs/>
          <w:sz w:val="22"/>
          <w:szCs w:val="22"/>
        </w:rPr>
      </w:pPr>
      <w:r w:rsidRPr="00A821F8">
        <w:rPr>
          <w:rFonts w:ascii="Arial" w:hAnsi="Arial" w:cs="Arial"/>
          <w:sz w:val="22"/>
          <w:szCs w:val="22"/>
        </w:rPr>
        <w:t xml:space="preserve"> </w:t>
      </w:r>
      <w:r w:rsidRPr="00A821F8">
        <w:rPr>
          <w:rFonts w:ascii="Arial" w:hAnsi="Arial" w:cs="Arial"/>
          <w:b/>
          <w:bCs/>
          <w:sz w:val="22"/>
          <w:szCs w:val="22"/>
        </w:rPr>
        <w:t>Recommendations and group coordination plan</w:t>
      </w:r>
    </w:p>
    <w:p w14:paraId="2D3E3D7F" w14:textId="77777777" w:rsidR="00220366" w:rsidRPr="00A821F8" w:rsidRDefault="00220366" w:rsidP="00220366">
      <w:pPr>
        <w:jc w:val="both"/>
        <w:rPr>
          <w:rFonts w:ascii="Arial" w:hAnsi="Arial" w:cs="Arial"/>
          <w:sz w:val="22"/>
          <w:szCs w:val="22"/>
        </w:rPr>
      </w:pPr>
      <w:r w:rsidRPr="00A821F8">
        <w:rPr>
          <w:rFonts w:ascii="Arial" w:hAnsi="Arial" w:cs="Arial"/>
          <w:sz w:val="22"/>
          <w:szCs w:val="22"/>
        </w:rPr>
        <w:t>Article 64 EIR Recast states that:</w:t>
      </w:r>
    </w:p>
    <w:p w14:paraId="47CA055B" w14:textId="77777777" w:rsidR="00220366" w:rsidRPr="00A821F8" w:rsidRDefault="00220366" w:rsidP="00220366">
      <w:pPr>
        <w:pStyle w:val="Normal1"/>
        <w:shd w:val="clear" w:color="auto" w:fill="FFFFFF"/>
        <w:spacing w:before="120" w:beforeAutospacing="0" w:after="0" w:afterAutospacing="0" w:line="312" w:lineRule="atLeast"/>
        <w:jc w:val="both"/>
        <w:rPr>
          <w:rFonts w:ascii="Arial" w:hAnsi="Arial" w:cs="Arial"/>
          <w:sz w:val="22"/>
          <w:szCs w:val="22"/>
          <w:lang w:val="en-US"/>
        </w:rPr>
      </w:pPr>
      <w:r w:rsidRPr="00A821F8">
        <w:rPr>
          <w:rFonts w:ascii="Arial" w:hAnsi="Arial" w:cs="Arial"/>
          <w:sz w:val="22"/>
          <w:szCs w:val="22"/>
          <w:lang w:val="en-US"/>
        </w:rPr>
        <w:t>“1.   When conducting their insolvency proceedings, insolvency practitioners shall consider the recommendations of the coordinator and the content of the group coordination plan referred to in Article 72(1).</w:t>
      </w:r>
    </w:p>
    <w:p w14:paraId="2C3C5431" w14:textId="77777777" w:rsidR="00220366" w:rsidRPr="00AB3795" w:rsidRDefault="00220366" w:rsidP="00220366">
      <w:pPr>
        <w:pStyle w:val="Normal1"/>
        <w:shd w:val="clear" w:color="auto" w:fill="FFFFFF"/>
        <w:spacing w:before="120" w:beforeAutospacing="0" w:after="0" w:afterAutospacing="0" w:line="312" w:lineRule="atLeast"/>
        <w:jc w:val="both"/>
        <w:rPr>
          <w:rFonts w:ascii="Arial" w:hAnsi="Arial" w:cs="Arial"/>
          <w:sz w:val="22"/>
          <w:szCs w:val="22"/>
          <w:lang w:val="en-US"/>
        </w:rPr>
      </w:pPr>
      <w:r w:rsidRPr="00A821F8">
        <w:rPr>
          <w:rFonts w:ascii="Arial" w:hAnsi="Arial" w:cs="Arial"/>
          <w:sz w:val="22"/>
          <w:szCs w:val="22"/>
          <w:lang w:val="en-US"/>
        </w:rPr>
        <w:t>2.   An insolvency practitioner shall</w:t>
      </w:r>
      <w:r w:rsidRPr="00AB3795">
        <w:rPr>
          <w:rFonts w:ascii="Arial" w:hAnsi="Arial" w:cs="Arial"/>
          <w:sz w:val="22"/>
          <w:szCs w:val="22"/>
          <w:lang w:val="en-US"/>
        </w:rPr>
        <w:t xml:space="preserve"> not be obliged to follow in whole or in part the coordinator's recommendations or the group coordination plan.</w:t>
      </w:r>
    </w:p>
    <w:p w14:paraId="2176B75E" w14:textId="77777777" w:rsidR="00220366" w:rsidRDefault="00220366" w:rsidP="00220366">
      <w:pPr>
        <w:pStyle w:val="Normal1"/>
        <w:shd w:val="clear" w:color="auto" w:fill="FFFFFF"/>
        <w:spacing w:before="120" w:beforeAutospacing="0" w:after="0" w:afterAutospacing="0" w:line="312" w:lineRule="atLeast"/>
        <w:jc w:val="both"/>
        <w:rPr>
          <w:rFonts w:ascii="Arial" w:hAnsi="Arial" w:cs="Arial"/>
          <w:sz w:val="22"/>
          <w:szCs w:val="22"/>
          <w:lang w:val="en-US"/>
        </w:rPr>
      </w:pPr>
      <w:r w:rsidRPr="00AB3795">
        <w:rPr>
          <w:rFonts w:ascii="Arial" w:hAnsi="Arial" w:cs="Arial"/>
          <w:sz w:val="22"/>
          <w:szCs w:val="22"/>
          <w:lang w:val="en-US"/>
        </w:rPr>
        <w:t>If it does not follow the coordinator's recommendations or the group coordination plan, it shall give reasons for not doing so to the persons or bodies that it is to report to under its national law, and to the coordinator.”</w:t>
      </w:r>
    </w:p>
    <w:p w14:paraId="62654346" w14:textId="77777777" w:rsidR="00220366" w:rsidRDefault="00220366" w:rsidP="00220366">
      <w:pPr>
        <w:pStyle w:val="Normal1"/>
        <w:shd w:val="clear" w:color="auto" w:fill="FFFFFF"/>
        <w:spacing w:before="120" w:beforeAutospacing="0" w:after="0" w:afterAutospacing="0" w:line="312" w:lineRule="atLeast"/>
        <w:jc w:val="both"/>
        <w:rPr>
          <w:rFonts w:ascii="Arial" w:hAnsi="Arial" w:cs="Arial"/>
          <w:sz w:val="22"/>
          <w:szCs w:val="22"/>
          <w:lang w:val="en-US"/>
        </w:rPr>
      </w:pPr>
      <w:r>
        <w:rPr>
          <w:rFonts w:ascii="Arial" w:hAnsi="Arial" w:cs="Arial"/>
          <w:sz w:val="22"/>
          <w:szCs w:val="22"/>
          <w:lang w:val="en-US"/>
        </w:rPr>
        <w:t>I</w:t>
      </w:r>
      <w:r w:rsidRPr="0090674F">
        <w:rPr>
          <w:rFonts w:ascii="Arial" w:hAnsi="Arial" w:cs="Arial"/>
          <w:sz w:val="22"/>
          <w:szCs w:val="22"/>
          <w:lang w:val="en-US"/>
        </w:rPr>
        <w:t xml:space="preserve"> strongly believe that the regulation of group co-ordination proceedings, especially this article 70, misses the desired goal of securing the efficient administration of group insolvency proceedings including </w:t>
      </w:r>
      <w:proofErr w:type="spellStart"/>
      <w:r w:rsidRPr="0090674F">
        <w:rPr>
          <w:rFonts w:ascii="Arial" w:hAnsi="Arial" w:cs="Arial"/>
          <w:sz w:val="22"/>
          <w:szCs w:val="22"/>
          <w:lang w:val="en-US"/>
        </w:rPr>
        <w:t>co-ordinated</w:t>
      </w:r>
      <w:proofErr w:type="spellEnd"/>
      <w:r w:rsidRPr="0090674F">
        <w:rPr>
          <w:rFonts w:ascii="Arial" w:hAnsi="Arial" w:cs="Arial"/>
          <w:sz w:val="22"/>
          <w:szCs w:val="22"/>
          <w:lang w:val="en-US"/>
        </w:rPr>
        <w:t xml:space="preserve"> restructuring of the group being this the goal when EIR Recast added the figure of coordinator.</w:t>
      </w:r>
    </w:p>
    <w:p w14:paraId="61D2C21F" w14:textId="77777777" w:rsidR="00220366" w:rsidRDefault="00220366" w:rsidP="00220366">
      <w:pPr>
        <w:pStyle w:val="Normal1"/>
        <w:shd w:val="clear" w:color="auto" w:fill="FFFFFF"/>
        <w:spacing w:before="120" w:beforeAutospacing="0" w:after="0" w:afterAutospacing="0" w:line="312" w:lineRule="atLeast"/>
        <w:jc w:val="both"/>
        <w:rPr>
          <w:rFonts w:ascii="Arial" w:hAnsi="Arial" w:cs="Arial"/>
          <w:sz w:val="22"/>
          <w:szCs w:val="22"/>
          <w:lang w:val="en-US"/>
        </w:rPr>
      </w:pPr>
    </w:p>
    <w:p w14:paraId="2266BC9B" w14:textId="77777777" w:rsidR="00220366" w:rsidRDefault="00220366" w:rsidP="00220366">
      <w:pPr>
        <w:jc w:val="both"/>
        <w:rPr>
          <w:rFonts w:ascii="Arial" w:eastAsia="Arial" w:hAnsi="Arial" w:cs="Arial"/>
          <w:sz w:val="22"/>
          <w:szCs w:val="22"/>
        </w:rPr>
      </w:pPr>
      <w:r w:rsidRPr="00220366">
        <w:rPr>
          <w:rFonts w:ascii="Arial" w:eastAsia="Arial" w:hAnsi="Arial" w:cs="Arial"/>
          <w:sz w:val="22"/>
          <w:szCs w:val="22"/>
        </w:rPr>
        <w:t xml:space="preserve">In this case, as the insolvency practitioners are not obliged to follow the </w:t>
      </w:r>
      <w:proofErr w:type="spellStart"/>
      <w:r w:rsidRPr="00220366">
        <w:rPr>
          <w:rFonts w:ascii="Arial" w:eastAsia="Arial" w:hAnsi="Arial" w:cs="Arial"/>
          <w:sz w:val="22"/>
          <w:szCs w:val="22"/>
        </w:rPr>
        <w:t>co-ordinator’s</w:t>
      </w:r>
      <w:proofErr w:type="spellEnd"/>
      <w:r w:rsidRPr="00220366">
        <w:rPr>
          <w:rFonts w:ascii="Arial" w:eastAsia="Arial" w:hAnsi="Arial" w:cs="Arial"/>
          <w:sz w:val="22"/>
          <w:szCs w:val="22"/>
        </w:rPr>
        <w:t xml:space="preserve"> recommendations or the group co-ordination plan in whole or in part (Article 70 EIR Recast), this system should be changed to committal. </w:t>
      </w:r>
    </w:p>
    <w:p w14:paraId="6CD89A4F" w14:textId="77777777" w:rsidR="00220366" w:rsidRDefault="00220366" w:rsidP="00220366">
      <w:pPr>
        <w:jc w:val="both"/>
        <w:rPr>
          <w:rFonts w:ascii="Arial" w:eastAsia="Arial" w:hAnsi="Arial" w:cs="Arial"/>
          <w:sz w:val="22"/>
          <w:szCs w:val="22"/>
        </w:rPr>
      </w:pPr>
    </w:p>
    <w:p w14:paraId="4AE7EA78" w14:textId="46E0DDCD" w:rsidR="007D7C92" w:rsidRPr="00220366" w:rsidRDefault="00220366" w:rsidP="00220366">
      <w:pPr>
        <w:jc w:val="both"/>
        <w:rPr>
          <w:rFonts w:ascii="Arial" w:hAnsi="Arial" w:cs="Arial"/>
          <w:sz w:val="22"/>
          <w:szCs w:val="22"/>
        </w:rPr>
      </w:pPr>
      <w:r w:rsidRPr="00220366">
        <w:rPr>
          <w:rFonts w:ascii="Arial" w:eastAsia="Arial" w:hAnsi="Arial" w:cs="Arial"/>
          <w:sz w:val="22"/>
          <w:szCs w:val="22"/>
        </w:rPr>
        <w:t xml:space="preserve">Therefore, to preventing this situation, EIR Recast must include that </w:t>
      </w:r>
      <w:proofErr w:type="spellStart"/>
      <w:r w:rsidRPr="00220366">
        <w:rPr>
          <w:rFonts w:ascii="Arial" w:eastAsia="Arial" w:hAnsi="Arial" w:cs="Arial"/>
          <w:sz w:val="22"/>
          <w:szCs w:val="22"/>
        </w:rPr>
        <w:t>co-ordinator’s</w:t>
      </w:r>
      <w:proofErr w:type="spellEnd"/>
      <w:r w:rsidRPr="00220366">
        <w:rPr>
          <w:rFonts w:ascii="Arial" w:eastAsia="Arial" w:hAnsi="Arial" w:cs="Arial"/>
          <w:sz w:val="22"/>
          <w:szCs w:val="22"/>
        </w:rPr>
        <w:t xml:space="preserve"> recommendations must be mandatory for insolvency practitioners, and these proceedings would gain efficiency and coordination among different parties such as creditors, debtors, insolvency practitioners, coordinators, </w:t>
      </w:r>
      <w:r w:rsidR="00E4260C" w:rsidRPr="00220366">
        <w:rPr>
          <w:rFonts w:ascii="Arial" w:eastAsia="Arial" w:hAnsi="Arial" w:cs="Arial"/>
          <w:sz w:val="22"/>
          <w:szCs w:val="22"/>
        </w:rPr>
        <w:t>judges,</w:t>
      </w:r>
      <w:r w:rsidRPr="00220366">
        <w:rPr>
          <w:rFonts w:ascii="Arial" w:eastAsia="Arial" w:hAnsi="Arial" w:cs="Arial"/>
          <w:sz w:val="22"/>
          <w:szCs w:val="22"/>
        </w:rPr>
        <w:t xml:space="preserve"> among others.</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6"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w:t>
      </w:r>
      <w:r w:rsidR="00A17858" w:rsidRPr="008500BD">
        <w:rPr>
          <w:rFonts w:ascii="Arial" w:hAnsi="Arial" w:cs="Arial"/>
          <w:sz w:val="22"/>
          <w:szCs w:val="22"/>
          <w:lang w:val="en-GB"/>
        </w:rPr>
        <w:lastRenderedPageBreak/>
        <w:t>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7090C861" w14:textId="229D5729" w:rsidR="00D95496" w:rsidRDefault="00D95496" w:rsidP="002A37BB">
      <w:pPr>
        <w:jc w:val="both"/>
        <w:rPr>
          <w:rFonts w:ascii="Arial" w:hAnsi="Arial" w:cs="Arial"/>
          <w:sz w:val="22"/>
          <w:szCs w:val="22"/>
          <w:lang w:val="en-GB"/>
        </w:rPr>
      </w:pPr>
    </w:p>
    <w:p w14:paraId="7E65C28F" w14:textId="77777777" w:rsidR="00F307BB" w:rsidRPr="00F307BB" w:rsidRDefault="00F307BB" w:rsidP="00F307BB">
      <w:pPr>
        <w:jc w:val="both"/>
        <w:rPr>
          <w:rFonts w:ascii="Arial" w:hAnsi="Arial" w:cs="Arial"/>
          <w:sz w:val="22"/>
          <w:szCs w:val="22"/>
          <w:lang w:val="en-GB"/>
        </w:rPr>
      </w:pPr>
      <w:r w:rsidRPr="00F307BB">
        <w:rPr>
          <w:rFonts w:ascii="Arial" w:hAnsi="Arial" w:cs="Arial"/>
          <w:sz w:val="22"/>
          <w:szCs w:val="22"/>
          <w:lang w:val="en-GB"/>
        </w:rPr>
        <w:t xml:space="preserve">Yes, it does, the Strasbourg Court had international jurisdiction to open an insolvency proceeding of </w:t>
      </w:r>
      <w:proofErr w:type="spellStart"/>
      <w:r w:rsidRPr="00F307BB">
        <w:rPr>
          <w:rFonts w:ascii="Arial" w:hAnsi="Arial" w:cs="Arial"/>
          <w:sz w:val="22"/>
          <w:szCs w:val="22"/>
          <w:lang w:val="en-GB"/>
        </w:rPr>
        <w:t>Pret</w:t>
      </w:r>
      <w:proofErr w:type="spellEnd"/>
      <w:r w:rsidRPr="00F307BB">
        <w:rPr>
          <w:rFonts w:ascii="Arial" w:hAnsi="Arial" w:cs="Arial"/>
          <w:sz w:val="22"/>
          <w:szCs w:val="22"/>
          <w:lang w:val="en-GB"/>
        </w:rPr>
        <w:t xml:space="preserve"> A </w:t>
      </w:r>
      <w:proofErr w:type="spellStart"/>
      <w:r w:rsidRPr="00F307BB">
        <w:rPr>
          <w:rFonts w:ascii="Arial" w:hAnsi="Arial" w:cs="Arial"/>
          <w:sz w:val="22"/>
          <w:szCs w:val="22"/>
          <w:lang w:val="en-GB"/>
        </w:rPr>
        <w:t>Jouer</w:t>
      </w:r>
      <w:proofErr w:type="spellEnd"/>
      <w:r w:rsidRPr="00F307BB">
        <w:rPr>
          <w:rFonts w:ascii="Arial" w:hAnsi="Arial" w:cs="Arial"/>
          <w:sz w:val="22"/>
          <w:szCs w:val="22"/>
          <w:lang w:val="en-GB"/>
        </w:rPr>
        <w:t xml:space="preserve"> (PAJ) because the EIR 2000 was applicable to France due to the fact that On 29 May 2000, the European Council adopted the EIR 2000, which entered into force on 31 May 2002. </w:t>
      </w:r>
    </w:p>
    <w:p w14:paraId="20E5D5B9" w14:textId="77777777" w:rsidR="00F307BB" w:rsidRPr="00F307BB" w:rsidRDefault="00F307BB" w:rsidP="00F307BB">
      <w:pPr>
        <w:jc w:val="both"/>
        <w:rPr>
          <w:rFonts w:ascii="Arial" w:hAnsi="Arial" w:cs="Arial"/>
          <w:sz w:val="22"/>
          <w:szCs w:val="22"/>
          <w:lang w:val="en-GB"/>
        </w:rPr>
      </w:pPr>
    </w:p>
    <w:p w14:paraId="2C44D1BB" w14:textId="77777777" w:rsidR="00F307BB" w:rsidRPr="00F307BB" w:rsidRDefault="00F307BB" w:rsidP="00F307BB">
      <w:pPr>
        <w:jc w:val="both"/>
        <w:rPr>
          <w:rFonts w:ascii="Arial" w:hAnsi="Arial" w:cs="Arial"/>
          <w:sz w:val="22"/>
          <w:szCs w:val="22"/>
          <w:lang w:val="en-GB"/>
        </w:rPr>
      </w:pPr>
      <w:r w:rsidRPr="00F307BB">
        <w:rPr>
          <w:rFonts w:ascii="Arial" w:hAnsi="Arial" w:cs="Arial"/>
          <w:sz w:val="22"/>
          <w:szCs w:val="22"/>
          <w:lang w:val="en-GB"/>
        </w:rPr>
        <w:t>This regulation was binding in its entirety and directly applicable in all EU Member States with the exception of Denmark, which decided to opt out. It contained uniform rules on international jurisdiction, recognition of insolvency judgments, applicable law in insolvency matters and cooperation between insolvency practitioners.</w:t>
      </w:r>
    </w:p>
    <w:p w14:paraId="672EBD43" w14:textId="77777777" w:rsidR="00F307BB" w:rsidRPr="00F307BB" w:rsidRDefault="00F307BB" w:rsidP="00F307BB">
      <w:pPr>
        <w:jc w:val="both"/>
        <w:rPr>
          <w:rFonts w:ascii="Arial" w:hAnsi="Arial" w:cs="Arial"/>
          <w:sz w:val="22"/>
          <w:szCs w:val="22"/>
          <w:lang w:val="en-GB"/>
        </w:rPr>
      </w:pPr>
    </w:p>
    <w:p w14:paraId="071F9460" w14:textId="77777777" w:rsidR="00F307BB" w:rsidRPr="00F307BB" w:rsidRDefault="00F307BB" w:rsidP="00F307BB">
      <w:pPr>
        <w:jc w:val="both"/>
        <w:rPr>
          <w:rFonts w:ascii="Arial" w:hAnsi="Arial" w:cs="Arial"/>
          <w:sz w:val="22"/>
          <w:szCs w:val="22"/>
          <w:lang w:val="en-GB"/>
        </w:rPr>
      </w:pPr>
      <w:r w:rsidRPr="00F307BB">
        <w:rPr>
          <w:rFonts w:ascii="Arial" w:hAnsi="Arial" w:cs="Arial"/>
          <w:sz w:val="22"/>
          <w:szCs w:val="22"/>
          <w:lang w:val="en-GB"/>
        </w:rPr>
        <w:t>Furthermore, according to the Article 3 (1) EIR 2000 a main insolvency proceeding could be initiated at the place of the debtor’s centre of main interest (COMI). Such proceeding had universal scope and encompassed all debtor’s assets throughout the EU. The EIR 2000 also prescribed that the law of the state of the opening of insolvency proceedings, the lex concursus, determines the effects of such proceedings (Article 4 EIR 2000).</w:t>
      </w:r>
    </w:p>
    <w:p w14:paraId="618BE2F7" w14:textId="77777777" w:rsidR="00F307BB" w:rsidRPr="00F307BB" w:rsidRDefault="00F307BB" w:rsidP="00F307BB">
      <w:pPr>
        <w:jc w:val="both"/>
        <w:rPr>
          <w:rFonts w:ascii="Arial" w:hAnsi="Arial" w:cs="Arial"/>
          <w:sz w:val="22"/>
          <w:szCs w:val="22"/>
          <w:lang w:val="en-GB"/>
        </w:rPr>
      </w:pPr>
    </w:p>
    <w:p w14:paraId="4E8F117E" w14:textId="77777777" w:rsidR="00F307BB" w:rsidRPr="00F307BB" w:rsidRDefault="00F307BB" w:rsidP="00F307BB">
      <w:pPr>
        <w:jc w:val="both"/>
        <w:rPr>
          <w:rFonts w:ascii="Arial" w:hAnsi="Arial" w:cs="Arial"/>
          <w:sz w:val="22"/>
          <w:szCs w:val="22"/>
          <w:lang w:val="en-GB"/>
        </w:rPr>
      </w:pPr>
      <w:r w:rsidRPr="00F307BB">
        <w:rPr>
          <w:rFonts w:ascii="Arial" w:hAnsi="Arial" w:cs="Arial"/>
          <w:sz w:val="22"/>
          <w:szCs w:val="22"/>
          <w:lang w:val="en-GB"/>
        </w:rPr>
        <w:t xml:space="preserve">In addition, the EIR 2000 did not contain a definition of COMI; it however provided some guidance in its Recital 13; however, in one of the most important cases on interpretation of the EIR 2000, </w:t>
      </w:r>
      <w:proofErr w:type="spellStart"/>
      <w:r w:rsidRPr="00F307BB">
        <w:rPr>
          <w:rFonts w:ascii="Arial" w:hAnsi="Arial" w:cs="Arial"/>
          <w:i/>
          <w:iCs/>
          <w:sz w:val="22"/>
          <w:szCs w:val="22"/>
          <w:lang w:val="en-GB"/>
        </w:rPr>
        <w:t>Eurofood</w:t>
      </w:r>
      <w:proofErr w:type="spellEnd"/>
      <w:r w:rsidRPr="00F307BB">
        <w:rPr>
          <w:rFonts w:ascii="Arial" w:hAnsi="Arial" w:cs="Arial"/>
          <w:i/>
          <w:iCs/>
          <w:sz w:val="22"/>
          <w:szCs w:val="22"/>
          <w:lang w:val="en-GB"/>
        </w:rPr>
        <w:t xml:space="preserve"> IFSC Ltd</w:t>
      </w:r>
      <w:r w:rsidRPr="00F307BB">
        <w:rPr>
          <w:rFonts w:ascii="Arial" w:hAnsi="Arial" w:cs="Arial"/>
          <w:sz w:val="22"/>
          <w:szCs w:val="22"/>
          <w:lang w:val="en-GB"/>
        </w:rPr>
        <w:t xml:space="preserve"> the court defined the concept of COMI is peculiar to the regulation. It has an autonomous meaning and must therefore be interpreted in a uniform way, independently of what a similar term may mean in national legislation. Moreover, the Court of Justice of the European Union (CJEU) explained the autonomous meaning of the term COMI and then emphasized that it must be identified by reference to criteria that are both objective and ascertainable by third parties.</w:t>
      </w:r>
    </w:p>
    <w:p w14:paraId="619F00F6" w14:textId="77777777" w:rsidR="00F307BB" w:rsidRPr="00F307BB" w:rsidRDefault="00F307BB" w:rsidP="00F307BB">
      <w:pPr>
        <w:jc w:val="both"/>
        <w:rPr>
          <w:rFonts w:ascii="Arial" w:hAnsi="Arial" w:cs="Arial"/>
          <w:sz w:val="22"/>
          <w:szCs w:val="22"/>
          <w:lang w:val="en-GB"/>
        </w:rPr>
      </w:pPr>
    </w:p>
    <w:p w14:paraId="09257E2A" w14:textId="21BDD326" w:rsidR="00F307BB" w:rsidRPr="00F307BB" w:rsidRDefault="00F307BB" w:rsidP="002A37BB">
      <w:pPr>
        <w:jc w:val="both"/>
        <w:rPr>
          <w:rFonts w:ascii="Arial" w:hAnsi="Arial" w:cs="Arial"/>
          <w:sz w:val="22"/>
          <w:szCs w:val="22"/>
        </w:rPr>
      </w:pPr>
      <w:r w:rsidRPr="00F307BB">
        <w:rPr>
          <w:rFonts w:ascii="Arial" w:hAnsi="Arial" w:cs="Arial"/>
          <w:sz w:val="22"/>
          <w:szCs w:val="22"/>
          <w:lang w:val="en-GB"/>
        </w:rPr>
        <w:t>Finally, for these reasons, I think that In France is situated the COMI of PAJ.</w:t>
      </w: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1B5E2F08" w14:textId="18AD6945" w:rsidR="002D3473" w:rsidRDefault="002D3473" w:rsidP="002A37BB">
      <w:pPr>
        <w:autoSpaceDE w:val="0"/>
        <w:autoSpaceDN w:val="0"/>
        <w:adjustRightInd w:val="0"/>
        <w:jc w:val="both"/>
        <w:rPr>
          <w:rFonts w:ascii="Arial" w:hAnsi="Arial" w:cs="Arial"/>
          <w:sz w:val="22"/>
          <w:szCs w:val="22"/>
          <w:lang w:val="en-GB"/>
        </w:rPr>
      </w:pPr>
    </w:p>
    <w:p w14:paraId="1DC800BA" w14:textId="1AB47C4D" w:rsidR="00493B7B" w:rsidRDefault="00493B7B" w:rsidP="00493B7B">
      <w:pPr>
        <w:pStyle w:val="BodyText"/>
        <w:spacing w:before="94"/>
        <w:ind w:right="275"/>
        <w:jc w:val="both"/>
      </w:pPr>
      <w:r w:rsidRPr="00E45834">
        <w:t>Determination of the EIR Recast’s scope requires analyzing all kinds of scopes.</w:t>
      </w:r>
    </w:p>
    <w:p w14:paraId="19115FDB" w14:textId="77777777" w:rsidR="00493B7B" w:rsidRPr="00E45834" w:rsidRDefault="00493B7B" w:rsidP="00493B7B">
      <w:pPr>
        <w:pStyle w:val="BodyText"/>
        <w:spacing w:before="94"/>
        <w:ind w:right="275"/>
        <w:jc w:val="both"/>
      </w:pPr>
    </w:p>
    <w:p w14:paraId="1CD0AD59" w14:textId="77777777" w:rsidR="00493B7B" w:rsidRPr="00E45834" w:rsidRDefault="00493B7B" w:rsidP="00493B7B">
      <w:pPr>
        <w:pStyle w:val="BodyText"/>
        <w:spacing w:before="96" w:line="237" w:lineRule="auto"/>
        <w:ind w:right="850"/>
        <w:jc w:val="both"/>
      </w:pPr>
      <w:r w:rsidRPr="00E45834">
        <w:rPr>
          <w:b/>
          <w:bCs/>
        </w:rPr>
        <w:t xml:space="preserve">Material Scope: </w:t>
      </w:r>
      <w:r w:rsidRPr="00E45834">
        <w:t xml:space="preserve">According to Article 1 EIR Recast, this </w:t>
      </w:r>
      <w:proofErr w:type="spellStart"/>
      <w:r w:rsidRPr="00E45834">
        <w:t>reguklation</w:t>
      </w:r>
      <w:proofErr w:type="spellEnd"/>
      <w:r w:rsidRPr="00E45834">
        <w:t xml:space="preserve"> applies to public</w:t>
      </w:r>
      <w:r w:rsidRPr="00E45834">
        <w:rPr>
          <w:spacing w:val="1"/>
        </w:rPr>
        <w:t xml:space="preserve"> </w:t>
      </w:r>
      <w:r w:rsidRPr="00E45834">
        <w:t>collective proceedings, including interim proceedings, which are based on laws</w:t>
      </w:r>
      <w:r w:rsidRPr="00E45834">
        <w:rPr>
          <w:spacing w:val="1"/>
        </w:rPr>
        <w:t xml:space="preserve"> </w:t>
      </w:r>
      <w:r w:rsidRPr="00E45834">
        <w:t>relating to insolvency and in which, for the purposes of rescue, adjustment of debt,</w:t>
      </w:r>
      <w:r w:rsidRPr="00E45834">
        <w:rPr>
          <w:spacing w:val="1"/>
        </w:rPr>
        <w:t xml:space="preserve"> </w:t>
      </w:r>
      <w:proofErr w:type="spellStart"/>
      <w:r w:rsidRPr="00E45834">
        <w:t>reorganisation</w:t>
      </w:r>
      <w:proofErr w:type="spellEnd"/>
      <w:r w:rsidRPr="00E45834">
        <w:t xml:space="preserve"> or liquidation. The proceedings referred to</w:t>
      </w:r>
      <w:r w:rsidRPr="00E45834">
        <w:rPr>
          <w:spacing w:val="-2"/>
        </w:rPr>
        <w:t xml:space="preserve"> </w:t>
      </w:r>
      <w:r w:rsidRPr="00E45834">
        <w:t>in</w:t>
      </w:r>
      <w:r w:rsidRPr="00E45834">
        <w:rPr>
          <w:spacing w:val="-1"/>
        </w:rPr>
        <w:t xml:space="preserve"> </w:t>
      </w:r>
      <w:r w:rsidRPr="00E45834">
        <w:t>Article</w:t>
      </w:r>
      <w:r w:rsidRPr="00E45834">
        <w:rPr>
          <w:spacing w:val="-1"/>
        </w:rPr>
        <w:t xml:space="preserve"> </w:t>
      </w:r>
      <w:r w:rsidRPr="00E45834">
        <w:t>1</w:t>
      </w:r>
      <w:r w:rsidRPr="00E45834">
        <w:rPr>
          <w:spacing w:val="-1"/>
        </w:rPr>
        <w:t xml:space="preserve"> </w:t>
      </w:r>
      <w:r w:rsidRPr="00E45834">
        <w:t>are</w:t>
      </w:r>
      <w:r w:rsidRPr="00E45834">
        <w:rPr>
          <w:spacing w:val="-2"/>
        </w:rPr>
        <w:t xml:space="preserve"> </w:t>
      </w:r>
      <w:r w:rsidRPr="00E45834">
        <w:t>listed</w:t>
      </w:r>
      <w:r w:rsidRPr="00E45834">
        <w:rPr>
          <w:spacing w:val="-1"/>
        </w:rPr>
        <w:t xml:space="preserve"> </w:t>
      </w:r>
      <w:r w:rsidRPr="00E45834">
        <w:t>in</w:t>
      </w:r>
      <w:r w:rsidRPr="00E45834">
        <w:rPr>
          <w:spacing w:val="-1"/>
        </w:rPr>
        <w:t xml:space="preserve"> </w:t>
      </w:r>
      <w:r w:rsidRPr="00E45834">
        <w:t>Annex</w:t>
      </w:r>
      <w:r w:rsidRPr="00E45834">
        <w:rPr>
          <w:spacing w:val="-1"/>
        </w:rPr>
        <w:t xml:space="preserve"> </w:t>
      </w:r>
      <w:r w:rsidRPr="00E45834">
        <w:t>A</w:t>
      </w:r>
      <w:r w:rsidRPr="00E45834">
        <w:rPr>
          <w:spacing w:val="-2"/>
        </w:rPr>
        <w:t xml:space="preserve"> </w:t>
      </w:r>
      <w:r w:rsidRPr="00E45834">
        <w:t>to</w:t>
      </w:r>
      <w:r w:rsidRPr="00E45834">
        <w:rPr>
          <w:spacing w:val="-1"/>
        </w:rPr>
        <w:t xml:space="preserve"> </w:t>
      </w:r>
      <w:r w:rsidRPr="00E45834">
        <w:t>the</w:t>
      </w:r>
      <w:r w:rsidRPr="00E45834">
        <w:rPr>
          <w:spacing w:val="-1"/>
        </w:rPr>
        <w:t xml:space="preserve"> </w:t>
      </w:r>
      <w:r w:rsidRPr="00E45834">
        <w:t>EIR</w:t>
      </w:r>
      <w:r w:rsidRPr="00E45834">
        <w:rPr>
          <w:spacing w:val="-1"/>
        </w:rPr>
        <w:t xml:space="preserve"> </w:t>
      </w:r>
      <w:r w:rsidRPr="00E45834">
        <w:t>Recast.</w:t>
      </w:r>
    </w:p>
    <w:p w14:paraId="16A70CEC" w14:textId="4A970BC8" w:rsidR="00493B7B" w:rsidRDefault="00493B7B" w:rsidP="00493B7B">
      <w:pPr>
        <w:pStyle w:val="BodyText"/>
        <w:spacing w:before="96" w:line="237" w:lineRule="auto"/>
        <w:ind w:right="850"/>
        <w:jc w:val="both"/>
      </w:pPr>
      <w:r w:rsidRPr="00E45834">
        <w:t>The proceeding (</w:t>
      </w:r>
      <w:proofErr w:type="spellStart"/>
      <w:r w:rsidRPr="00E45834">
        <w:t>sauvegarde</w:t>
      </w:r>
      <w:proofErr w:type="spellEnd"/>
      <w:r w:rsidRPr="00E45834">
        <w:t>) opened against PAJ is listed in Annex A to the EIR Recast.</w:t>
      </w:r>
    </w:p>
    <w:p w14:paraId="1FABCC7A" w14:textId="77777777" w:rsidR="00493B7B" w:rsidRPr="00493B7B" w:rsidRDefault="00493B7B" w:rsidP="00493B7B">
      <w:pPr>
        <w:pStyle w:val="BodyText"/>
        <w:spacing w:before="96" w:line="237" w:lineRule="auto"/>
        <w:ind w:right="850"/>
        <w:jc w:val="both"/>
      </w:pPr>
    </w:p>
    <w:p w14:paraId="21A77202" w14:textId="77777777" w:rsidR="00493B7B" w:rsidRPr="00E45834" w:rsidRDefault="00493B7B" w:rsidP="00493B7B">
      <w:pPr>
        <w:pStyle w:val="BodyText"/>
        <w:spacing w:before="96" w:line="237" w:lineRule="auto"/>
        <w:ind w:right="850"/>
        <w:jc w:val="both"/>
        <w:rPr>
          <w:spacing w:val="3"/>
        </w:rPr>
      </w:pPr>
      <w:r w:rsidRPr="00E45834">
        <w:rPr>
          <w:b/>
          <w:bCs/>
        </w:rPr>
        <w:t>Temporal scope:</w:t>
      </w:r>
      <w:r w:rsidRPr="00E45834">
        <w:t xml:space="preserve"> The </w:t>
      </w:r>
      <w:r w:rsidRPr="00E45834">
        <w:rPr>
          <w:spacing w:val="-59"/>
        </w:rPr>
        <w:t xml:space="preserve"> </w:t>
      </w:r>
      <w:r w:rsidRPr="00E45834">
        <w:t>EIR Recast applies from 26 June 2017 (Article 92 EIR Recast). Furthermore, Provisions of the EIR Recast shall apply only to insolvency proceedings opened after the indicated date</w:t>
      </w:r>
      <w:r w:rsidRPr="00E45834">
        <w:rPr>
          <w:spacing w:val="1"/>
        </w:rPr>
        <w:t xml:space="preserve"> </w:t>
      </w:r>
      <w:r w:rsidRPr="00E45834">
        <w:t>(Article</w:t>
      </w:r>
      <w:r w:rsidRPr="00E45834">
        <w:rPr>
          <w:spacing w:val="3"/>
        </w:rPr>
        <w:t xml:space="preserve"> </w:t>
      </w:r>
      <w:r w:rsidRPr="00E45834">
        <w:t>84(1)</w:t>
      </w:r>
      <w:r w:rsidRPr="00E45834">
        <w:rPr>
          <w:spacing w:val="3"/>
        </w:rPr>
        <w:t xml:space="preserve"> </w:t>
      </w:r>
      <w:r w:rsidRPr="00E45834">
        <w:t>EIR</w:t>
      </w:r>
      <w:r w:rsidRPr="00E45834">
        <w:rPr>
          <w:spacing w:val="3"/>
        </w:rPr>
        <w:t xml:space="preserve"> </w:t>
      </w:r>
      <w:r w:rsidRPr="00E45834">
        <w:t>Recast).</w:t>
      </w:r>
      <w:r w:rsidRPr="00E45834">
        <w:rPr>
          <w:spacing w:val="3"/>
        </w:rPr>
        <w:t xml:space="preserve"> </w:t>
      </w:r>
    </w:p>
    <w:p w14:paraId="78CEA346" w14:textId="1CD02F7A" w:rsidR="00493B7B" w:rsidRDefault="00493B7B" w:rsidP="00493B7B">
      <w:pPr>
        <w:pStyle w:val="BodyText"/>
        <w:spacing w:before="96" w:line="237" w:lineRule="auto"/>
        <w:ind w:right="850"/>
        <w:jc w:val="both"/>
      </w:pPr>
      <w:r w:rsidRPr="00E45834">
        <w:t>The proceeding of PAJ is opened from 29 June 2017 after 26 June 2017.</w:t>
      </w:r>
    </w:p>
    <w:p w14:paraId="79BA15E9" w14:textId="77777777" w:rsidR="00493B7B" w:rsidRPr="00E45834" w:rsidRDefault="00493B7B" w:rsidP="00493B7B">
      <w:pPr>
        <w:pStyle w:val="BodyText"/>
        <w:spacing w:before="96" w:line="237" w:lineRule="auto"/>
        <w:ind w:right="850"/>
        <w:jc w:val="both"/>
      </w:pPr>
    </w:p>
    <w:p w14:paraId="2A5A9AA2" w14:textId="77777777" w:rsidR="00493B7B" w:rsidRPr="00E45834" w:rsidRDefault="00493B7B" w:rsidP="00493B7B">
      <w:pPr>
        <w:pStyle w:val="BodyText"/>
        <w:spacing w:before="96" w:line="237" w:lineRule="auto"/>
        <w:ind w:right="850"/>
        <w:jc w:val="both"/>
      </w:pPr>
      <w:r w:rsidRPr="00E45834">
        <w:rPr>
          <w:b/>
          <w:bCs/>
        </w:rPr>
        <w:lastRenderedPageBreak/>
        <w:t>Personal Scope:</w:t>
      </w:r>
      <w:r w:rsidRPr="00E45834">
        <w:t xml:space="preserve"> Some entities are explicitly excluded from the personal scope of the EIR Recast.</w:t>
      </w:r>
      <w:r w:rsidRPr="00E45834">
        <w:rPr>
          <w:spacing w:val="1"/>
        </w:rPr>
        <w:t xml:space="preserve"> </w:t>
      </w:r>
      <w:r w:rsidRPr="00E45834">
        <w:t>Thus, according to Article 1(2) EIR Recast, it does not apply to proceedings that</w:t>
      </w:r>
      <w:r w:rsidRPr="00E45834">
        <w:rPr>
          <w:spacing w:val="1"/>
        </w:rPr>
        <w:t xml:space="preserve"> </w:t>
      </w:r>
      <w:r w:rsidRPr="00E45834">
        <w:t>concern: a) insurance undertakings, b) credit institutions, c) investment firms and</w:t>
      </w:r>
      <w:r w:rsidRPr="00E45834">
        <w:rPr>
          <w:spacing w:val="1"/>
        </w:rPr>
        <w:t xml:space="preserve"> </w:t>
      </w:r>
      <w:r w:rsidRPr="00E45834">
        <w:t>other firms, institutions and undertakings to the extent that they are covered by</w:t>
      </w:r>
      <w:r w:rsidRPr="00E45834">
        <w:rPr>
          <w:spacing w:val="1"/>
        </w:rPr>
        <w:t xml:space="preserve"> </w:t>
      </w:r>
      <w:r w:rsidRPr="00E45834">
        <w:t>Directive 2001/24/EC; or d) collective investment undertakings.</w:t>
      </w:r>
    </w:p>
    <w:p w14:paraId="70EB0966" w14:textId="77777777" w:rsidR="00493B7B" w:rsidRPr="00E45834" w:rsidRDefault="00493B7B" w:rsidP="00493B7B">
      <w:pPr>
        <w:pStyle w:val="BodyText"/>
        <w:spacing w:before="96" w:line="237" w:lineRule="auto"/>
        <w:ind w:right="850"/>
        <w:jc w:val="both"/>
      </w:pPr>
    </w:p>
    <w:p w14:paraId="08C60297" w14:textId="77777777" w:rsidR="00493B7B" w:rsidRDefault="00493B7B" w:rsidP="00493B7B">
      <w:pPr>
        <w:pStyle w:val="BodyText"/>
        <w:spacing w:before="96" w:line="237" w:lineRule="auto"/>
        <w:ind w:right="850"/>
        <w:jc w:val="both"/>
        <w:rPr>
          <w:b/>
          <w:bCs/>
        </w:rPr>
      </w:pPr>
      <w:r w:rsidRPr="00E45834">
        <w:t>PAJ is a toy shop company, it is not an excluded undertaking of this regulation.</w:t>
      </w:r>
    </w:p>
    <w:p w14:paraId="48528DCA" w14:textId="77777777" w:rsidR="00493B7B" w:rsidRDefault="00493B7B" w:rsidP="00493B7B">
      <w:pPr>
        <w:pStyle w:val="BodyText"/>
        <w:spacing w:before="96" w:line="237" w:lineRule="auto"/>
        <w:ind w:right="850"/>
        <w:jc w:val="both"/>
        <w:rPr>
          <w:b/>
          <w:bCs/>
        </w:rPr>
      </w:pPr>
    </w:p>
    <w:p w14:paraId="4C50C7A8" w14:textId="2F5E1B85" w:rsidR="00493B7B" w:rsidRPr="00493B7B" w:rsidRDefault="00493B7B" w:rsidP="00493B7B">
      <w:pPr>
        <w:pStyle w:val="BodyText"/>
        <w:spacing w:before="96" w:line="237" w:lineRule="auto"/>
        <w:ind w:right="850"/>
        <w:jc w:val="both"/>
        <w:rPr>
          <w:b/>
          <w:bCs/>
        </w:rPr>
      </w:pPr>
      <w:r w:rsidRPr="00E45834">
        <w:rPr>
          <w:b/>
          <w:bCs/>
        </w:rPr>
        <w:t>Territorial scope:</w:t>
      </w:r>
      <w:r w:rsidRPr="00E45834">
        <w:t xml:space="preserve"> The EIR Recast is a binding piece of EU legislation and it is therefore directly</w:t>
      </w:r>
      <w:r w:rsidRPr="00E45834">
        <w:rPr>
          <w:spacing w:val="1"/>
        </w:rPr>
        <w:t xml:space="preserve"> </w:t>
      </w:r>
      <w:r w:rsidRPr="00E45834">
        <w:t xml:space="preserve">applicably in all Member States, with the exception of Denmark. </w:t>
      </w:r>
    </w:p>
    <w:p w14:paraId="52084A3A" w14:textId="77777777" w:rsidR="00493B7B" w:rsidRPr="00E45834" w:rsidRDefault="00493B7B" w:rsidP="00493B7B">
      <w:pPr>
        <w:pStyle w:val="BodyText"/>
        <w:spacing w:before="96" w:line="237" w:lineRule="auto"/>
        <w:ind w:right="850"/>
        <w:jc w:val="both"/>
      </w:pPr>
      <w:r w:rsidRPr="00E45834">
        <w:t xml:space="preserve">In the case, </w:t>
      </w:r>
      <w:r w:rsidRPr="00E45834">
        <w:rPr>
          <w:lang w:val="en-GB"/>
        </w:rPr>
        <w:t xml:space="preserve">PAJ </w:t>
      </w:r>
      <w:r w:rsidRPr="00E45834">
        <w:t>has</w:t>
      </w:r>
      <w:r w:rsidRPr="00E45834">
        <w:rPr>
          <w:spacing w:val="-2"/>
        </w:rPr>
        <w:t xml:space="preserve"> </w:t>
      </w:r>
      <w:r w:rsidRPr="00E45834">
        <w:t>COMI</w:t>
      </w:r>
      <w:r w:rsidRPr="00E45834">
        <w:rPr>
          <w:spacing w:val="-2"/>
        </w:rPr>
        <w:t xml:space="preserve"> </w:t>
      </w:r>
      <w:r w:rsidRPr="00E45834">
        <w:t>in</w:t>
      </w:r>
      <w:r w:rsidRPr="00E45834">
        <w:rPr>
          <w:spacing w:val="-2"/>
        </w:rPr>
        <w:t xml:space="preserve"> </w:t>
      </w:r>
      <w:r w:rsidRPr="00E45834">
        <w:t>a</w:t>
      </w:r>
      <w:r w:rsidRPr="00E45834">
        <w:rPr>
          <w:spacing w:val="-2"/>
        </w:rPr>
        <w:t xml:space="preserve"> </w:t>
      </w:r>
      <w:r w:rsidRPr="00E45834">
        <w:t>Member</w:t>
      </w:r>
      <w:r w:rsidRPr="00E45834">
        <w:rPr>
          <w:spacing w:val="-2"/>
        </w:rPr>
        <w:t xml:space="preserve"> </w:t>
      </w:r>
      <w:r w:rsidRPr="00E45834">
        <w:t>State</w:t>
      </w:r>
      <w:r w:rsidRPr="00E45834">
        <w:rPr>
          <w:spacing w:val="-2"/>
        </w:rPr>
        <w:t xml:space="preserve"> </w:t>
      </w:r>
      <w:r w:rsidRPr="00E45834">
        <w:t>of</w:t>
      </w:r>
      <w:r w:rsidRPr="00E45834">
        <w:rPr>
          <w:spacing w:val="-3"/>
        </w:rPr>
        <w:t xml:space="preserve"> </w:t>
      </w:r>
      <w:r w:rsidRPr="00E45834">
        <w:t>the</w:t>
      </w:r>
      <w:r w:rsidRPr="00E45834">
        <w:rPr>
          <w:spacing w:val="-2"/>
        </w:rPr>
        <w:t xml:space="preserve"> </w:t>
      </w:r>
      <w:r w:rsidRPr="00E45834">
        <w:t>EU,</w:t>
      </w:r>
      <w:r w:rsidRPr="00E45834">
        <w:rPr>
          <w:spacing w:val="-2"/>
        </w:rPr>
        <w:t xml:space="preserve"> </w:t>
      </w:r>
      <w:r w:rsidRPr="00E45834">
        <w:t>except</w:t>
      </w:r>
      <w:r w:rsidRPr="00E45834">
        <w:rPr>
          <w:spacing w:val="-2"/>
        </w:rPr>
        <w:t xml:space="preserve"> </w:t>
      </w:r>
      <w:r w:rsidRPr="00E45834">
        <w:t>Denmark.</w:t>
      </w:r>
    </w:p>
    <w:p w14:paraId="231476E0" w14:textId="77777777" w:rsidR="00493B7B" w:rsidRPr="00E45834" w:rsidRDefault="00493B7B" w:rsidP="00493B7B">
      <w:pPr>
        <w:pStyle w:val="BodyText"/>
        <w:spacing w:before="96" w:line="237" w:lineRule="auto"/>
        <w:ind w:right="850"/>
        <w:jc w:val="both"/>
      </w:pPr>
    </w:p>
    <w:p w14:paraId="4FAC3DB4" w14:textId="1311358E" w:rsidR="00493B7B" w:rsidRPr="00493B7B" w:rsidRDefault="00493B7B" w:rsidP="00493B7B">
      <w:pPr>
        <w:jc w:val="both"/>
        <w:rPr>
          <w:rFonts w:ascii="Arial" w:hAnsi="Arial" w:cs="Arial"/>
          <w:sz w:val="22"/>
          <w:szCs w:val="22"/>
        </w:rPr>
      </w:pPr>
      <w:r w:rsidRPr="00E45834">
        <w:rPr>
          <w:rFonts w:ascii="Arial" w:eastAsia="Arial" w:hAnsi="Arial" w:cs="Arial"/>
          <w:sz w:val="22"/>
          <w:szCs w:val="22"/>
        </w:rPr>
        <w:t>All four scopes have complied, for this reason, the EIR Recast should be applicable to the opened insolvency proceeding of PAJ.</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6"/>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35D8F287" w14:textId="08CC8147" w:rsidR="0077498C" w:rsidRDefault="0077498C" w:rsidP="002A37BB">
      <w:pPr>
        <w:jc w:val="both"/>
        <w:rPr>
          <w:rFonts w:ascii="Arial" w:hAnsi="Arial" w:cs="Arial"/>
          <w:color w:val="7B7B7B" w:themeColor="accent3" w:themeShade="BF"/>
          <w:sz w:val="22"/>
          <w:szCs w:val="22"/>
          <w:lang w:val="en-GB"/>
        </w:rPr>
      </w:pPr>
    </w:p>
    <w:p w14:paraId="0EAE5132" w14:textId="00FD221B" w:rsidR="00D720A7" w:rsidRDefault="00D720A7" w:rsidP="00D720A7">
      <w:pPr>
        <w:jc w:val="both"/>
        <w:rPr>
          <w:rFonts w:ascii="Arial" w:hAnsi="Arial" w:cs="Arial"/>
          <w:sz w:val="22"/>
          <w:szCs w:val="22"/>
        </w:rPr>
      </w:pPr>
      <w:r w:rsidRPr="002C64BE">
        <w:rPr>
          <w:rFonts w:ascii="Arial" w:hAnsi="Arial" w:cs="Arial"/>
          <w:sz w:val="22"/>
          <w:szCs w:val="22"/>
        </w:rPr>
        <w:t>The EIR Recast allows for the opening of one or more secondary insolvency</w:t>
      </w:r>
      <w:r w:rsidRPr="002C64BE">
        <w:rPr>
          <w:rFonts w:ascii="Arial" w:hAnsi="Arial" w:cs="Arial"/>
          <w:spacing w:val="1"/>
          <w:sz w:val="22"/>
          <w:szCs w:val="22"/>
        </w:rPr>
        <w:t xml:space="preserve"> </w:t>
      </w:r>
      <w:r w:rsidRPr="002C64BE">
        <w:rPr>
          <w:rFonts w:ascii="Arial" w:hAnsi="Arial" w:cs="Arial"/>
          <w:sz w:val="22"/>
          <w:szCs w:val="22"/>
        </w:rPr>
        <w:t>proceedings against a debtor in any Member State where it possesses an</w:t>
      </w:r>
      <w:r w:rsidRPr="002C64BE">
        <w:rPr>
          <w:rFonts w:ascii="Arial" w:hAnsi="Arial" w:cs="Arial"/>
          <w:spacing w:val="1"/>
          <w:sz w:val="22"/>
          <w:szCs w:val="22"/>
        </w:rPr>
        <w:t xml:space="preserve"> </w:t>
      </w:r>
      <w:r w:rsidRPr="002C64BE">
        <w:rPr>
          <w:rFonts w:ascii="Arial" w:hAnsi="Arial" w:cs="Arial"/>
          <w:sz w:val="22"/>
          <w:szCs w:val="22"/>
        </w:rPr>
        <w:t>establishment (Article 3(2) EIR Recast).</w:t>
      </w:r>
    </w:p>
    <w:p w14:paraId="0A121EAF" w14:textId="77777777" w:rsidR="00D720A7" w:rsidRPr="002C64BE" w:rsidRDefault="00D720A7" w:rsidP="00D720A7">
      <w:pPr>
        <w:jc w:val="both"/>
        <w:rPr>
          <w:rFonts w:ascii="Arial" w:hAnsi="Arial" w:cs="Arial"/>
          <w:sz w:val="22"/>
          <w:szCs w:val="22"/>
        </w:rPr>
      </w:pPr>
    </w:p>
    <w:p w14:paraId="506DA2C3" w14:textId="742FCDE1" w:rsidR="00D720A7" w:rsidRDefault="00D720A7" w:rsidP="00D720A7">
      <w:pPr>
        <w:jc w:val="both"/>
        <w:rPr>
          <w:rFonts w:ascii="Arial" w:hAnsi="Arial" w:cs="Arial"/>
          <w:sz w:val="22"/>
          <w:szCs w:val="22"/>
        </w:rPr>
      </w:pPr>
      <w:r w:rsidRPr="002C64BE">
        <w:rPr>
          <w:rFonts w:ascii="Arial" w:hAnsi="Arial" w:cs="Arial"/>
          <w:sz w:val="22"/>
          <w:szCs w:val="22"/>
        </w:rPr>
        <w:t>The concept of an “establishment” is essential to the opening of secondary</w:t>
      </w:r>
      <w:r w:rsidRPr="002C64BE">
        <w:rPr>
          <w:rFonts w:ascii="Arial" w:hAnsi="Arial" w:cs="Arial"/>
          <w:spacing w:val="1"/>
          <w:sz w:val="22"/>
          <w:szCs w:val="22"/>
        </w:rPr>
        <w:t xml:space="preserve"> </w:t>
      </w:r>
      <w:r w:rsidRPr="002C64BE">
        <w:rPr>
          <w:rFonts w:ascii="Arial" w:hAnsi="Arial" w:cs="Arial"/>
          <w:sz w:val="22"/>
          <w:szCs w:val="22"/>
        </w:rPr>
        <w:t>proceedings, as such proceedings can only be opened in a Member State in which</w:t>
      </w:r>
      <w:r w:rsidRPr="002C64BE">
        <w:rPr>
          <w:rFonts w:ascii="Arial" w:hAnsi="Arial" w:cs="Arial"/>
          <w:spacing w:val="1"/>
          <w:sz w:val="22"/>
          <w:szCs w:val="22"/>
        </w:rPr>
        <w:t xml:space="preserve"> </w:t>
      </w:r>
      <w:r w:rsidRPr="002C64BE">
        <w:rPr>
          <w:rFonts w:ascii="Arial" w:hAnsi="Arial" w:cs="Arial"/>
          <w:sz w:val="22"/>
          <w:szCs w:val="22"/>
        </w:rPr>
        <w:t>the debtor has an establishment. According to Article 2(10) EIR Recast,</w:t>
      </w:r>
      <w:r w:rsidRPr="002C64BE">
        <w:rPr>
          <w:rFonts w:ascii="Arial" w:hAnsi="Arial" w:cs="Arial"/>
          <w:spacing w:val="1"/>
          <w:sz w:val="22"/>
          <w:szCs w:val="22"/>
        </w:rPr>
        <w:t xml:space="preserve"> </w:t>
      </w:r>
      <w:r w:rsidRPr="002C64BE">
        <w:rPr>
          <w:rFonts w:ascii="Arial" w:hAnsi="Arial" w:cs="Arial"/>
          <w:sz w:val="22"/>
          <w:szCs w:val="22"/>
        </w:rPr>
        <w:t>“establishment” means any place of operations where a debtor carries out or has</w:t>
      </w:r>
      <w:r w:rsidRPr="002C64BE">
        <w:rPr>
          <w:rFonts w:ascii="Arial" w:hAnsi="Arial" w:cs="Arial"/>
          <w:spacing w:val="1"/>
          <w:sz w:val="22"/>
          <w:szCs w:val="22"/>
        </w:rPr>
        <w:t xml:space="preserve"> </w:t>
      </w:r>
      <w:r w:rsidRPr="002C64BE">
        <w:rPr>
          <w:rFonts w:ascii="Arial" w:hAnsi="Arial" w:cs="Arial"/>
          <w:sz w:val="22"/>
          <w:szCs w:val="22"/>
        </w:rPr>
        <w:t>carried out in the three-month period prior to the request to open main insolvency</w:t>
      </w:r>
      <w:r w:rsidRPr="002C64BE">
        <w:rPr>
          <w:rFonts w:ascii="Arial" w:hAnsi="Arial" w:cs="Arial"/>
          <w:spacing w:val="1"/>
          <w:sz w:val="22"/>
          <w:szCs w:val="22"/>
        </w:rPr>
        <w:t xml:space="preserve"> </w:t>
      </w:r>
      <w:r w:rsidRPr="002C64BE">
        <w:rPr>
          <w:rFonts w:ascii="Arial" w:hAnsi="Arial" w:cs="Arial"/>
          <w:sz w:val="22"/>
          <w:szCs w:val="22"/>
        </w:rPr>
        <w:t>proceedings a non-transitory economic activity with human means and assets.</w:t>
      </w:r>
    </w:p>
    <w:p w14:paraId="68FA1FD1" w14:textId="77777777" w:rsidR="00D720A7" w:rsidRPr="002C64BE" w:rsidRDefault="00D720A7" w:rsidP="00D720A7">
      <w:pPr>
        <w:jc w:val="both"/>
        <w:rPr>
          <w:rFonts w:ascii="Arial" w:hAnsi="Arial" w:cs="Arial"/>
          <w:sz w:val="22"/>
          <w:szCs w:val="22"/>
        </w:rPr>
      </w:pPr>
    </w:p>
    <w:p w14:paraId="1909E424" w14:textId="5EA38CE2" w:rsidR="00D720A7" w:rsidRDefault="00D720A7" w:rsidP="00D720A7">
      <w:pPr>
        <w:jc w:val="both"/>
        <w:rPr>
          <w:rFonts w:ascii="Arial" w:hAnsi="Arial" w:cs="Arial"/>
          <w:sz w:val="22"/>
          <w:szCs w:val="22"/>
        </w:rPr>
      </w:pPr>
      <w:r w:rsidRPr="002C64BE">
        <w:rPr>
          <w:rFonts w:ascii="Arial" w:hAnsi="Arial" w:cs="Arial"/>
          <w:sz w:val="22"/>
          <w:szCs w:val="22"/>
        </w:rPr>
        <w:t xml:space="preserve">In </w:t>
      </w:r>
      <w:proofErr w:type="spellStart"/>
      <w:r w:rsidRPr="002C64BE">
        <w:rPr>
          <w:rFonts w:ascii="Arial" w:hAnsi="Arial" w:cs="Arial"/>
          <w:i/>
          <w:sz w:val="22"/>
          <w:szCs w:val="22"/>
        </w:rPr>
        <w:t>Interedil</w:t>
      </w:r>
      <w:proofErr w:type="spellEnd"/>
      <w:r w:rsidRPr="002C64BE">
        <w:rPr>
          <w:rStyle w:val="FootnoteReference"/>
          <w:rFonts w:ascii="Arial" w:hAnsi="Arial" w:cs="Arial"/>
          <w:i/>
          <w:sz w:val="22"/>
          <w:szCs w:val="22"/>
        </w:rPr>
        <w:footnoteReference w:id="2"/>
      </w:r>
      <w:r w:rsidRPr="002C64BE">
        <w:rPr>
          <w:rFonts w:ascii="Arial" w:hAnsi="Arial" w:cs="Arial"/>
          <w:i/>
          <w:sz w:val="22"/>
          <w:szCs w:val="22"/>
        </w:rPr>
        <w:t xml:space="preserve">, </w:t>
      </w:r>
      <w:r w:rsidRPr="002C64BE">
        <w:rPr>
          <w:rFonts w:ascii="Arial" w:hAnsi="Arial" w:cs="Arial"/>
          <w:sz w:val="22"/>
          <w:szCs w:val="22"/>
        </w:rPr>
        <w:t>the CJEU examined the concept and</w:t>
      </w:r>
      <w:r w:rsidRPr="002C64BE">
        <w:rPr>
          <w:rFonts w:ascii="Arial" w:hAnsi="Arial" w:cs="Arial"/>
          <w:spacing w:val="1"/>
          <w:sz w:val="22"/>
          <w:szCs w:val="22"/>
        </w:rPr>
        <w:t xml:space="preserve"> </w:t>
      </w:r>
      <w:r w:rsidRPr="002C64BE">
        <w:rPr>
          <w:rFonts w:ascii="Arial" w:hAnsi="Arial" w:cs="Arial"/>
          <w:sz w:val="22"/>
          <w:szCs w:val="22"/>
        </w:rPr>
        <w:t>concluded that:</w:t>
      </w:r>
    </w:p>
    <w:p w14:paraId="4360B2E3" w14:textId="77777777" w:rsidR="00D720A7" w:rsidRPr="002C64BE" w:rsidRDefault="00D720A7" w:rsidP="00D720A7">
      <w:pPr>
        <w:jc w:val="both"/>
        <w:rPr>
          <w:rFonts w:ascii="Arial" w:hAnsi="Arial" w:cs="Arial"/>
          <w:sz w:val="22"/>
          <w:szCs w:val="22"/>
        </w:rPr>
      </w:pPr>
    </w:p>
    <w:p w14:paraId="2B81EFA1" w14:textId="6FBB80CF" w:rsidR="00D720A7" w:rsidRDefault="00D720A7" w:rsidP="00D720A7">
      <w:pPr>
        <w:jc w:val="both"/>
        <w:rPr>
          <w:rFonts w:ascii="Arial" w:hAnsi="Arial" w:cs="Arial"/>
          <w:color w:val="000000"/>
          <w:sz w:val="22"/>
          <w:szCs w:val="22"/>
        </w:rPr>
      </w:pPr>
      <w:r w:rsidRPr="002C64BE">
        <w:rPr>
          <w:rFonts w:ascii="Arial" w:hAnsi="Arial" w:cs="Arial"/>
          <w:i/>
          <w:iCs/>
          <w:color w:val="000000"/>
          <w:sz w:val="22"/>
          <w:szCs w:val="22"/>
        </w:rPr>
        <w:t xml:space="preserve">“The fact that that definition links the pursuit of an economic activity to the presence of human resources shows that a minimum level of </w:t>
      </w:r>
      <w:proofErr w:type="spellStart"/>
      <w:r w:rsidRPr="002C64BE">
        <w:rPr>
          <w:rFonts w:ascii="Arial" w:hAnsi="Arial" w:cs="Arial"/>
          <w:i/>
          <w:iCs/>
          <w:color w:val="000000"/>
          <w:sz w:val="22"/>
          <w:szCs w:val="22"/>
        </w:rPr>
        <w:t>organisation</w:t>
      </w:r>
      <w:proofErr w:type="spellEnd"/>
      <w:r w:rsidRPr="002C64BE">
        <w:rPr>
          <w:rFonts w:ascii="Arial" w:hAnsi="Arial" w:cs="Arial"/>
          <w:i/>
          <w:iCs/>
          <w:color w:val="000000"/>
          <w:sz w:val="22"/>
          <w:szCs w:val="22"/>
        </w:rPr>
        <w:t xml:space="preserve"> and a degree of stability are required. It follows that, conversely, the presence alone of goods in isolation or bank accounts does not, in principle, satisfy the requirements for classification as an establishment”</w:t>
      </w:r>
      <w:r w:rsidRPr="002C64BE">
        <w:rPr>
          <w:rFonts w:ascii="Arial" w:hAnsi="Arial" w:cs="Arial"/>
          <w:color w:val="000000"/>
          <w:sz w:val="22"/>
          <w:szCs w:val="22"/>
        </w:rPr>
        <w:t xml:space="preserve"> (paragraph 62).</w:t>
      </w:r>
    </w:p>
    <w:p w14:paraId="074976F2" w14:textId="77777777" w:rsidR="00D720A7" w:rsidRPr="002C64BE" w:rsidRDefault="00D720A7" w:rsidP="00D720A7">
      <w:pPr>
        <w:jc w:val="both"/>
        <w:rPr>
          <w:rFonts w:ascii="Arial" w:hAnsi="Arial" w:cs="Arial"/>
          <w:color w:val="000000"/>
          <w:sz w:val="22"/>
          <w:szCs w:val="22"/>
        </w:rPr>
      </w:pPr>
    </w:p>
    <w:p w14:paraId="32D2AFF5" w14:textId="6C90E36F" w:rsidR="00D720A7" w:rsidRPr="003263DD" w:rsidRDefault="00D720A7" w:rsidP="00D720A7">
      <w:pPr>
        <w:jc w:val="both"/>
        <w:rPr>
          <w:rFonts w:ascii="Arial" w:hAnsi="Arial" w:cs="Arial"/>
          <w:sz w:val="22"/>
          <w:szCs w:val="22"/>
        </w:rPr>
      </w:pPr>
      <w:r w:rsidRPr="003263DD">
        <w:rPr>
          <w:rFonts w:ascii="Arial" w:hAnsi="Arial" w:cs="Arial"/>
          <w:color w:val="000000"/>
          <w:sz w:val="22"/>
          <w:szCs w:val="22"/>
        </w:rPr>
        <w:t xml:space="preserve">According to EIR Recast and CJEU jurisprudence, an establishment must be an organization doing economic activities with human beings and assets. In the PAJ case, it only has a bank account in Spain and some memoranda of understanding (MOU) sign with local distributors, in this </w:t>
      </w:r>
      <w:r w:rsidR="008C48F5">
        <w:rPr>
          <w:rFonts w:ascii="Arial" w:hAnsi="Arial" w:cs="Arial"/>
          <w:color w:val="000000"/>
          <w:sz w:val="22"/>
          <w:szCs w:val="22"/>
        </w:rPr>
        <w:t>sense</w:t>
      </w:r>
      <w:r w:rsidRPr="003263DD">
        <w:rPr>
          <w:rFonts w:ascii="Arial" w:hAnsi="Arial" w:cs="Arial"/>
          <w:color w:val="000000"/>
          <w:sz w:val="22"/>
          <w:szCs w:val="22"/>
        </w:rPr>
        <w:t xml:space="preserve">, the Spanish bank </w:t>
      </w:r>
      <w:r w:rsidR="009A6C55" w:rsidRPr="003263DD">
        <w:rPr>
          <w:rFonts w:ascii="Arial" w:hAnsi="Arial" w:cs="Arial"/>
          <w:color w:val="000000"/>
          <w:sz w:val="22"/>
          <w:szCs w:val="22"/>
        </w:rPr>
        <w:t>c</w:t>
      </w:r>
      <w:r w:rsidR="009A6C55">
        <w:rPr>
          <w:rFonts w:ascii="Arial" w:hAnsi="Arial" w:cs="Arial"/>
          <w:color w:val="000000"/>
          <w:sz w:val="22"/>
          <w:szCs w:val="22"/>
        </w:rPr>
        <w:t>an</w:t>
      </w:r>
      <w:r w:rsidR="009A6C55" w:rsidRPr="003263DD">
        <w:rPr>
          <w:rFonts w:ascii="Arial" w:hAnsi="Arial" w:cs="Arial"/>
          <w:color w:val="000000"/>
          <w:sz w:val="22"/>
          <w:szCs w:val="22"/>
        </w:rPr>
        <w:t>not</w:t>
      </w:r>
      <w:r w:rsidRPr="003263DD">
        <w:rPr>
          <w:rFonts w:ascii="Arial" w:hAnsi="Arial" w:cs="Arial"/>
          <w:color w:val="000000"/>
          <w:sz w:val="22"/>
          <w:szCs w:val="22"/>
        </w:rPr>
        <w:t xml:space="preserve"> open a secondary insolvency proceeding in Spain against PAJ.</w:t>
      </w:r>
    </w:p>
    <w:p w14:paraId="2888443B" w14:textId="77777777" w:rsidR="00D720A7" w:rsidRPr="00D720A7" w:rsidRDefault="00D720A7" w:rsidP="002A37BB">
      <w:pPr>
        <w:jc w:val="both"/>
        <w:rPr>
          <w:rFonts w:ascii="Arial" w:hAnsi="Arial" w:cs="Arial"/>
          <w:color w:val="000000" w:themeColor="text1"/>
          <w:sz w:val="22"/>
          <w:szCs w:val="22"/>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8AEF" w14:textId="77777777" w:rsidR="00FC7389" w:rsidRDefault="00FC7389" w:rsidP="00241B44">
      <w:r>
        <w:separator/>
      </w:r>
    </w:p>
  </w:endnote>
  <w:endnote w:type="continuationSeparator" w:id="0">
    <w:p w14:paraId="4BC84EAC" w14:textId="77777777" w:rsidR="00FC7389" w:rsidRDefault="00FC738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0DEEFFA" w:rsidR="00241FA3" w:rsidRPr="009B4976" w:rsidRDefault="00F15AD1" w:rsidP="009B4976">
    <w:pPr>
      <w:pStyle w:val="Footer"/>
      <w:ind w:right="360"/>
      <w:rPr>
        <w:rFonts w:ascii="Arial" w:hAnsi="Arial" w:cs="Arial"/>
        <w:sz w:val="18"/>
        <w:szCs w:val="18"/>
        <w:lang w:val="en-GB"/>
      </w:rPr>
    </w:pPr>
    <w:r w:rsidRPr="00F15AD1">
      <w:rPr>
        <w:rFonts w:ascii="Arial" w:hAnsi="Arial" w:cs="Arial"/>
        <w:sz w:val="18"/>
        <w:szCs w:val="18"/>
        <w:lang w:val="en-GB"/>
      </w:rPr>
      <w:t>202021IFU-211</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74C5" w14:textId="77777777" w:rsidR="00FC7389" w:rsidRDefault="00FC7389" w:rsidP="00241B44">
      <w:r>
        <w:separator/>
      </w:r>
    </w:p>
  </w:footnote>
  <w:footnote w:type="continuationSeparator" w:id="0">
    <w:p w14:paraId="2919A85B" w14:textId="77777777" w:rsidR="00FC7389" w:rsidRDefault="00FC7389" w:rsidP="00241B44">
      <w:r>
        <w:continuationSeparator/>
      </w:r>
    </w:p>
  </w:footnote>
  <w:footnote w:id="1">
    <w:p w14:paraId="30303B01" w14:textId="77777777" w:rsidR="007D1911" w:rsidRPr="0096716F" w:rsidRDefault="007D1911" w:rsidP="007D1911">
      <w:pPr>
        <w:pStyle w:val="FootnoteText"/>
        <w:rPr>
          <w:rFonts w:ascii="Arial" w:hAnsi="Arial" w:cs="Arial"/>
          <w:sz w:val="18"/>
          <w:szCs w:val="18"/>
        </w:rPr>
      </w:pPr>
      <w:r w:rsidRPr="0096716F">
        <w:rPr>
          <w:rStyle w:val="FootnoteReference"/>
          <w:rFonts w:ascii="Arial" w:hAnsi="Arial" w:cs="Arial"/>
          <w:sz w:val="18"/>
          <w:szCs w:val="18"/>
        </w:rPr>
        <w:footnoteRef/>
      </w:r>
      <w:r w:rsidRPr="0096716F">
        <w:rPr>
          <w:rFonts w:ascii="Arial" w:hAnsi="Arial" w:cs="Arial"/>
          <w:sz w:val="18"/>
          <w:szCs w:val="18"/>
        </w:rPr>
        <w:t xml:space="preserve"> See, </w:t>
      </w:r>
      <w:r w:rsidRPr="0096716F">
        <w:rPr>
          <w:rFonts w:ascii="Arial" w:hAnsi="Arial" w:cs="Arial"/>
          <w:color w:val="000000"/>
          <w:sz w:val="18"/>
          <w:szCs w:val="18"/>
          <w:shd w:val="clear" w:color="auto" w:fill="FFFFFF"/>
        </w:rPr>
        <w:t>Report on the application of Council Regulation (EC) No 1346/2002.</w:t>
      </w:r>
    </w:p>
  </w:footnote>
  <w:footnote w:id="2">
    <w:p w14:paraId="57B513E2" w14:textId="2864CB34" w:rsidR="00D720A7" w:rsidRPr="00D720A7" w:rsidRDefault="00D720A7" w:rsidP="00D720A7">
      <w:pPr>
        <w:pStyle w:val="FootnoteText"/>
        <w:jc w:val="both"/>
        <w:rPr>
          <w:rFonts w:ascii="Arial" w:hAnsi="Arial" w:cs="Arial"/>
          <w:sz w:val="18"/>
          <w:szCs w:val="18"/>
        </w:rPr>
      </w:pPr>
      <w:r w:rsidRPr="00D720A7">
        <w:rPr>
          <w:rStyle w:val="FootnoteReference"/>
          <w:rFonts w:ascii="Arial" w:hAnsi="Arial" w:cs="Arial"/>
          <w:sz w:val="18"/>
          <w:szCs w:val="18"/>
        </w:rPr>
        <w:footnoteRef/>
      </w:r>
      <w:r w:rsidRPr="00D720A7">
        <w:rPr>
          <w:rFonts w:ascii="Arial" w:hAnsi="Arial" w:cs="Arial"/>
          <w:sz w:val="18"/>
          <w:szCs w:val="18"/>
        </w:rPr>
        <w:t xml:space="preserve"> Case C-396/09, </w:t>
      </w:r>
      <w:r w:rsidRPr="00D720A7">
        <w:rPr>
          <w:rFonts w:ascii="Arial" w:hAnsi="Arial" w:cs="Arial"/>
          <w:sz w:val="18"/>
          <w:szCs w:val="18"/>
        </w:rPr>
        <w:t>Interedil Srl v Intensa Gestione Crediti (October 20,2011).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830"/>
    <w:multiLevelType w:val="hybridMultilevel"/>
    <w:tmpl w:val="801ACC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B116F7"/>
    <w:multiLevelType w:val="hybridMultilevel"/>
    <w:tmpl w:val="0F0ED548"/>
    <w:lvl w:ilvl="0" w:tplc="AF8618D4">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32379FE"/>
    <w:multiLevelType w:val="hybridMultilevel"/>
    <w:tmpl w:val="2CB6BA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4791D3C"/>
    <w:multiLevelType w:val="hybridMultilevel"/>
    <w:tmpl w:val="9182922E"/>
    <w:lvl w:ilvl="0" w:tplc="51BE7F8E">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5694753"/>
    <w:multiLevelType w:val="hybridMultilevel"/>
    <w:tmpl w:val="209C6D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12"/>
  </w:num>
  <w:num w:numId="3">
    <w:abstractNumId w:val="6"/>
  </w:num>
  <w:num w:numId="4">
    <w:abstractNumId w:val="15"/>
  </w:num>
  <w:num w:numId="5">
    <w:abstractNumId w:val="11"/>
  </w:num>
  <w:num w:numId="6">
    <w:abstractNumId w:val="13"/>
  </w:num>
  <w:num w:numId="7">
    <w:abstractNumId w:val="2"/>
  </w:num>
  <w:num w:numId="8">
    <w:abstractNumId w:val="9"/>
  </w:num>
  <w:num w:numId="9">
    <w:abstractNumId w:val="8"/>
  </w:num>
  <w:num w:numId="10">
    <w:abstractNumId w:val="4"/>
  </w:num>
  <w:num w:numId="11">
    <w:abstractNumId w:val="10"/>
  </w:num>
  <w:num w:numId="12">
    <w:abstractNumId w:val="14"/>
  </w:num>
  <w:num w:numId="13">
    <w:abstractNumId w:val="1"/>
  </w:num>
  <w:num w:numId="14">
    <w:abstractNumId w:val="5"/>
  </w:num>
  <w:num w:numId="15">
    <w:abstractNumId w:val="0"/>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1D59"/>
    <w:rsid w:val="001D4862"/>
    <w:rsid w:val="001D6E1C"/>
    <w:rsid w:val="001E25B9"/>
    <w:rsid w:val="001E49E0"/>
    <w:rsid w:val="001E5F8A"/>
    <w:rsid w:val="001E7B5A"/>
    <w:rsid w:val="001F7412"/>
    <w:rsid w:val="00202DFE"/>
    <w:rsid w:val="00203720"/>
    <w:rsid w:val="0020725B"/>
    <w:rsid w:val="002110F1"/>
    <w:rsid w:val="00220366"/>
    <w:rsid w:val="00222FB5"/>
    <w:rsid w:val="0024116D"/>
    <w:rsid w:val="00241B44"/>
    <w:rsid w:val="00241FA3"/>
    <w:rsid w:val="00244C44"/>
    <w:rsid w:val="00245EFB"/>
    <w:rsid w:val="002515CA"/>
    <w:rsid w:val="0025386E"/>
    <w:rsid w:val="002638B0"/>
    <w:rsid w:val="0026647A"/>
    <w:rsid w:val="002668D3"/>
    <w:rsid w:val="0027299F"/>
    <w:rsid w:val="00284EBE"/>
    <w:rsid w:val="0029433F"/>
    <w:rsid w:val="00294829"/>
    <w:rsid w:val="0029690F"/>
    <w:rsid w:val="00297C8A"/>
    <w:rsid w:val="002A2A60"/>
    <w:rsid w:val="002A37BB"/>
    <w:rsid w:val="002A6954"/>
    <w:rsid w:val="002B1C45"/>
    <w:rsid w:val="002C13C8"/>
    <w:rsid w:val="002C3547"/>
    <w:rsid w:val="002D0021"/>
    <w:rsid w:val="002D3473"/>
    <w:rsid w:val="002F1956"/>
    <w:rsid w:val="002F3440"/>
    <w:rsid w:val="002F75A3"/>
    <w:rsid w:val="00303C2F"/>
    <w:rsid w:val="003144EF"/>
    <w:rsid w:val="003252C2"/>
    <w:rsid w:val="00326292"/>
    <w:rsid w:val="003263DD"/>
    <w:rsid w:val="00326415"/>
    <w:rsid w:val="00330937"/>
    <w:rsid w:val="00330F31"/>
    <w:rsid w:val="00331480"/>
    <w:rsid w:val="00334648"/>
    <w:rsid w:val="0033768C"/>
    <w:rsid w:val="00337938"/>
    <w:rsid w:val="00340769"/>
    <w:rsid w:val="00341AA6"/>
    <w:rsid w:val="00361A0A"/>
    <w:rsid w:val="00362663"/>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D5482"/>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65BFF"/>
    <w:rsid w:val="00477330"/>
    <w:rsid w:val="00477C72"/>
    <w:rsid w:val="00491675"/>
    <w:rsid w:val="00493855"/>
    <w:rsid w:val="00493B7B"/>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7A1D"/>
    <w:rsid w:val="00697EA1"/>
    <w:rsid w:val="006A2646"/>
    <w:rsid w:val="006A6530"/>
    <w:rsid w:val="006B435A"/>
    <w:rsid w:val="006B4C64"/>
    <w:rsid w:val="006D6BD5"/>
    <w:rsid w:val="006E481A"/>
    <w:rsid w:val="006E5287"/>
    <w:rsid w:val="006E5298"/>
    <w:rsid w:val="006F4A78"/>
    <w:rsid w:val="006F734A"/>
    <w:rsid w:val="00700D83"/>
    <w:rsid w:val="00704852"/>
    <w:rsid w:val="007074E9"/>
    <w:rsid w:val="00713DA4"/>
    <w:rsid w:val="00714BF1"/>
    <w:rsid w:val="00721383"/>
    <w:rsid w:val="0073158B"/>
    <w:rsid w:val="007333CC"/>
    <w:rsid w:val="0073399A"/>
    <w:rsid w:val="007603F5"/>
    <w:rsid w:val="00761CFE"/>
    <w:rsid w:val="00764DB0"/>
    <w:rsid w:val="0076764D"/>
    <w:rsid w:val="0077498C"/>
    <w:rsid w:val="007809BC"/>
    <w:rsid w:val="00782EE1"/>
    <w:rsid w:val="00784128"/>
    <w:rsid w:val="00793173"/>
    <w:rsid w:val="007A2A33"/>
    <w:rsid w:val="007A7B20"/>
    <w:rsid w:val="007B4BBD"/>
    <w:rsid w:val="007C1FCC"/>
    <w:rsid w:val="007C50AA"/>
    <w:rsid w:val="007C6201"/>
    <w:rsid w:val="007D191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A4DF2"/>
    <w:rsid w:val="008A6CFE"/>
    <w:rsid w:val="008B5333"/>
    <w:rsid w:val="008B6223"/>
    <w:rsid w:val="008C48F5"/>
    <w:rsid w:val="008C4AC6"/>
    <w:rsid w:val="008C66E0"/>
    <w:rsid w:val="008E0EC8"/>
    <w:rsid w:val="008E3339"/>
    <w:rsid w:val="008F20FC"/>
    <w:rsid w:val="008F5FFE"/>
    <w:rsid w:val="00905A43"/>
    <w:rsid w:val="00912C79"/>
    <w:rsid w:val="00914A23"/>
    <w:rsid w:val="00942123"/>
    <w:rsid w:val="0095207B"/>
    <w:rsid w:val="00962045"/>
    <w:rsid w:val="00967219"/>
    <w:rsid w:val="00980E61"/>
    <w:rsid w:val="00991428"/>
    <w:rsid w:val="00992676"/>
    <w:rsid w:val="009954B2"/>
    <w:rsid w:val="00996691"/>
    <w:rsid w:val="009A6C55"/>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821F8"/>
    <w:rsid w:val="00A96489"/>
    <w:rsid w:val="00AA788A"/>
    <w:rsid w:val="00AB685C"/>
    <w:rsid w:val="00AB6C2D"/>
    <w:rsid w:val="00AC08F7"/>
    <w:rsid w:val="00AC3839"/>
    <w:rsid w:val="00AC7082"/>
    <w:rsid w:val="00AD2931"/>
    <w:rsid w:val="00AD513F"/>
    <w:rsid w:val="00AE2316"/>
    <w:rsid w:val="00AE74BA"/>
    <w:rsid w:val="00AF228E"/>
    <w:rsid w:val="00B016A8"/>
    <w:rsid w:val="00B14819"/>
    <w:rsid w:val="00B15E2F"/>
    <w:rsid w:val="00B17AA9"/>
    <w:rsid w:val="00B25112"/>
    <w:rsid w:val="00B30D9A"/>
    <w:rsid w:val="00B44713"/>
    <w:rsid w:val="00B56103"/>
    <w:rsid w:val="00B577E2"/>
    <w:rsid w:val="00B62FAF"/>
    <w:rsid w:val="00B64929"/>
    <w:rsid w:val="00B736DF"/>
    <w:rsid w:val="00B743D6"/>
    <w:rsid w:val="00B74FBD"/>
    <w:rsid w:val="00B77F46"/>
    <w:rsid w:val="00B82586"/>
    <w:rsid w:val="00B829A3"/>
    <w:rsid w:val="00B86DB1"/>
    <w:rsid w:val="00B87869"/>
    <w:rsid w:val="00B96CE3"/>
    <w:rsid w:val="00BB0F2B"/>
    <w:rsid w:val="00BB38D1"/>
    <w:rsid w:val="00BE4FF3"/>
    <w:rsid w:val="00BF50F7"/>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56B4E"/>
    <w:rsid w:val="00D608A4"/>
    <w:rsid w:val="00D60E46"/>
    <w:rsid w:val="00D63EFD"/>
    <w:rsid w:val="00D651FD"/>
    <w:rsid w:val="00D720A7"/>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7C5A"/>
    <w:rsid w:val="00E136D1"/>
    <w:rsid w:val="00E15BA9"/>
    <w:rsid w:val="00E26E19"/>
    <w:rsid w:val="00E30C8A"/>
    <w:rsid w:val="00E31DF3"/>
    <w:rsid w:val="00E4260C"/>
    <w:rsid w:val="00E450A4"/>
    <w:rsid w:val="00E453EF"/>
    <w:rsid w:val="00E506BE"/>
    <w:rsid w:val="00E55547"/>
    <w:rsid w:val="00E604A1"/>
    <w:rsid w:val="00E6302B"/>
    <w:rsid w:val="00E6452F"/>
    <w:rsid w:val="00E64F45"/>
    <w:rsid w:val="00E6742D"/>
    <w:rsid w:val="00E71CB0"/>
    <w:rsid w:val="00E77C3D"/>
    <w:rsid w:val="00E81160"/>
    <w:rsid w:val="00E83CE8"/>
    <w:rsid w:val="00E876A6"/>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15AD1"/>
    <w:rsid w:val="00F27CD8"/>
    <w:rsid w:val="00F30351"/>
    <w:rsid w:val="00F307BB"/>
    <w:rsid w:val="00F3323E"/>
    <w:rsid w:val="00F341F4"/>
    <w:rsid w:val="00F34F9D"/>
    <w:rsid w:val="00F35CCE"/>
    <w:rsid w:val="00F5524B"/>
    <w:rsid w:val="00F60538"/>
    <w:rsid w:val="00F61DD2"/>
    <w:rsid w:val="00F66AFF"/>
    <w:rsid w:val="00F71433"/>
    <w:rsid w:val="00F76CD4"/>
    <w:rsid w:val="00F83464"/>
    <w:rsid w:val="00F93BE7"/>
    <w:rsid w:val="00F948B5"/>
    <w:rsid w:val="00F97C5B"/>
    <w:rsid w:val="00FA3D50"/>
    <w:rsid w:val="00FB3968"/>
    <w:rsid w:val="00FB399B"/>
    <w:rsid w:val="00FB7FBD"/>
    <w:rsid w:val="00FC374A"/>
    <w:rsid w:val="00FC48D8"/>
    <w:rsid w:val="00FC7389"/>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9"/>
    <w:qFormat/>
    <w:rsid w:val="00FB3968"/>
    <w:pPr>
      <w:widowControl w:val="0"/>
      <w:autoSpaceDE w:val="0"/>
      <w:autoSpaceDN w:val="0"/>
      <w:ind w:left="83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FB3968"/>
    <w:rPr>
      <w:rFonts w:ascii="Arial" w:eastAsia="Arial" w:hAnsi="Arial" w:cs="Arial"/>
      <w:b/>
      <w:bCs/>
      <w:sz w:val="22"/>
      <w:szCs w:val="22"/>
    </w:rPr>
  </w:style>
  <w:style w:type="paragraph" w:customStyle="1" w:styleId="Normal1">
    <w:name w:val="Normal1"/>
    <w:basedOn w:val="Normal"/>
    <w:rsid w:val="00FB3968"/>
    <w:pPr>
      <w:spacing w:before="100" w:beforeAutospacing="1" w:after="100" w:afterAutospacing="1"/>
    </w:pPr>
    <w:rPr>
      <w:rFonts w:ascii="Times New Roman" w:hAnsi="Times New Roman" w:cs="Times New Roman"/>
      <w:sz w:val="24"/>
      <w:lang w:val="es-PE" w:eastAsia="es-PE"/>
    </w:rPr>
  </w:style>
  <w:style w:type="paragraph" w:customStyle="1" w:styleId="Normal2">
    <w:name w:val="Normal2"/>
    <w:basedOn w:val="Normal"/>
    <w:rsid w:val="00FB3968"/>
    <w:pPr>
      <w:spacing w:before="100" w:beforeAutospacing="1" w:after="100" w:afterAutospacing="1"/>
    </w:pPr>
    <w:rPr>
      <w:rFonts w:ascii="Times New Roman" w:hAnsi="Times New Roman" w:cs="Times New Roman"/>
      <w:sz w:val="24"/>
      <w:lang w:val="es-PE" w:eastAsia="es-PE"/>
    </w:rPr>
  </w:style>
  <w:style w:type="paragraph" w:styleId="BodyText">
    <w:name w:val="Body Text"/>
    <w:basedOn w:val="Normal"/>
    <w:link w:val="BodyTextChar"/>
    <w:uiPriority w:val="1"/>
    <w:qFormat/>
    <w:rsid w:val="00493B7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493B7B"/>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6269</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2021-07-26T11:06:00Z</dcterms:created>
  <dcterms:modified xsi:type="dcterms:W3CDTF">2021-07-26T11:06:00Z</dcterms:modified>
</cp:coreProperties>
</file>