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805F6E" w:rsidRDefault="002460B1" w:rsidP="00841D99">
      <w:pPr>
        <w:pStyle w:val="ListParagraph"/>
        <w:numPr>
          <w:ilvl w:val="0"/>
          <w:numId w:val="10"/>
        </w:numPr>
        <w:ind w:left="426"/>
        <w:jc w:val="both"/>
        <w:rPr>
          <w:rFonts w:ascii="Arial" w:hAnsi="Arial" w:cs="Arial"/>
          <w:sz w:val="22"/>
          <w:szCs w:val="22"/>
          <w:highlight w:val="yellow"/>
        </w:rPr>
      </w:pPr>
      <w:r w:rsidRPr="00805F6E">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805F6E" w:rsidRDefault="00A37300" w:rsidP="00BA7E39">
      <w:pPr>
        <w:pStyle w:val="ListParagraph"/>
        <w:numPr>
          <w:ilvl w:val="0"/>
          <w:numId w:val="11"/>
        </w:numPr>
        <w:ind w:left="426"/>
        <w:jc w:val="both"/>
        <w:rPr>
          <w:rFonts w:ascii="Arial" w:hAnsi="Arial" w:cs="Arial"/>
          <w:sz w:val="22"/>
          <w:szCs w:val="22"/>
          <w:highlight w:val="yellow"/>
        </w:rPr>
      </w:pPr>
      <w:r w:rsidRPr="00805F6E">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805F6E" w:rsidRDefault="003A29B7" w:rsidP="00403FEE">
      <w:pPr>
        <w:pStyle w:val="ListParagraph"/>
        <w:numPr>
          <w:ilvl w:val="0"/>
          <w:numId w:val="12"/>
        </w:numPr>
        <w:ind w:left="426"/>
        <w:jc w:val="both"/>
        <w:rPr>
          <w:rFonts w:ascii="Arial" w:hAnsi="Arial" w:cs="Arial"/>
          <w:sz w:val="22"/>
          <w:szCs w:val="22"/>
          <w:highlight w:val="yellow"/>
        </w:rPr>
      </w:pPr>
      <w:r w:rsidRPr="00805F6E">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3A24C4" w:rsidRDefault="00076A9F" w:rsidP="00403FEE">
      <w:pPr>
        <w:pStyle w:val="ListParagraph"/>
        <w:numPr>
          <w:ilvl w:val="0"/>
          <w:numId w:val="13"/>
        </w:numPr>
        <w:ind w:left="426"/>
        <w:jc w:val="both"/>
        <w:rPr>
          <w:rFonts w:ascii="Arial" w:hAnsi="Arial" w:cs="Arial"/>
          <w:sz w:val="22"/>
          <w:szCs w:val="22"/>
          <w:highlight w:val="yellow"/>
        </w:rPr>
      </w:pPr>
      <w:r w:rsidRPr="003A24C4">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3A24C4" w:rsidRDefault="00076A9F" w:rsidP="00403FEE">
      <w:pPr>
        <w:pStyle w:val="ListParagraph"/>
        <w:numPr>
          <w:ilvl w:val="0"/>
          <w:numId w:val="13"/>
        </w:numPr>
        <w:ind w:left="426"/>
        <w:jc w:val="both"/>
        <w:rPr>
          <w:rFonts w:ascii="Arial" w:hAnsi="Arial" w:cs="Arial"/>
          <w:sz w:val="22"/>
          <w:szCs w:val="22"/>
        </w:rPr>
      </w:pPr>
      <w:r w:rsidRPr="003A24C4">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EC438A" w:rsidRDefault="00F01639" w:rsidP="00F01639">
      <w:pPr>
        <w:pStyle w:val="ListParagraph"/>
        <w:numPr>
          <w:ilvl w:val="0"/>
          <w:numId w:val="14"/>
        </w:numPr>
        <w:ind w:left="426"/>
        <w:jc w:val="both"/>
        <w:rPr>
          <w:rFonts w:ascii="Arial" w:hAnsi="Arial" w:cs="Arial"/>
          <w:sz w:val="22"/>
          <w:szCs w:val="22"/>
          <w:highlight w:val="yellow"/>
        </w:rPr>
      </w:pPr>
      <w:r w:rsidRPr="00EC438A">
        <w:rPr>
          <w:rFonts w:ascii="Arial" w:hAnsi="Arial" w:cs="Arial"/>
          <w:sz w:val="22"/>
          <w:szCs w:val="22"/>
          <w:highlight w:val="yellow"/>
        </w:rPr>
        <w:t>s</w:t>
      </w:r>
      <w:r w:rsidR="007425B0" w:rsidRPr="00EC438A">
        <w:rPr>
          <w:rFonts w:ascii="Arial" w:hAnsi="Arial" w:cs="Arial"/>
          <w:sz w:val="22"/>
          <w:szCs w:val="22"/>
          <w:highlight w:val="yellow"/>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EC438A"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EC438A">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EC438A"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EC438A">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27218E"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27218E">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27218E" w:rsidRDefault="00F83703" w:rsidP="00047A13">
      <w:pPr>
        <w:pStyle w:val="ListParagraph"/>
        <w:numPr>
          <w:ilvl w:val="0"/>
          <w:numId w:val="19"/>
        </w:numPr>
        <w:ind w:left="426"/>
        <w:jc w:val="both"/>
        <w:rPr>
          <w:rFonts w:ascii="Arial" w:hAnsi="Arial" w:cs="Arial"/>
          <w:sz w:val="22"/>
          <w:szCs w:val="22"/>
          <w:highlight w:val="yellow"/>
        </w:rPr>
      </w:pPr>
      <w:r w:rsidRPr="0027218E">
        <w:rPr>
          <w:rFonts w:ascii="Arial" w:hAnsi="Arial" w:cs="Arial"/>
          <w:sz w:val="22"/>
          <w:szCs w:val="22"/>
          <w:highlight w:val="yellow"/>
        </w:rPr>
        <w:t xml:space="preserve">This statement is false since the practitioner might have carried out </w:t>
      </w:r>
      <w:r w:rsidR="00BC285B" w:rsidRPr="0027218E">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27218E" w:rsidRDefault="006A1258" w:rsidP="006A1258">
      <w:pPr>
        <w:pStyle w:val="ListParagraph"/>
        <w:numPr>
          <w:ilvl w:val="0"/>
          <w:numId w:val="20"/>
        </w:numPr>
        <w:ind w:left="426"/>
        <w:jc w:val="both"/>
        <w:rPr>
          <w:rFonts w:ascii="Arial" w:hAnsi="Arial" w:cs="Arial"/>
          <w:sz w:val="22"/>
          <w:szCs w:val="22"/>
          <w:highlight w:val="yellow"/>
        </w:rPr>
      </w:pPr>
      <w:r w:rsidRPr="0027218E">
        <w:rPr>
          <w:rFonts w:ascii="Arial" w:hAnsi="Arial" w:cs="Arial"/>
          <w:sz w:val="22"/>
          <w:szCs w:val="22"/>
          <w:highlight w:val="yellow"/>
        </w:rPr>
        <w:t>r</w:t>
      </w:r>
      <w:r w:rsidR="00701CCC" w:rsidRPr="0027218E">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6985EAD8" w14:textId="77777777" w:rsidR="00CC0CBF"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C0CBF">
        <w:rPr>
          <w:rFonts w:ascii="Arial" w:hAnsi="Arial" w:cs="Arial"/>
          <w:color w:val="7B7B7B" w:themeColor="accent3" w:themeShade="BF"/>
          <w:sz w:val="22"/>
          <w:szCs w:val="22"/>
          <w:lang w:val="en-GB"/>
        </w:rPr>
        <w:t>The main fiduciary duties are:</w:t>
      </w:r>
    </w:p>
    <w:p w14:paraId="3018E878" w14:textId="77777777" w:rsidR="00CC0CBF" w:rsidRPr="00CC0CBF" w:rsidRDefault="00CC0CBF" w:rsidP="00CC0CBF">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act in good faith;</w:t>
      </w:r>
    </w:p>
    <w:p w14:paraId="540662A7" w14:textId="37EDF938" w:rsidR="00CC0CBF" w:rsidRPr="00CC0CBF" w:rsidRDefault="00CC0CBF" w:rsidP="00CC0CBF">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act in the best interest of the beneficiary of the fiduciary duties;</w:t>
      </w:r>
      <w:r w:rsidR="00B728F7">
        <w:rPr>
          <w:rFonts w:ascii="Arial" w:hAnsi="Arial" w:cs="Arial"/>
          <w:color w:val="7B7B7B" w:themeColor="accent3" w:themeShade="BF"/>
          <w:sz w:val="22"/>
          <w:szCs w:val="22"/>
          <w:lang w:val="en-GB"/>
        </w:rPr>
        <w:t xml:space="preserve"> and</w:t>
      </w:r>
    </w:p>
    <w:p w14:paraId="4482C58A" w14:textId="3605AB65" w:rsidR="00CC0CBF" w:rsidRPr="00CC0CBF" w:rsidRDefault="00CC0CBF" w:rsidP="00CC0CBF">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duty to exercise the powers of the office in an impartial and independent manner (including a duty to avoid a conflict of interest)</w:t>
      </w:r>
      <w:r w:rsidR="00B728F7">
        <w:rPr>
          <w:rFonts w:ascii="Arial" w:hAnsi="Arial" w:cs="Arial"/>
          <w:color w:val="7B7B7B" w:themeColor="accent3" w:themeShade="BF"/>
          <w:sz w:val="22"/>
          <w:szCs w:val="22"/>
          <w:lang w:val="en-GB"/>
        </w:rPr>
        <w:t>.</w:t>
      </w:r>
    </w:p>
    <w:p w14:paraId="201AC6B6" w14:textId="77777777" w:rsidR="00CC0CBF" w:rsidRDefault="00CC0CBF" w:rsidP="00CC0CBF">
      <w:pPr>
        <w:jc w:val="both"/>
        <w:rPr>
          <w:rFonts w:ascii="Arial" w:hAnsi="Arial" w:cs="Arial"/>
          <w:color w:val="7B7B7B" w:themeColor="accent3" w:themeShade="BF"/>
          <w:sz w:val="22"/>
          <w:szCs w:val="22"/>
          <w:lang w:val="en-GB"/>
        </w:rPr>
      </w:pPr>
    </w:p>
    <w:p w14:paraId="57BCFC30" w14:textId="795AE219" w:rsidR="009B07AD" w:rsidRPr="00CC0CBF" w:rsidRDefault="00CC0CBF" w:rsidP="00CC0CBF">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duty of care is not fiduciary in nature, but is inevitably linked to the fiduciary duties since </w:t>
      </w:r>
      <w:r w:rsidR="00B728F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fiduciary who acts in a negligent manner cannot be said to act in the best interest of the beneficiaries of his or her duties.</w:t>
      </w:r>
      <w:r w:rsidR="009B07AD" w:rsidRPr="00CC0CBF">
        <w:rPr>
          <w:rFonts w:ascii="Arial" w:hAnsi="Arial" w:cs="Arial"/>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7A0834F7" w14:textId="27074B24" w:rsidR="007B6401" w:rsidRDefault="009B07AD" w:rsidP="00CC0CBF">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CC0CBF">
        <w:rPr>
          <w:rFonts w:ascii="Arial" w:hAnsi="Arial" w:cs="Arial"/>
          <w:color w:val="7B7B7B" w:themeColor="accent3" w:themeShade="BF"/>
          <w:sz w:val="22"/>
          <w:szCs w:val="22"/>
        </w:rPr>
        <w:t>A</w:t>
      </w:r>
      <w:r w:rsidR="007B6401">
        <w:rPr>
          <w:rFonts w:ascii="Arial" w:hAnsi="Arial" w:cs="Arial"/>
          <w:color w:val="7B7B7B" w:themeColor="accent3" w:themeShade="BF"/>
          <w:sz w:val="22"/>
          <w:szCs w:val="22"/>
        </w:rPr>
        <w:t xml:space="preserve">n insolvency practitioner (IP) </w:t>
      </w:r>
      <w:r w:rsidR="00CC0CBF">
        <w:rPr>
          <w:rFonts w:ascii="Arial" w:hAnsi="Arial" w:cs="Arial"/>
          <w:color w:val="7B7B7B" w:themeColor="accent3" w:themeShade="BF"/>
          <w:sz w:val="22"/>
          <w:szCs w:val="22"/>
        </w:rPr>
        <w:t xml:space="preserve">should not allow bias, a conflict of interest, or undue influence of others to </w:t>
      </w:r>
      <w:r w:rsidR="007B6401">
        <w:rPr>
          <w:rFonts w:ascii="Arial" w:hAnsi="Arial" w:cs="Arial"/>
          <w:color w:val="7B7B7B" w:themeColor="accent3" w:themeShade="BF"/>
          <w:sz w:val="22"/>
          <w:szCs w:val="22"/>
        </w:rPr>
        <w:t>override his professional and/or business judgements in the execution of his duties and obligations.</w:t>
      </w:r>
    </w:p>
    <w:p w14:paraId="17C8E217" w14:textId="77777777" w:rsidR="007B6401" w:rsidRDefault="007B6401" w:rsidP="00CC0CBF">
      <w:pPr>
        <w:jc w:val="both"/>
        <w:rPr>
          <w:rFonts w:ascii="Arial" w:hAnsi="Arial" w:cs="Arial"/>
          <w:color w:val="7B7B7B" w:themeColor="accent3" w:themeShade="BF"/>
          <w:sz w:val="22"/>
          <w:szCs w:val="22"/>
        </w:rPr>
      </w:pPr>
    </w:p>
    <w:p w14:paraId="41237AF0" w14:textId="77777777" w:rsidR="00C30A4A" w:rsidRDefault="007B6401" w:rsidP="00CC0CBF">
      <w:pPr>
        <w:jc w:val="both"/>
        <w:rPr>
          <w:rFonts w:ascii="Arial" w:hAnsi="Arial" w:cs="Arial"/>
          <w:i/>
          <w:color w:val="7B7B7B" w:themeColor="accent3" w:themeShade="BF"/>
          <w:sz w:val="22"/>
          <w:szCs w:val="22"/>
        </w:rPr>
      </w:pPr>
      <w:r>
        <w:rPr>
          <w:rFonts w:ascii="Arial" w:hAnsi="Arial" w:cs="Arial"/>
          <w:color w:val="7B7B7B" w:themeColor="accent3" w:themeShade="BF"/>
          <w:sz w:val="22"/>
          <w:szCs w:val="22"/>
        </w:rPr>
        <w:t xml:space="preserve">Independence is two-fold, the IP must be </w:t>
      </w:r>
      <w:r w:rsidRPr="007B6401">
        <w:rPr>
          <w:rFonts w:ascii="Arial" w:hAnsi="Arial" w:cs="Arial"/>
          <w:i/>
          <w:color w:val="7B7B7B" w:themeColor="accent3" w:themeShade="BF"/>
          <w:sz w:val="22"/>
          <w:szCs w:val="22"/>
        </w:rPr>
        <w:t>independent in fact</w:t>
      </w:r>
      <w:r>
        <w:rPr>
          <w:rFonts w:ascii="Arial" w:hAnsi="Arial" w:cs="Arial"/>
          <w:color w:val="7B7B7B" w:themeColor="accent3" w:themeShade="BF"/>
          <w:sz w:val="22"/>
          <w:szCs w:val="22"/>
        </w:rPr>
        <w:t xml:space="preserve"> and also </w:t>
      </w:r>
      <w:r w:rsidRPr="007B6401">
        <w:rPr>
          <w:rFonts w:ascii="Arial" w:hAnsi="Arial" w:cs="Arial"/>
          <w:i/>
          <w:color w:val="7B7B7B" w:themeColor="accent3" w:themeShade="BF"/>
          <w:sz w:val="22"/>
          <w:szCs w:val="22"/>
        </w:rPr>
        <w:t>be seen to be or perceived to be independent</w:t>
      </w:r>
      <w:r>
        <w:rPr>
          <w:rFonts w:ascii="Arial" w:hAnsi="Arial" w:cs="Arial"/>
          <w:i/>
          <w:color w:val="7B7B7B" w:themeColor="accent3" w:themeShade="BF"/>
          <w:sz w:val="22"/>
          <w:szCs w:val="22"/>
        </w:rPr>
        <w:t xml:space="preserve">. </w:t>
      </w:r>
    </w:p>
    <w:p w14:paraId="746346C5" w14:textId="77777777" w:rsidR="00C30A4A" w:rsidRDefault="00C30A4A" w:rsidP="00CC0CBF">
      <w:pPr>
        <w:jc w:val="both"/>
        <w:rPr>
          <w:rFonts w:ascii="Arial" w:hAnsi="Arial" w:cs="Arial"/>
          <w:i/>
          <w:color w:val="7B7B7B" w:themeColor="accent3" w:themeShade="BF"/>
          <w:sz w:val="22"/>
          <w:szCs w:val="22"/>
        </w:rPr>
      </w:pPr>
    </w:p>
    <w:p w14:paraId="7105E100" w14:textId="67CE6771" w:rsidR="00C30A4A" w:rsidRDefault="007B6401" w:rsidP="00CC0CBF">
      <w:pPr>
        <w:jc w:val="both"/>
        <w:rPr>
          <w:rFonts w:ascii="Arial" w:hAnsi="Arial" w:cs="Arial"/>
          <w:color w:val="7B7B7B" w:themeColor="accent3" w:themeShade="BF"/>
          <w:sz w:val="22"/>
          <w:szCs w:val="22"/>
        </w:rPr>
      </w:pPr>
      <w:r w:rsidRPr="007B6401">
        <w:rPr>
          <w:rFonts w:ascii="Arial" w:hAnsi="Arial" w:cs="Arial"/>
          <w:i/>
          <w:color w:val="7B7B7B" w:themeColor="accent3" w:themeShade="BF"/>
          <w:sz w:val="22"/>
          <w:szCs w:val="22"/>
        </w:rPr>
        <w:t>Independence in fact</w:t>
      </w:r>
      <w:r>
        <w:rPr>
          <w:rFonts w:ascii="Arial" w:hAnsi="Arial" w:cs="Arial"/>
          <w:color w:val="7B7B7B" w:themeColor="accent3" w:themeShade="BF"/>
          <w:sz w:val="22"/>
          <w:szCs w:val="22"/>
        </w:rPr>
        <w:t xml:space="preserve"> requires the IP to be factually free from any influences that could compromise his judgement. The IP must avoid any personal or professional relationships, and direct or indirect interests, that may impair his ability to make impartial decisions. </w:t>
      </w:r>
    </w:p>
    <w:p w14:paraId="7F6B06D7" w14:textId="77777777" w:rsidR="00C30A4A" w:rsidRDefault="00C30A4A" w:rsidP="00CC0CBF">
      <w:pPr>
        <w:jc w:val="both"/>
        <w:rPr>
          <w:rFonts w:ascii="Arial" w:hAnsi="Arial" w:cs="Arial"/>
          <w:color w:val="7B7B7B" w:themeColor="accent3" w:themeShade="BF"/>
          <w:sz w:val="22"/>
          <w:szCs w:val="22"/>
        </w:rPr>
      </w:pPr>
    </w:p>
    <w:p w14:paraId="2F57801B" w14:textId="1F78FC12" w:rsidR="009B07AD" w:rsidRPr="007B6401" w:rsidRDefault="007B6401" w:rsidP="00CC0CBF">
      <w:pPr>
        <w:jc w:val="both"/>
        <w:rPr>
          <w:rFonts w:ascii="Arial" w:hAnsi="Arial" w:cs="Arial"/>
          <w:sz w:val="22"/>
          <w:szCs w:val="22"/>
        </w:rPr>
      </w:pPr>
      <w:r w:rsidRPr="007B6401">
        <w:rPr>
          <w:rFonts w:ascii="Arial" w:hAnsi="Arial" w:cs="Arial"/>
          <w:i/>
          <w:color w:val="7B7B7B" w:themeColor="accent3" w:themeShade="BF"/>
          <w:sz w:val="22"/>
          <w:szCs w:val="22"/>
        </w:rPr>
        <w:t>Independence</w:t>
      </w:r>
      <w:r>
        <w:rPr>
          <w:rFonts w:ascii="Arial" w:hAnsi="Arial" w:cs="Arial"/>
          <w:i/>
          <w:color w:val="7B7B7B" w:themeColor="accent3" w:themeShade="BF"/>
          <w:sz w:val="22"/>
          <w:szCs w:val="22"/>
        </w:rPr>
        <w:t xml:space="preserve"> in perception, </w:t>
      </w:r>
      <w:r>
        <w:rPr>
          <w:rFonts w:ascii="Arial" w:hAnsi="Arial" w:cs="Arial"/>
          <w:color w:val="7B7B7B" w:themeColor="accent3" w:themeShade="BF"/>
          <w:sz w:val="22"/>
          <w:szCs w:val="22"/>
        </w:rPr>
        <w:t>on the other hand, includes the avoidance of circumstances that would lead a reasonably informed third party to conclude that the IP’s independence and impartiality have been compromised.]</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18C57C6A" w14:textId="77777777" w:rsidR="00365AAB" w:rsidRDefault="00C72848" w:rsidP="00365AA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65AAB">
        <w:rPr>
          <w:rFonts w:ascii="Arial" w:hAnsi="Arial" w:cs="Arial"/>
          <w:color w:val="7B7B7B" w:themeColor="accent3" w:themeShade="BF"/>
          <w:sz w:val="22"/>
          <w:szCs w:val="22"/>
          <w:lang w:val="en-GB"/>
        </w:rPr>
        <w:t>There is no preferred method of calculation of IP’s remuneration. Many jurisdictions allow for a combination of methods (fixed fees; percentage-based fees; time-based fees; or contingency fees).</w:t>
      </w:r>
    </w:p>
    <w:p w14:paraId="29BBCA5B" w14:textId="77777777" w:rsidR="00365AAB" w:rsidRDefault="00365AAB" w:rsidP="00365AAB">
      <w:pPr>
        <w:jc w:val="both"/>
        <w:rPr>
          <w:rFonts w:ascii="Arial" w:hAnsi="Arial" w:cs="Arial"/>
          <w:color w:val="7B7B7B" w:themeColor="accent3" w:themeShade="BF"/>
          <w:sz w:val="22"/>
          <w:szCs w:val="22"/>
          <w:lang w:val="en-GB"/>
        </w:rPr>
      </w:pPr>
    </w:p>
    <w:p w14:paraId="3A3E5D4B" w14:textId="77777777" w:rsidR="00365AAB" w:rsidRDefault="00365AAB" w:rsidP="00365A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Using a combination of methods provides the opportunity to utilise the best of each whilst the drawbacks, in as far as ethical behaviour is concerned, can be avoided.</w:t>
      </w:r>
    </w:p>
    <w:p w14:paraId="78DB9FD8" w14:textId="2C9A67B6" w:rsidR="00C72848" w:rsidRPr="002A37BB" w:rsidRDefault="00365AAB" w:rsidP="00365AAB">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However, using the combined method does not provide the creditors with certainty as to the fees that the IP will claim.</w:t>
      </w:r>
      <w:r w:rsidR="00C72848" w:rsidRPr="002A37BB">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393C740B" w14:textId="765C4845" w:rsidR="00123493" w:rsidRPr="00A62A31" w:rsidRDefault="00DF75F8" w:rsidP="00EB31DF">
      <w:pPr>
        <w:jc w:val="both"/>
        <w:rPr>
          <w:rStyle w:val="fontstyle21"/>
          <w:rFonts w:ascii="Arial" w:hAnsi="Arial" w:cs="Arial"/>
          <w:color w:val="7B7B7B" w:themeColor="accent3" w:themeShade="BF"/>
          <w:lang w:val="en-GB"/>
        </w:rPr>
      </w:pPr>
      <w:r w:rsidRPr="00A62A31">
        <w:rPr>
          <w:rFonts w:ascii="Arial" w:hAnsi="Arial" w:cs="Arial"/>
          <w:color w:val="7B7B7B" w:themeColor="accent3" w:themeShade="BF"/>
          <w:sz w:val="22"/>
          <w:szCs w:val="22"/>
          <w:lang w:val="en-GB"/>
        </w:rPr>
        <w:t>[</w:t>
      </w:r>
      <w:r w:rsidR="00123493" w:rsidRPr="00A62A31">
        <w:rPr>
          <w:rStyle w:val="fontstyle01"/>
          <w:rFonts w:ascii="Arial" w:hAnsi="Arial" w:cs="Arial"/>
          <w:color w:val="7B7B7B" w:themeColor="accent3" w:themeShade="BF"/>
          <w:lang w:val="en-GB"/>
        </w:rPr>
        <w:t>IPs</w:t>
      </w:r>
      <w:r w:rsidR="00123493" w:rsidRPr="00A62A31">
        <w:rPr>
          <w:rStyle w:val="fontstyle21"/>
          <w:rFonts w:ascii="Arial" w:hAnsi="Arial" w:cs="Arial"/>
          <w:color w:val="7B7B7B" w:themeColor="accent3" w:themeShade="BF"/>
          <w:lang w:val="en-GB"/>
        </w:rPr>
        <w:t xml:space="preserve"> should exhibit the highest levels of objectivity, independence and impartiality in the exercise of their powers and duties. IPs should avoid circumstances likely to result in a conflict of interest.</w:t>
      </w:r>
    </w:p>
    <w:p w14:paraId="4D4D69B0" w14:textId="77777777" w:rsidR="00123493" w:rsidRPr="00A62A31" w:rsidRDefault="00123493" w:rsidP="00EB31DF">
      <w:pPr>
        <w:jc w:val="both"/>
        <w:rPr>
          <w:rStyle w:val="fontstyle21"/>
          <w:rFonts w:ascii="Arial" w:hAnsi="Arial" w:cs="Arial"/>
          <w:color w:val="7B7B7B" w:themeColor="accent3" w:themeShade="BF"/>
          <w:lang w:val="en-GB"/>
        </w:rPr>
      </w:pPr>
    </w:p>
    <w:p w14:paraId="5F3C97D8" w14:textId="77777777" w:rsidR="00123493" w:rsidRPr="00A62A31" w:rsidRDefault="00123493" w:rsidP="00EB31DF">
      <w:pPr>
        <w:pStyle w:val="ListParagraph"/>
        <w:numPr>
          <w:ilvl w:val="0"/>
          <w:numId w:val="22"/>
        </w:numPr>
        <w:spacing w:after="160" w:line="259" w:lineRule="auto"/>
        <w:jc w:val="both"/>
        <w:rPr>
          <w:rFonts w:ascii="Arial" w:hAnsi="Arial" w:cs="Arial"/>
          <w:color w:val="7B7B7B" w:themeColor="accent3" w:themeShade="BF"/>
          <w:sz w:val="22"/>
          <w:szCs w:val="22"/>
          <w:lang w:val="en-GB"/>
        </w:rPr>
      </w:pPr>
      <w:r w:rsidRPr="00A62A31">
        <w:rPr>
          <w:rStyle w:val="fontstyle21"/>
          <w:rFonts w:ascii="Arial" w:hAnsi="Arial" w:cs="Arial"/>
          <w:b/>
          <w:color w:val="7B7B7B" w:themeColor="accent3" w:themeShade="BF"/>
          <w:lang w:val="en-GB"/>
        </w:rPr>
        <w:t>Remuneration, Bribery or Secret Commissions (Self-interest Threat)</w:t>
      </w:r>
    </w:p>
    <w:p w14:paraId="329A2F1B" w14:textId="6771E35F" w:rsidR="00123493" w:rsidRPr="00A62A31" w:rsidRDefault="00123493" w:rsidP="00EB31DF">
      <w:pPr>
        <w:jc w:val="both"/>
        <w:rPr>
          <w:rFonts w:ascii="Arial" w:hAnsi="Arial" w:cs="Arial"/>
          <w:color w:val="7B7B7B" w:themeColor="accent3" w:themeShade="BF"/>
          <w:sz w:val="22"/>
          <w:szCs w:val="22"/>
          <w:lang w:val="en-GB" w:eastAsia="en-GB"/>
        </w:rPr>
      </w:pPr>
      <w:r w:rsidRPr="00A62A31">
        <w:rPr>
          <w:rStyle w:val="fontstyle21"/>
          <w:rFonts w:ascii="Arial" w:hAnsi="Arial" w:cs="Arial"/>
          <w:color w:val="7B7B7B" w:themeColor="accent3" w:themeShade="BF"/>
          <w:lang w:val="en-GB"/>
        </w:rPr>
        <w:t xml:space="preserve">IPs appointed over an estate should not acquire or remove any assets or cash from the estate except as prescribed or as properly authorised remuneration. IPs should not be unjustly enriched, for example, by receiving secret kick-backs or commissions. </w:t>
      </w:r>
      <w:r w:rsidRPr="00A62A31">
        <w:rPr>
          <w:rFonts w:ascii="Arial" w:hAnsi="Arial" w:cs="Arial"/>
          <w:color w:val="7B7B7B" w:themeColor="accent3" w:themeShade="BF"/>
          <w:sz w:val="22"/>
          <w:szCs w:val="22"/>
          <w:lang w:val="en-GB" w:eastAsia="en-GB"/>
        </w:rPr>
        <w:t>Bribery or payment or receipt of secret commissions in order to receive work or provide work to others should be unacceptable.</w:t>
      </w:r>
    </w:p>
    <w:p w14:paraId="172C95BF" w14:textId="77777777" w:rsidR="00123493" w:rsidRPr="00A62A31" w:rsidRDefault="00123493" w:rsidP="00EB31DF">
      <w:pPr>
        <w:jc w:val="both"/>
        <w:rPr>
          <w:rFonts w:ascii="Arial" w:hAnsi="Arial" w:cs="Arial"/>
          <w:color w:val="7B7B7B" w:themeColor="accent3" w:themeShade="BF"/>
          <w:sz w:val="22"/>
          <w:szCs w:val="22"/>
          <w:lang w:val="en-GB"/>
        </w:rPr>
      </w:pPr>
    </w:p>
    <w:p w14:paraId="600DFF64" w14:textId="77777777" w:rsidR="00123493" w:rsidRPr="00A62A31" w:rsidRDefault="00123493" w:rsidP="00EB31DF">
      <w:pPr>
        <w:pStyle w:val="ListParagraph"/>
        <w:numPr>
          <w:ilvl w:val="0"/>
          <w:numId w:val="22"/>
        </w:numPr>
        <w:jc w:val="both"/>
        <w:rPr>
          <w:rFonts w:ascii="Arial" w:hAnsi="Arial" w:cs="Arial"/>
          <w:b/>
          <w:color w:val="7B7B7B" w:themeColor="accent3" w:themeShade="BF"/>
          <w:sz w:val="22"/>
          <w:szCs w:val="22"/>
          <w:lang w:val="en-GB" w:eastAsia="en-GB"/>
        </w:rPr>
      </w:pPr>
      <w:r w:rsidRPr="00A62A31">
        <w:rPr>
          <w:rFonts w:ascii="Arial" w:hAnsi="Arial" w:cs="Arial"/>
          <w:b/>
          <w:color w:val="7B7B7B" w:themeColor="accent3" w:themeShade="BF"/>
          <w:sz w:val="22"/>
          <w:szCs w:val="22"/>
          <w:lang w:val="en-GB" w:eastAsia="en-GB"/>
        </w:rPr>
        <w:t>Personal, Family or Professional Relationships (Familiarity Threat)</w:t>
      </w:r>
    </w:p>
    <w:p w14:paraId="140B7E57" w14:textId="77777777" w:rsidR="00123493" w:rsidRPr="00A62A31" w:rsidRDefault="00123493" w:rsidP="00EB31DF">
      <w:pPr>
        <w:jc w:val="both"/>
        <w:rPr>
          <w:rFonts w:ascii="Arial" w:hAnsi="Arial" w:cs="Arial"/>
          <w:b/>
          <w:color w:val="7B7B7B" w:themeColor="accent3" w:themeShade="BF"/>
          <w:sz w:val="22"/>
          <w:szCs w:val="22"/>
          <w:lang w:val="en-GB" w:eastAsia="en-GB"/>
        </w:rPr>
      </w:pPr>
    </w:p>
    <w:p w14:paraId="5D47262E" w14:textId="77777777" w:rsidR="00EB31DF"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An IP should not accept an appointment in connection with the estate if his (or a related</w:t>
      </w:r>
      <w:r w:rsidRPr="00A62A31">
        <w:rPr>
          <w:rFonts w:ascii="Arial" w:hAnsi="Arial" w:cs="Arial"/>
          <w:color w:val="7B7B7B" w:themeColor="accent3" w:themeShade="BF"/>
          <w:sz w:val="22"/>
          <w:szCs w:val="22"/>
          <w:lang w:val="en-GB" w:eastAsia="en-GB"/>
        </w:rPr>
        <w:br/>
        <w:t>party’s) relationship with the directors of the company or any of the stakeholders would give rise to a possible or perceived lack of independence.</w:t>
      </w:r>
    </w:p>
    <w:p w14:paraId="17FA8F5F" w14:textId="337E8BEF" w:rsidR="00123493" w:rsidRPr="00A62A31" w:rsidRDefault="00123493" w:rsidP="00EB31DF">
      <w:pPr>
        <w:jc w:val="both"/>
        <w:rPr>
          <w:rFonts w:ascii="Arial" w:hAnsi="Arial" w:cs="Arial"/>
          <w:color w:val="7B7B7B" w:themeColor="accent3" w:themeShade="BF"/>
          <w:sz w:val="22"/>
          <w:szCs w:val="22"/>
          <w:lang w:val="en-GB" w:eastAsia="en-GB"/>
        </w:rPr>
      </w:pPr>
    </w:p>
    <w:p w14:paraId="025AF918" w14:textId="77777777" w:rsidR="00123493" w:rsidRPr="00A62A31" w:rsidRDefault="00123493" w:rsidP="00EB31DF">
      <w:pPr>
        <w:pStyle w:val="ListParagraph"/>
        <w:numPr>
          <w:ilvl w:val="0"/>
          <w:numId w:val="22"/>
        </w:numPr>
        <w:jc w:val="both"/>
        <w:rPr>
          <w:rFonts w:ascii="Arial" w:hAnsi="Arial" w:cs="Arial"/>
          <w:b/>
          <w:color w:val="7B7B7B" w:themeColor="accent3" w:themeShade="BF"/>
          <w:sz w:val="22"/>
          <w:szCs w:val="22"/>
          <w:lang w:val="en-GB" w:eastAsia="en-GB"/>
        </w:rPr>
      </w:pPr>
      <w:r w:rsidRPr="00A62A31">
        <w:rPr>
          <w:rFonts w:ascii="Arial" w:hAnsi="Arial" w:cs="Arial"/>
          <w:b/>
          <w:color w:val="7B7B7B" w:themeColor="accent3" w:themeShade="BF"/>
          <w:sz w:val="22"/>
          <w:szCs w:val="22"/>
          <w:lang w:val="en-GB" w:eastAsia="en-GB"/>
        </w:rPr>
        <w:t>Disposition of Assets of an Estate (Self-interest &amp; Self-review Threat)</w:t>
      </w:r>
    </w:p>
    <w:p w14:paraId="7712CF6E"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27AC9445" w14:textId="32F15C55" w:rsidR="00123493"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Where an IP purchases or removes assets or cash from the estate (excluding appropriately</w:t>
      </w:r>
      <w:r w:rsidRPr="00A62A31">
        <w:rPr>
          <w:rFonts w:ascii="Arial" w:hAnsi="Arial" w:cs="Arial"/>
          <w:color w:val="7B7B7B" w:themeColor="accent3" w:themeShade="BF"/>
          <w:sz w:val="22"/>
          <w:szCs w:val="22"/>
          <w:lang w:val="en-GB" w:eastAsia="en-GB"/>
        </w:rPr>
        <w:br/>
        <w:t xml:space="preserve">approved remuneration and disbursements payments), it is likely that there will be a perception that </w:t>
      </w:r>
      <w:r w:rsidR="00B728F7">
        <w:rPr>
          <w:rFonts w:ascii="Arial" w:hAnsi="Arial" w:cs="Arial"/>
          <w:color w:val="7B7B7B" w:themeColor="accent3" w:themeShade="BF"/>
          <w:sz w:val="22"/>
          <w:szCs w:val="22"/>
          <w:lang w:val="en-GB" w:eastAsia="en-GB"/>
        </w:rPr>
        <w:t>independence, objectivity and/</w:t>
      </w:r>
      <w:r w:rsidRPr="00A62A31">
        <w:rPr>
          <w:rFonts w:ascii="Arial" w:hAnsi="Arial" w:cs="Arial"/>
          <w:color w:val="7B7B7B" w:themeColor="accent3" w:themeShade="BF"/>
          <w:sz w:val="22"/>
          <w:szCs w:val="22"/>
          <w:lang w:val="en-GB" w:eastAsia="en-GB"/>
        </w:rPr>
        <w:t>or impartiality has been breached, even if it has not in fact been breached. Such action may erode trust in the integrity of such IP and the process.</w:t>
      </w:r>
    </w:p>
    <w:p w14:paraId="22C0D570"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5AC8F045" w14:textId="77777777" w:rsidR="00123493"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 xml:space="preserve">Acquisitions by close connections, e.g. family, connected / related parties, will generally give rise to the same concerns as acquisitions by the IPs themselves. Therefore, immediate relatives and close business connections should be subject to the same restrictions as IPs. </w:t>
      </w:r>
      <w:r w:rsidRPr="00A62A31">
        <w:rPr>
          <w:rFonts w:ascii="Arial" w:hAnsi="Arial" w:cs="Arial"/>
          <w:color w:val="7B7B7B" w:themeColor="accent3" w:themeShade="BF"/>
          <w:sz w:val="22"/>
          <w:szCs w:val="22"/>
          <w:lang w:val="en-GB" w:eastAsia="en-GB"/>
        </w:rPr>
        <w:br/>
      </w:r>
    </w:p>
    <w:p w14:paraId="69B664F3" w14:textId="11B2DBAB" w:rsidR="00123493"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In some jurisdictions an IP (or relative or connection) may be permitted to purchase assets where the stakeholders have given explicit permission in advance</w:t>
      </w:r>
      <w:r w:rsidR="00B728F7">
        <w:rPr>
          <w:rFonts w:ascii="Arial" w:hAnsi="Arial" w:cs="Arial"/>
          <w:color w:val="7B7B7B" w:themeColor="accent3" w:themeShade="BF"/>
          <w:sz w:val="22"/>
          <w:szCs w:val="22"/>
          <w:lang w:val="en-GB" w:eastAsia="en-GB"/>
        </w:rPr>
        <w:t>. E</w:t>
      </w:r>
      <w:r w:rsidRPr="00A62A31">
        <w:rPr>
          <w:rFonts w:ascii="Arial" w:hAnsi="Arial" w:cs="Arial"/>
          <w:color w:val="7B7B7B" w:themeColor="accent3" w:themeShade="BF"/>
          <w:sz w:val="22"/>
          <w:szCs w:val="22"/>
          <w:lang w:val="en-GB" w:eastAsia="en-GB"/>
        </w:rPr>
        <w:t>ven then great care should be taken by the IP to protect their independence and impartiality.</w:t>
      </w:r>
    </w:p>
    <w:p w14:paraId="154BAEF9"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13844121" w14:textId="35656FB1" w:rsidR="00123493"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 xml:space="preserve">Additionally, a self-review threat is created where an IP’s firm carried out the disposal of certain assets of the insolvent estate prior to insolvency, and there are suspicions that the disposal is in </w:t>
      </w:r>
      <w:r w:rsidR="00B728F7">
        <w:rPr>
          <w:rFonts w:ascii="Arial" w:hAnsi="Arial" w:cs="Arial"/>
          <w:color w:val="7B7B7B" w:themeColor="accent3" w:themeShade="BF"/>
          <w:sz w:val="22"/>
          <w:szCs w:val="22"/>
          <w:lang w:val="en-GB" w:eastAsia="en-GB"/>
        </w:rPr>
        <w:t>some way improper</w:t>
      </w:r>
      <w:r w:rsidRPr="00A62A31">
        <w:rPr>
          <w:rFonts w:ascii="Arial" w:hAnsi="Arial" w:cs="Arial"/>
          <w:color w:val="7B7B7B" w:themeColor="accent3" w:themeShade="BF"/>
          <w:sz w:val="22"/>
          <w:szCs w:val="22"/>
          <w:lang w:val="en-GB" w:eastAsia="en-GB"/>
        </w:rPr>
        <w:t>.</w:t>
      </w:r>
    </w:p>
    <w:p w14:paraId="53C34B14"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06243209" w14:textId="77777777" w:rsidR="00123493" w:rsidRPr="00A62A31" w:rsidRDefault="00123493" w:rsidP="00EB31DF">
      <w:pPr>
        <w:pStyle w:val="ListParagraph"/>
        <w:numPr>
          <w:ilvl w:val="0"/>
          <w:numId w:val="22"/>
        </w:numPr>
        <w:jc w:val="both"/>
        <w:rPr>
          <w:rFonts w:ascii="Arial" w:hAnsi="Arial" w:cs="Arial"/>
          <w:b/>
          <w:color w:val="7B7B7B" w:themeColor="accent3" w:themeShade="BF"/>
          <w:sz w:val="22"/>
          <w:szCs w:val="22"/>
          <w:lang w:val="en-GB" w:eastAsia="en-GB"/>
        </w:rPr>
      </w:pPr>
      <w:r w:rsidRPr="00A62A31">
        <w:rPr>
          <w:rFonts w:ascii="Arial" w:hAnsi="Arial" w:cs="Arial"/>
          <w:b/>
          <w:color w:val="7B7B7B" w:themeColor="accent3" w:themeShade="BF"/>
          <w:sz w:val="22"/>
          <w:szCs w:val="22"/>
          <w:lang w:val="en-GB" w:eastAsia="en-GB"/>
        </w:rPr>
        <w:t>Purchase of goods or services from an Estate (Self-interest Threat)</w:t>
      </w:r>
    </w:p>
    <w:p w14:paraId="35A028BC"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5C47873E" w14:textId="7C7D432F" w:rsidR="00123493"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 xml:space="preserve">Where an IP is appointed over the estate of a commercial retailer is purchasing goods or services from a commercial retailer that sells to the public, it should generally be permissible for such an IP to purchase such items from the retailer in the ordinary course of business (for example, buying food </w:t>
      </w:r>
      <w:r w:rsidR="00B728F7">
        <w:rPr>
          <w:rFonts w:ascii="Arial" w:hAnsi="Arial" w:cs="Arial"/>
          <w:color w:val="7B7B7B" w:themeColor="accent3" w:themeShade="BF"/>
          <w:sz w:val="22"/>
          <w:szCs w:val="22"/>
          <w:lang w:val="en-GB" w:eastAsia="en-GB"/>
        </w:rPr>
        <w:t xml:space="preserve">from the </w:t>
      </w:r>
      <w:r w:rsidRPr="00A62A31">
        <w:rPr>
          <w:rFonts w:ascii="Arial" w:hAnsi="Arial" w:cs="Arial"/>
          <w:color w:val="7B7B7B" w:themeColor="accent3" w:themeShade="BF"/>
          <w:sz w:val="22"/>
          <w:szCs w:val="22"/>
          <w:lang w:val="en-GB" w:eastAsia="en-GB"/>
        </w:rPr>
        <w:t xml:space="preserve">retailer on the same terms as every other purchaser). </w:t>
      </w:r>
      <w:r w:rsidRPr="00A62A31">
        <w:rPr>
          <w:rFonts w:ascii="Arial" w:hAnsi="Arial" w:cs="Arial"/>
          <w:color w:val="7B7B7B" w:themeColor="accent3" w:themeShade="BF"/>
          <w:sz w:val="22"/>
          <w:szCs w:val="22"/>
          <w:lang w:val="en-GB" w:eastAsia="en-GB"/>
        </w:rPr>
        <w:lastRenderedPageBreak/>
        <w:t>However, IPs should not take advantage of staff discounts or special paymen</w:t>
      </w:r>
      <w:r w:rsidR="00B728F7">
        <w:rPr>
          <w:rFonts w:ascii="Arial" w:hAnsi="Arial" w:cs="Arial"/>
          <w:color w:val="7B7B7B" w:themeColor="accent3" w:themeShade="BF"/>
          <w:sz w:val="22"/>
          <w:szCs w:val="22"/>
          <w:lang w:val="en-GB" w:eastAsia="en-GB"/>
        </w:rPr>
        <w:t>t terms, as doing so may impair,</w:t>
      </w:r>
      <w:r w:rsidRPr="00A62A31">
        <w:rPr>
          <w:rFonts w:ascii="Arial" w:hAnsi="Arial" w:cs="Arial"/>
          <w:color w:val="7B7B7B" w:themeColor="accent3" w:themeShade="BF"/>
          <w:sz w:val="22"/>
          <w:szCs w:val="22"/>
          <w:lang w:val="en-GB" w:eastAsia="en-GB"/>
        </w:rPr>
        <w:t xml:space="preserve"> or be perceived to impair, independence.</w:t>
      </w:r>
    </w:p>
    <w:p w14:paraId="3F1C3249"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37C1EF6A" w14:textId="77777777" w:rsidR="00123493" w:rsidRPr="00A62A31" w:rsidRDefault="00123493" w:rsidP="00EB31DF">
      <w:pPr>
        <w:pStyle w:val="ListParagraph"/>
        <w:numPr>
          <w:ilvl w:val="0"/>
          <w:numId w:val="22"/>
        </w:numPr>
        <w:jc w:val="both"/>
        <w:rPr>
          <w:rFonts w:ascii="Arial" w:hAnsi="Arial" w:cs="Arial"/>
          <w:b/>
          <w:color w:val="7B7B7B" w:themeColor="accent3" w:themeShade="BF"/>
          <w:sz w:val="22"/>
          <w:szCs w:val="22"/>
          <w:lang w:val="en-GB" w:eastAsia="en-GB"/>
        </w:rPr>
      </w:pPr>
      <w:r w:rsidRPr="00A62A31">
        <w:rPr>
          <w:rFonts w:ascii="Arial" w:hAnsi="Arial" w:cs="Arial"/>
          <w:b/>
          <w:color w:val="7B7B7B" w:themeColor="accent3" w:themeShade="BF"/>
          <w:sz w:val="22"/>
          <w:szCs w:val="22"/>
          <w:lang w:val="en-GB" w:eastAsia="en-GB"/>
        </w:rPr>
        <w:t>Advocacy Threat</w:t>
      </w:r>
    </w:p>
    <w:p w14:paraId="7C1B5EE5"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260A87A2" w14:textId="0E1CA610" w:rsidR="00123493"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A situation in which an IP promotes a position or opinion to the point that subsequent objectivity may be compromised (e.g., where the IP has acted on behalf of a significant creditor to advance such creditor’s position). In such case, it is unlikely that other creditors would consider the IP to be impartial.</w:t>
      </w:r>
    </w:p>
    <w:p w14:paraId="7D020852" w14:textId="77777777" w:rsidR="00123493" w:rsidRPr="00A62A31" w:rsidRDefault="00123493" w:rsidP="00EB31DF">
      <w:pPr>
        <w:jc w:val="both"/>
        <w:rPr>
          <w:rFonts w:ascii="Arial" w:hAnsi="Arial" w:cs="Arial"/>
          <w:color w:val="7B7B7B" w:themeColor="accent3" w:themeShade="BF"/>
          <w:sz w:val="22"/>
          <w:szCs w:val="22"/>
          <w:lang w:val="en-GB" w:eastAsia="en-GB"/>
        </w:rPr>
      </w:pPr>
    </w:p>
    <w:p w14:paraId="49077263" w14:textId="77777777" w:rsidR="00EB31DF" w:rsidRPr="00A62A31" w:rsidRDefault="00123493" w:rsidP="00EB31DF">
      <w:pPr>
        <w:pStyle w:val="ListParagraph"/>
        <w:numPr>
          <w:ilvl w:val="0"/>
          <w:numId w:val="22"/>
        </w:numPr>
        <w:jc w:val="both"/>
        <w:rPr>
          <w:rFonts w:ascii="Arial" w:hAnsi="Arial" w:cs="Arial"/>
          <w:b/>
          <w:color w:val="7B7B7B" w:themeColor="accent3" w:themeShade="BF"/>
          <w:sz w:val="22"/>
          <w:szCs w:val="22"/>
          <w:lang w:val="en-GB" w:eastAsia="en-GB"/>
        </w:rPr>
      </w:pPr>
      <w:r w:rsidRPr="00A62A31">
        <w:rPr>
          <w:rFonts w:ascii="Arial" w:hAnsi="Arial" w:cs="Arial"/>
          <w:b/>
          <w:color w:val="7B7B7B" w:themeColor="accent3" w:themeShade="BF"/>
          <w:sz w:val="22"/>
          <w:szCs w:val="22"/>
          <w:lang w:val="en-GB" w:eastAsia="en-GB"/>
        </w:rPr>
        <w:t>Intimidation Threat</w:t>
      </w:r>
    </w:p>
    <w:p w14:paraId="52063403" w14:textId="47556E3B" w:rsidR="00123493" w:rsidRPr="00A62A31" w:rsidRDefault="00123493" w:rsidP="00EB31DF">
      <w:pPr>
        <w:jc w:val="both"/>
        <w:rPr>
          <w:rFonts w:ascii="Arial" w:hAnsi="Arial" w:cs="Arial"/>
          <w:b/>
          <w:color w:val="7B7B7B" w:themeColor="accent3" w:themeShade="BF"/>
          <w:sz w:val="22"/>
          <w:szCs w:val="22"/>
          <w:lang w:val="en-GB" w:eastAsia="en-GB"/>
        </w:rPr>
      </w:pPr>
    </w:p>
    <w:p w14:paraId="4024A332" w14:textId="6E808D87" w:rsidR="00544127" w:rsidRPr="00A62A31" w:rsidRDefault="00123493" w:rsidP="00EB31DF">
      <w:pPr>
        <w:jc w:val="both"/>
        <w:rPr>
          <w:rFonts w:ascii="Arial" w:hAnsi="Arial" w:cs="Arial"/>
          <w:color w:val="7B7B7B" w:themeColor="accent3" w:themeShade="BF"/>
          <w:sz w:val="22"/>
          <w:szCs w:val="22"/>
          <w:lang w:val="en-GB" w:eastAsia="en-GB"/>
        </w:rPr>
      </w:pPr>
      <w:r w:rsidRPr="00A62A31">
        <w:rPr>
          <w:rFonts w:ascii="Arial" w:hAnsi="Arial" w:cs="Arial"/>
          <w:color w:val="7B7B7B" w:themeColor="accent3" w:themeShade="BF"/>
          <w:sz w:val="22"/>
          <w:szCs w:val="22"/>
          <w:lang w:val="en-GB" w:eastAsia="en-GB"/>
        </w:rPr>
        <w:t>A situation in which an IP is, or may be, threatened or pressured (e.g., with litigation, unfounded complaints, or even physical harm).</w:t>
      </w:r>
      <w:r w:rsidR="00B728F7">
        <w:rPr>
          <w:rFonts w:ascii="Arial" w:hAnsi="Arial" w:cs="Arial"/>
          <w:color w:val="7B7B7B" w:themeColor="accent3" w:themeShade="BF"/>
          <w:sz w:val="22"/>
          <w:szCs w:val="22"/>
          <w:lang w:val="en-GB" w:eastAsia="en-GB"/>
        </w:rPr>
        <w:t xml:space="preserve"> Then again the IP may find themselves unable to maintain impartiality.</w:t>
      </w:r>
      <w:r w:rsidR="00DF75F8" w:rsidRPr="00A62A31">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22DD5017" w14:textId="7148F985" w:rsidR="005B4DC2" w:rsidRPr="002E0270" w:rsidRDefault="00DF75F8" w:rsidP="005B4DC2">
      <w:pPr>
        <w:jc w:val="both"/>
        <w:rPr>
          <w:rStyle w:val="fontstyle21"/>
          <w:rFonts w:ascii="Arial" w:hAnsi="Arial" w:cs="Arial"/>
          <w:color w:val="7B7B7B" w:themeColor="accent3" w:themeShade="BF"/>
          <w:lang w:val="en-GB"/>
        </w:rPr>
      </w:pPr>
      <w:r w:rsidRPr="005B4DC2">
        <w:rPr>
          <w:rFonts w:ascii="Arial" w:hAnsi="Arial" w:cs="Arial"/>
          <w:color w:val="7B7B7B" w:themeColor="accent3" w:themeShade="BF"/>
          <w:sz w:val="22"/>
          <w:szCs w:val="22"/>
          <w:lang w:val="en-GB"/>
        </w:rPr>
        <w:t>[</w:t>
      </w:r>
      <w:r w:rsidR="005B4DC2" w:rsidRPr="002E0270">
        <w:rPr>
          <w:rStyle w:val="fontstyle21"/>
          <w:rFonts w:ascii="Arial" w:hAnsi="Arial" w:cs="Arial"/>
          <w:color w:val="7B7B7B" w:themeColor="accent3" w:themeShade="BF"/>
          <w:lang w:val="en-GB"/>
        </w:rPr>
        <w:t>Administrative costs paid to legal professionals can be a very contentious issue this is because multiple sets of professionals (legal professionals and insolvency practitioners (IPs)) results in multiple sets of fees and disbursements.</w:t>
      </w:r>
    </w:p>
    <w:p w14:paraId="17994ACC" w14:textId="77777777" w:rsidR="005B4DC2" w:rsidRPr="002E0270" w:rsidRDefault="005B4DC2" w:rsidP="005B4DC2">
      <w:pPr>
        <w:jc w:val="both"/>
        <w:rPr>
          <w:rStyle w:val="fontstyle21"/>
          <w:rFonts w:ascii="Arial" w:hAnsi="Arial" w:cs="Arial"/>
          <w:color w:val="7B7B7B" w:themeColor="accent3" w:themeShade="BF"/>
          <w:lang w:val="en-GB"/>
        </w:rPr>
      </w:pPr>
    </w:p>
    <w:p w14:paraId="1F5652C1" w14:textId="46ED8EE9" w:rsidR="005B4DC2" w:rsidRPr="002E0270" w:rsidRDefault="005B4DC2" w:rsidP="005B4DC2">
      <w:pPr>
        <w:jc w:val="both"/>
        <w:rPr>
          <w:rStyle w:val="fontstyle21"/>
          <w:rFonts w:ascii="Arial" w:hAnsi="Arial" w:cs="Arial"/>
          <w:color w:val="7B7B7B" w:themeColor="accent3" w:themeShade="BF"/>
          <w:lang w:val="en-GB"/>
        </w:rPr>
      </w:pPr>
      <w:r w:rsidRPr="002E0270">
        <w:rPr>
          <w:rStyle w:val="fontstyle21"/>
          <w:rFonts w:ascii="Arial" w:hAnsi="Arial" w:cs="Arial"/>
          <w:color w:val="7B7B7B" w:themeColor="accent3" w:themeShade="BF"/>
          <w:lang w:val="en-GB"/>
        </w:rPr>
        <w:t xml:space="preserve">In </w:t>
      </w:r>
      <w:r w:rsidRPr="002E0270">
        <w:rPr>
          <w:rFonts w:ascii="Arial" w:hAnsi="Arial" w:cs="Arial"/>
          <w:i/>
          <w:color w:val="7B7B7B" w:themeColor="accent3" w:themeShade="BF"/>
          <w:sz w:val="22"/>
          <w:szCs w:val="22"/>
          <w:lang w:val="en-GB"/>
        </w:rPr>
        <w:t xml:space="preserve">Kao Chai-Chau Linda </w:t>
      </w:r>
      <w:r w:rsidRPr="002E0270">
        <w:rPr>
          <w:rFonts w:ascii="Arial" w:hAnsi="Arial" w:cs="Arial"/>
          <w:i/>
          <w:iCs/>
          <w:color w:val="7B7B7B" w:themeColor="accent3" w:themeShade="BF"/>
          <w:sz w:val="22"/>
          <w:szCs w:val="22"/>
          <w:lang w:val="en-GB"/>
        </w:rPr>
        <w:t xml:space="preserve">v </w:t>
      </w:r>
      <w:r w:rsidRPr="002E0270">
        <w:rPr>
          <w:rFonts w:ascii="Arial" w:hAnsi="Arial" w:cs="Arial"/>
          <w:i/>
          <w:color w:val="7B7B7B" w:themeColor="accent3" w:themeShade="BF"/>
          <w:sz w:val="22"/>
          <w:szCs w:val="22"/>
          <w:lang w:val="en-GB"/>
        </w:rPr>
        <w:t>Fong Wai Lyn Carolyn and others [2015] SGHC 260</w:t>
      </w:r>
      <w:r w:rsidRPr="002E0270">
        <w:rPr>
          <w:rFonts w:ascii="Arial" w:hAnsi="Arial" w:cs="Arial"/>
          <w:color w:val="7B7B7B" w:themeColor="accent3" w:themeShade="BF"/>
          <w:sz w:val="22"/>
          <w:szCs w:val="22"/>
          <w:lang w:val="en-GB"/>
        </w:rPr>
        <w:t xml:space="preserve"> </w:t>
      </w:r>
      <w:r w:rsidRPr="002E0270">
        <w:rPr>
          <w:rStyle w:val="fontstyle21"/>
          <w:rFonts w:ascii="Arial" w:hAnsi="Arial" w:cs="Arial"/>
          <w:color w:val="7B7B7B" w:themeColor="accent3" w:themeShade="BF"/>
          <w:lang w:val="en-GB"/>
        </w:rPr>
        <w:t>court pointed out the problem of duplication of work where multiple sets of professionals (legal professionals and insolvency practitioners (IPs))</w:t>
      </w:r>
      <w:r w:rsidR="00B728F7">
        <w:rPr>
          <w:rStyle w:val="fontstyle21"/>
          <w:rFonts w:ascii="Arial" w:hAnsi="Arial" w:cs="Arial"/>
          <w:color w:val="7B7B7B" w:themeColor="accent3" w:themeShade="BF"/>
          <w:lang w:val="en-GB"/>
        </w:rPr>
        <w:t xml:space="preserve"> are</w:t>
      </w:r>
      <w:r w:rsidRPr="002E0270">
        <w:rPr>
          <w:rStyle w:val="fontstyle21"/>
          <w:rFonts w:ascii="Arial" w:hAnsi="Arial" w:cs="Arial"/>
          <w:color w:val="7B7B7B" w:themeColor="accent3" w:themeShade="BF"/>
          <w:lang w:val="en-GB"/>
        </w:rPr>
        <w:t xml:space="preserve"> engaged in the same matter.  Court laid out the issue as follows:</w:t>
      </w:r>
    </w:p>
    <w:p w14:paraId="3F857467" w14:textId="77777777" w:rsidR="005B4DC2" w:rsidRPr="002E0270" w:rsidRDefault="005B4DC2" w:rsidP="005B4DC2">
      <w:pPr>
        <w:jc w:val="both"/>
        <w:rPr>
          <w:rStyle w:val="fontstyle21"/>
          <w:rFonts w:ascii="Arial" w:hAnsi="Arial" w:cs="Arial"/>
          <w:color w:val="7B7B7B" w:themeColor="accent3" w:themeShade="BF"/>
          <w:lang w:val="en-GB"/>
        </w:rPr>
      </w:pPr>
    </w:p>
    <w:p w14:paraId="4DB18C21" w14:textId="22C67189" w:rsidR="005B4DC2" w:rsidRPr="002E0270" w:rsidRDefault="005B4DC2" w:rsidP="005B4DC2">
      <w:pPr>
        <w:jc w:val="both"/>
        <w:rPr>
          <w:rStyle w:val="fontstyle21"/>
          <w:rFonts w:ascii="Arial" w:hAnsi="Arial" w:cs="Arial"/>
          <w:color w:val="7B7B7B" w:themeColor="accent3" w:themeShade="BF"/>
          <w:lang w:val="en-GB"/>
        </w:rPr>
      </w:pPr>
      <w:r w:rsidRPr="002E0270">
        <w:rPr>
          <w:rStyle w:val="fontstyle21"/>
          <w:rFonts w:ascii="Arial" w:hAnsi="Arial" w:cs="Arial"/>
          <w:color w:val="7B7B7B" w:themeColor="accent3" w:themeShade="BF"/>
          <w:lang w:val="en-GB"/>
        </w:rPr>
        <w:t>That this problem typically manifests in two different scenarios:</w:t>
      </w:r>
    </w:p>
    <w:p w14:paraId="31FE5D4D" w14:textId="77777777" w:rsidR="005B4DC2" w:rsidRPr="002E0270" w:rsidRDefault="005B4DC2" w:rsidP="005B4DC2">
      <w:pPr>
        <w:jc w:val="both"/>
        <w:rPr>
          <w:rStyle w:val="fontstyle21"/>
          <w:rFonts w:ascii="Arial" w:hAnsi="Arial" w:cs="Arial"/>
          <w:color w:val="7B7B7B" w:themeColor="accent3" w:themeShade="BF"/>
          <w:lang w:val="en-GB"/>
        </w:rPr>
      </w:pPr>
    </w:p>
    <w:p w14:paraId="2F59BBE9" w14:textId="77777777" w:rsidR="005B4DC2" w:rsidRPr="002E0270" w:rsidRDefault="005B4DC2" w:rsidP="005B4DC2">
      <w:pPr>
        <w:pStyle w:val="ListParagraph"/>
        <w:numPr>
          <w:ilvl w:val="0"/>
          <w:numId w:val="23"/>
        </w:numPr>
        <w:spacing w:after="160" w:line="259" w:lineRule="auto"/>
        <w:jc w:val="both"/>
        <w:rPr>
          <w:rStyle w:val="fontstyle21"/>
          <w:rFonts w:ascii="Arial" w:hAnsi="Arial" w:cs="Arial"/>
          <w:color w:val="7B7B7B" w:themeColor="accent3" w:themeShade="BF"/>
          <w:lang w:val="en-GB"/>
        </w:rPr>
      </w:pPr>
      <w:r w:rsidRPr="002E0270">
        <w:rPr>
          <w:rStyle w:val="fontstyle21"/>
          <w:rFonts w:ascii="Arial" w:hAnsi="Arial" w:cs="Arial"/>
          <w:color w:val="7B7B7B" w:themeColor="accent3" w:themeShade="BF"/>
          <w:lang w:val="en-GB"/>
        </w:rPr>
        <w:t>The first is where the costs of the other professionals are being claimed as part of the</w:t>
      </w:r>
      <w:r w:rsidRPr="002E0270">
        <w:rPr>
          <w:rFonts w:ascii="Arial" w:hAnsi="Arial" w:cs="Arial"/>
          <w:color w:val="7B7B7B" w:themeColor="accent3" w:themeShade="BF"/>
          <w:sz w:val="22"/>
          <w:szCs w:val="22"/>
          <w:lang w:val="en-GB"/>
        </w:rPr>
        <w:br/>
      </w:r>
      <w:r w:rsidRPr="002E0270">
        <w:rPr>
          <w:rStyle w:val="fontstyle21"/>
          <w:rFonts w:ascii="Arial" w:hAnsi="Arial" w:cs="Arial"/>
          <w:color w:val="7B7B7B" w:themeColor="accent3" w:themeShade="BF"/>
          <w:lang w:val="en-GB"/>
        </w:rPr>
        <w:t xml:space="preserve">insolvency practitioner’s disbursements (see </w:t>
      </w:r>
      <w:r w:rsidRPr="002E0270">
        <w:rPr>
          <w:rFonts w:ascii="Arial" w:hAnsi="Arial" w:cs="Arial"/>
          <w:i/>
          <w:iCs/>
          <w:color w:val="7B7B7B" w:themeColor="accent3" w:themeShade="BF"/>
          <w:sz w:val="22"/>
          <w:szCs w:val="22"/>
          <w:lang w:val="en-GB"/>
        </w:rPr>
        <w:t xml:space="preserve">Mirror Group Newspapers plc v Maxwell and others (No 2) </w:t>
      </w:r>
      <w:r w:rsidRPr="002E0270">
        <w:rPr>
          <w:rFonts w:ascii="Arial" w:hAnsi="Arial" w:cs="Arial"/>
          <w:i/>
          <w:color w:val="7B7B7B" w:themeColor="accent3" w:themeShade="BF"/>
          <w:sz w:val="22"/>
          <w:szCs w:val="22"/>
          <w:lang w:val="en-GB"/>
        </w:rPr>
        <w:t>[1998] 1 BCLC 638 (“</w:t>
      </w:r>
      <w:r w:rsidRPr="002E0270">
        <w:rPr>
          <w:rFonts w:ascii="Arial" w:hAnsi="Arial" w:cs="Arial"/>
          <w:i/>
          <w:iCs/>
          <w:color w:val="7B7B7B" w:themeColor="accent3" w:themeShade="BF"/>
          <w:sz w:val="22"/>
          <w:szCs w:val="22"/>
          <w:lang w:val="en-GB"/>
        </w:rPr>
        <w:t>Mirror Group</w:t>
      </w:r>
      <w:r w:rsidRPr="002E0270">
        <w:rPr>
          <w:rFonts w:ascii="Arial" w:hAnsi="Arial" w:cs="Arial"/>
          <w:i/>
          <w:color w:val="7B7B7B" w:themeColor="accent3" w:themeShade="BF"/>
          <w:sz w:val="22"/>
          <w:szCs w:val="22"/>
          <w:lang w:val="en-GB"/>
        </w:rPr>
        <w:t>”)</w:t>
      </w:r>
      <w:r w:rsidRPr="002E0270">
        <w:rPr>
          <w:rFonts w:ascii="Arial" w:hAnsi="Arial" w:cs="Arial"/>
          <w:color w:val="7B7B7B" w:themeColor="accent3" w:themeShade="BF"/>
          <w:sz w:val="22"/>
          <w:szCs w:val="22"/>
          <w:lang w:val="en-GB"/>
        </w:rPr>
        <w:t xml:space="preserve"> </w:t>
      </w:r>
      <w:r w:rsidRPr="002E0270">
        <w:rPr>
          <w:rFonts w:ascii="Arial" w:hAnsi="Arial" w:cs="Arial"/>
          <w:i/>
          <w:color w:val="7B7B7B" w:themeColor="accent3" w:themeShade="BF"/>
          <w:sz w:val="22"/>
          <w:szCs w:val="22"/>
          <w:lang w:val="en-GB"/>
        </w:rPr>
        <w:t xml:space="preserve">- </w:t>
      </w:r>
      <w:r w:rsidRPr="002E0270">
        <w:rPr>
          <w:rStyle w:val="fontstyle21"/>
          <w:rFonts w:ascii="Arial" w:hAnsi="Arial" w:cs="Arial"/>
          <w:i/>
          <w:color w:val="7B7B7B" w:themeColor="accent3" w:themeShade="BF"/>
          <w:lang w:val="en-GB"/>
        </w:rPr>
        <w:t xml:space="preserve">where the receivers had engaged lawyers and later included the legal fees that </w:t>
      </w:r>
      <w:r w:rsidRPr="002E0270">
        <w:rPr>
          <w:rStyle w:val="fontstyle31"/>
          <w:rFonts w:ascii="Arial" w:hAnsi="Arial" w:cs="Arial"/>
          <w:i w:val="0"/>
          <w:color w:val="7B7B7B" w:themeColor="accent3" w:themeShade="BF"/>
          <w:sz w:val="22"/>
          <w:szCs w:val="22"/>
          <w:lang w:val="en-GB"/>
        </w:rPr>
        <w:t xml:space="preserve">they had been charged </w:t>
      </w:r>
      <w:r w:rsidRPr="002E0270">
        <w:rPr>
          <w:rStyle w:val="fontstyle21"/>
          <w:rFonts w:ascii="Arial" w:hAnsi="Arial" w:cs="Arial"/>
          <w:i/>
          <w:color w:val="7B7B7B" w:themeColor="accent3" w:themeShade="BF"/>
          <w:lang w:val="en-GB"/>
        </w:rPr>
        <w:t>in their bills of costs (as a claim for disbursements</w:t>
      </w:r>
      <w:r w:rsidRPr="002E0270">
        <w:rPr>
          <w:rStyle w:val="fontstyle21"/>
          <w:rFonts w:ascii="Arial" w:hAnsi="Arial" w:cs="Arial"/>
          <w:color w:val="7B7B7B" w:themeColor="accent3" w:themeShade="BF"/>
          <w:lang w:val="en-GB"/>
        </w:rPr>
        <w:t xml:space="preserve">). </w:t>
      </w:r>
    </w:p>
    <w:p w14:paraId="208A9F08" w14:textId="77777777" w:rsidR="005B4DC2" w:rsidRPr="002E0270" w:rsidRDefault="005B4DC2" w:rsidP="005B4DC2">
      <w:pPr>
        <w:pStyle w:val="ListParagraph"/>
        <w:ind w:left="360"/>
        <w:jc w:val="both"/>
        <w:rPr>
          <w:rStyle w:val="fontstyle21"/>
          <w:rFonts w:ascii="Arial" w:hAnsi="Arial" w:cs="Arial"/>
          <w:color w:val="7B7B7B" w:themeColor="accent3" w:themeShade="BF"/>
          <w:lang w:val="en-GB"/>
        </w:rPr>
      </w:pPr>
    </w:p>
    <w:p w14:paraId="0103B107" w14:textId="77777777" w:rsidR="005B4DC2" w:rsidRPr="002E0270" w:rsidRDefault="005B4DC2" w:rsidP="005B4DC2">
      <w:pPr>
        <w:pStyle w:val="ListParagraph"/>
        <w:ind w:left="360"/>
        <w:jc w:val="both"/>
        <w:rPr>
          <w:rFonts w:ascii="Arial" w:hAnsi="Arial" w:cs="Arial"/>
          <w:color w:val="7B7B7B" w:themeColor="accent3" w:themeShade="BF"/>
          <w:sz w:val="22"/>
          <w:szCs w:val="22"/>
          <w:lang w:val="en-GB"/>
        </w:rPr>
      </w:pPr>
      <w:r w:rsidRPr="002E0270">
        <w:rPr>
          <w:rStyle w:val="fontstyle21"/>
          <w:rFonts w:ascii="Arial" w:hAnsi="Arial" w:cs="Arial"/>
          <w:color w:val="7B7B7B" w:themeColor="accent3" w:themeShade="BF"/>
          <w:lang w:val="en-GB"/>
        </w:rPr>
        <w:t xml:space="preserve">In such a situation, the onus lies first on the IP, as the paying party, to decide whether they want to accept the bill put forward by the legal professional </w:t>
      </w:r>
      <w:r w:rsidRPr="002E0270">
        <w:rPr>
          <w:rStyle w:val="fontstyle31"/>
          <w:rFonts w:ascii="Arial" w:hAnsi="Arial" w:cs="Arial"/>
          <w:i w:val="0"/>
          <w:color w:val="7B7B7B" w:themeColor="accent3" w:themeShade="BF"/>
          <w:sz w:val="22"/>
          <w:szCs w:val="22"/>
          <w:lang w:val="en-GB"/>
        </w:rPr>
        <w:t>before</w:t>
      </w:r>
      <w:r w:rsidRPr="002E0270">
        <w:rPr>
          <w:rStyle w:val="fontstyle31"/>
          <w:rFonts w:ascii="Arial" w:hAnsi="Arial" w:cs="Arial"/>
          <w:color w:val="7B7B7B" w:themeColor="accent3" w:themeShade="BF"/>
          <w:sz w:val="22"/>
          <w:szCs w:val="22"/>
          <w:lang w:val="en-GB"/>
        </w:rPr>
        <w:t xml:space="preserve"> </w:t>
      </w:r>
      <w:r w:rsidRPr="002E0270">
        <w:rPr>
          <w:rStyle w:val="fontstyle21"/>
          <w:rFonts w:ascii="Arial" w:hAnsi="Arial" w:cs="Arial"/>
          <w:color w:val="7B7B7B" w:themeColor="accent3" w:themeShade="BF"/>
          <w:lang w:val="en-GB"/>
        </w:rPr>
        <w:t xml:space="preserve">they come to court to make a claim. After all, the IPs are hired for their commercial judgment, part of which encompasses the independent evaluation of the propriety of bills put up by service providers (including legal professionals) they hire. This acts as a preliminary filter. It is only after the insolvency practitioners have finalised their position on the bill that the court will consider whether the expenditure was reasonably incurred and therefore should be allowed. </w:t>
      </w:r>
    </w:p>
    <w:p w14:paraId="05AB1916" w14:textId="77777777" w:rsidR="005B4DC2" w:rsidRPr="002E0270" w:rsidRDefault="005B4DC2" w:rsidP="005B4DC2">
      <w:pPr>
        <w:pStyle w:val="ListParagraph"/>
        <w:ind w:left="360"/>
        <w:jc w:val="both"/>
        <w:rPr>
          <w:rStyle w:val="fontstyle21"/>
          <w:rFonts w:ascii="Arial" w:hAnsi="Arial" w:cs="Arial"/>
          <w:color w:val="7B7B7B" w:themeColor="accent3" w:themeShade="BF"/>
          <w:lang w:val="en-GB"/>
        </w:rPr>
      </w:pPr>
    </w:p>
    <w:p w14:paraId="0FEE15AC" w14:textId="77777777" w:rsidR="005B4DC2" w:rsidRPr="002E0270" w:rsidRDefault="005B4DC2" w:rsidP="005B4DC2">
      <w:pPr>
        <w:pStyle w:val="ListParagraph"/>
        <w:numPr>
          <w:ilvl w:val="0"/>
          <w:numId w:val="23"/>
        </w:numPr>
        <w:spacing w:after="160" w:line="259" w:lineRule="auto"/>
        <w:jc w:val="both"/>
        <w:rPr>
          <w:rStyle w:val="fontstyle21"/>
          <w:rFonts w:ascii="Arial" w:hAnsi="Arial" w:cs="Arial"/>
          <w:color w:val="7B7B7B" w:themeColor="accent3" w:themeShade="BF"/>
          <w:lang w:val="en-GB"/>
        </w:rPr>
      </w:pPr>
      <w:r w:rsidRPr="002E0270">
        <w:rPr>
          <w:rStyle w:val="fontstyle21"/>
          <w:rFonts w:ascii="Arial" w:hAnsi="Arial" w:cs="Arial"/>
          <w:color w:val="7B7B7B" w:themeColor="accent3" w:themeShade="BF"/>
          <w:lang w:val="en-GB"/>
        </w:rPr>
        <w:t>The second scenario is where the costs of the legal professionals are not claimed as</w:t>
      </w:r>
      <w:r w:rsidRPr="002E0270">
        <w:rPr>
          <w:rFonts w:ascii="Arial" w:hAnsi="Arial" w:cs="Arial"/>
          <w:color w:val="7B7B7B" w:themeColor="accent3" w:themeShade="BF"/>
          <w:sz w:val="22"/>
          <w:szCs w:val="22"/>
          <w:lang w:val="en-GB"/>
        </w:rPr>
        <w:br/>
      </w:r>
      <w:r w:rsidRPr="002E0270">
        <w:rPr>
          <w:rStyle w:val="fontstyle21"/>
          <w:rFonts w:ascii="Arial" w:hAnsi="Arial" w:cs="Arial"/>
          <w:color w:val="7B7B7B" w:themeColor="accent3" w:themeShade="BF"/>
          <w:lang w:val="en-GB"/>
        </w:rPr>
        <w:t xml:space="preserve">disbursements incurred by the IP </w:t>
      </w:r>
      <w:r w:rsidRPr="002E0270">
        <w:rPr>
          <w:rStyle w:val="fontstyle31"/>
          <w:rFonts w:ascii="Arial" w:hAnsi="Arial" w:cs="Arial"/>
          <w:color w:val="7B7B7B" w:themeColor="accent3" w:themeShade="BF"/>
          <w:sz w:val="22"/>
          <w:szCs w:val="22"/>
          <w:lang w:val="en-GB"/>
        </w:rPr>
        <w:t>per se</w:t>
      </w:r>
      <w:r w:rsidRPr="002E0270">
        <w:rPr>
          <w:rStyle w:val="fontstyle21"/>
          <w:rFonts w:ascii="Arial" w:hAnsi="Arial" w:cs="Arial"/>
          <w:color w:val="7B7B7B" w:themeColor="accent3" w:themeShade="BF"/>
          <w:lang w:val="en-GB"/>
        </w:rPr>
        <w:t>, but have been separately billed to the</w:t>
      </w:r>
      <w:r w:rsidRPr="002E0270">
        <w:rPr>
          <w:rFonts w:ascii="Arial" w:hAnsi="Arial" w:cs="Arial"/>
          <w:color w:val="7B7B7B" w:themeColor="accent3" w:themeShade="BF"/>
          <w:sz w:val="22"/>
          <w:szCs w:val="22"/>
          <w:lang w:val="en-GB"/>
        </w:rPr>
        <w:t xml:space="preserve"> </w:t>
      </w:r>
      <w:r w:rsidRPr="002E0270">
        <w:rPr>
          <w:rStyle w:val="fontstyle21"/>
          <w:rFonts w:ascii="Arial" w:hAnsi="Arial" w:cs="Arial"/>
          <w:color w:val="7B7B7B" w:themeColor="accent3" w:themeShade="BF"/>
          <w:lang w:val="en-GB"/>
        </w:rPr>
        <w:t xml:space="preserve">company. In such a situation, the court can and should still take cognisance of the possibility that the work performed by the IP in relation to matters within the legal </w:t>
      </w:r>
      <w:r w:rsidRPr="002E0270">
        <w:rPr>
          <w:rStyle w:val="fontstyle21"/>
          <w:rFonts w:ascii="Arial" w:hAnsi="Arial" w:cs="Arial"/>
          <w:color w:val="7B7B7B" w:themeColor="accent3" w:themeShade="BF"/>
          <w:lang w:val="en-GB"/>
        </w:rPr>
        <w:lastRenderedPageBreak/>
        <w:t xml:space="preserve">professional’s scope of responsibility is unnecessary and his contribution redundant. The onus lies on the IP to justify his involvement when there are legal professionals instructed on the same matter. In </w:t>
      </w:r>
      <w:r w:rsidRPr="002E0270">
        <w:rPr>
          <w:rStyle w:val="fontstyle01"/>
          <w:rFonts w:ascii="Arial" w:hAnsi="Arial" w:cs="Arial"/>
          <w:i/>
          <w:color w:val="7B7B7B" w:themeColor="accent3" w:themeShade="BF"/>
          <w:lang w:val="en-GB"/>
        </w:rPr>
        <w:t xml:space="preserve">Liquidators of Dovechem Holdings Pte Ltd v Dovechem Holdings Pte Ltd (in compulsory liquidation) </w:t>
      </w:r>
      <w:r w:rsidRPr="002E0270">
        <w:rPr>
          <w:rStyle w:val="fontstyle21"/>
          <w:rFonts w:ascii="Arial" w:hAnsi="Arial" w:cs="Arial"/>
          <w:i/>
          <w:color w:val="7B7B7B" w:themeColor="accent3" w:themeShade="BF"/>
          <w:lang w:val="en-GB"/>
        </w:rPr>
        <w:t>[2015] SGHC 167 (“</w:t>
      </w:r>
      <w:r w:rsidRPr="002E0270">
        <w:rPr>
          <w:rStyle w:val="fontstyle01"/>
          <w:rFonts w:ascii="Arial" w:hAnsi="Arial" w:cs="Arial"/>
          <w:i/>
          <w:color w:val="7B7B7B" w:themeColor="accent3" w:themeShade="BF"/>
          <w:lang w:val="en-GB"/>
        </w:rPr>
        <w:t>Dovechem</w:t>
      </w:r>
      <w:r w:rsidRPr="002E0270">
        <w:rPr>
          <w:rStyle w:val="fontstyle21"/>
          <w:rFonts w:ascii="Arial" w:hAnsi="Arial" w:cs="Arial"/>
          <w:i/>
          <w:color w:val="7B7B7B" w:themeColor="accent3" w:themeShade="BF"/>
          <w:lang w:val="en-GB"/>
        </w:rPr>
        <w:t xml:space="preserve">”), </w:t>
      </w:r>
      <w:r w:rsidRPr="002E0270">
        <w:rPr>
          <w:rStyle w:val="fontstyle21"/>
          <w:rFonts w:ascii="Arial" w:hAnsi="Arial" w:cs="Arial"/>
          <w:color w:val="7B7B7B" w:themeColor="accent3" w:themeShade="BF"/>
          <w:lang w:val="en-GB"/>
        </w:rPr>
        <w:t xml:space="preserve">for example, the court permitted the liquidators to recover the costs they incurred in relation to the prosecution of a suit because the liquidators were able to demonstrate that their roles and responsibilities differed from that done by the lawyers. In that case, the liquidators had to spend an extensive amount of time going through the primary source documents in order to give proper instructions to their lawyers. Their work, in other words, was </w:t>
      </w:r>
      <w:r w:rsidRPr="002E0270">
        <w:rPr>
          <w:rStyle w:val="fontstyle31"/>
          <w:rFonts w:ascii="Arial" w:hAnsi="Arial" w:cs="Arial"/>
          <w:i w:val="0"/>
          <w:color w:val="7B7B7B" w:themeColor="accent3" w:themeShade="BF"/>
          <w:sz w:val="22"/>
          <w:szCs w:val="22"/>
          <w:lang w:val="en-GB"/>
        </w:rPr>
        <w:t xml:space="preserve">anterior to and distinct from </w:t>
      </w:r>
      <w:r w:rsidRPr="001C4E45">
        <w:rPr>
          <w:rStyle w:val="fontstyle21"/>
          <w:rFonts w:ascii="Arial" w:hAnsi="Arial" w:cs="Arial"/>
          <w:color w:val="7B7B7B" w:themeColor="accent3" w:themeShade="BF"/>
          <w:lang w:val="en-GB"/>
        </w:rPr>
        <w:t>the</w:t>
      </w:r>
      <w:r w:rsidRPr="002E0270">
        <w:rPr>
          <w:rStyle w:val="fontstyle21"/>
          <w:rFonts w:ascii="Arial" w:hAnsi="Arial" w:cs="Arial"/>
          <w:color w:val="7B7B7B" w:themeColor="accent3" w:themeShade="BF"/>
          <w:lang w:val="en-GB"/>
        </w:rPr>
        <w:t xml:space="preserve"> work performed by the lawyers.</w:t>
      </w:r>
    </w:p>
    <w:p w14:paraId="3BC21AB2" w14:textId="77777777" w:rsidR="005B4DC2" w:rsidRPr="002E0270" w:rsidRDefault="005B4DC2" w:rsidP="005B4DC2">
      <w:pPr>
        <w:pStyle w:val="ListParagraph"/>
        <w:ind w:left="360"/>
        <w:jc w:val="both"/>
        <w:rPr>
          <w:rStyle w:val="fontstyle21"/>
          <w:rFonts w:ascii="Arial" w:hAnsi="Arial" w:cs="Arial"/>
          <w:color w:val="7B7B7B" w:themeColor="accent3" w:themeShade="BF"/>
          <w:lang w:val="en-GB"/>
        </w:rPr>
      </w:pPr>
      <w:r w:rsidRPr="002E0270">
        <w:rPr>
          <w:rStyle w:val="fontstyle21"/>
          <w:rFonts w:ascii="Arial" w:hAnsi="Arial" w:cs="Arial"/>
          <w:color w:val="7B7B7B" w:themeColor="accent3" w:themeShade="BF"/>
          <w:lang w:val="en-GB"/>
        </w:rPr>
        <w:t xml:space="preserve"> </w:t>
      </w:r>
    </w:p>
    <w:p w14:paraId="5A8576C9" w14:textId="77777777" w:rsidR="005B4DC2" w:rsidRPr="002E0270" w:rsidRDefault="005B4DC2" w:rsidP="005B4DC2">
      <w:pPr>
        <w:jc w:val="both"/>
        <w:rPr>
          <w:rFonts w:ascii="Arial" w:hAnsi="Arial" w:cs="Arial"/>
          <w:color w:val="7B7B7B" w:themeColor="accent3" w:themeShade="BF"/>
          <w:sz w:val="22"/>
          <w:szCs w:val="22"/>
          <w:lang w:val="en-GB"/>
        </w:rPr>
      </w:pPr>
      <w:r w:rsidRPr="002E0270">
        <w:rPr>
          <w:rStyle w:val="fontstyle21"/>
          <w:rFonts w:ascii="Arial" w:hAnsi="Arial" w:cs="Arial"/>
          <w:color w:val="7B7B7B" w:themeColor="accent3" w:themeShade="BF"/>
          <w:lang w:val="en-GB"/>
        </w:rPr>
        <w:t>Where an IP intends to rely on the advice or work of a legal professional, it advisable that the IP evaluates whether such advice or work is warranted (see ICAEW Insolvency Code of Ethics R2320.3). The IP should document t</w:t>
      </w:r>
      <w:r w:rsidRPr="002E0270">
        <w:rPr>
          <w:rFonts w:ascii="Arial" w:hAnsi="Arial" w:cs="Arial"/>
          <w:color w:val="7B7B7B" w:themeColor="accent3" w:themeShade="BF"/>
          <w:sz w:val="22"/>
          <w:szCs w:val="22"/>
          <w:lang w:val="en-GB"/>
        </w:rPr>
        <w:t xml:space="preserve">he reasons for choosing the specific legal professional. The IP should also, where personal or professional relationship exists with the legal professional, fully disclose the relevant relationship and the process undertaken to evaluate whether the service will be the best value for the creditors. </w:t>
      </w:r>
    </w:p>
    <w:p w14:paraId="477AC854" w14:textId="77777777" w:rsidR="005B4DC2" w:rsidRPr="002E0270" w:rsidRDefault="005B4DC2" w:rsidP="005B4DC2">
      <w:pPr>
        <w:jc w:val="both"/>
        <w:rPr>
          <w:rFonts w:ascii="Arial" w:hAnsi="Arial" w:cs="Arial"/>
          <w:color w:val="7B7B7B" w:themeColor="accent3" w:themeShade="BF"/>
          <w:sz w:val="22"/>
          <w:szCs w:val="22"/>
          <w:lang w:val="en-GB"/>
        </w:rPr>
      </w:pPr>
    </w:p>
    <w:p w14:paraId="2086E382" w14:textId="5B117322" w:rsidR="005B4DC2" w:rsidRPr="002E0270" w:rsidRDefault="005B4DC2" w:rsidP="005B4DC2">
      <w:pPr>
        <w:jc w:val="both"/>
        <w:rPr>
          <w:rFonts w:ascii="Arial" w:hAnsi="Arial" w:cs="Arial"/>
          <w:color w:val="7B7B7B" w:themeColor="accent3" w:themeShade="BF"/>
          <w:sz w:val="22"/>
          <w:szCs w:val="22"/>
          <w:lang w:val="en-GB"/>
        </w:rPr>
      </w:pPr>
      <w:r w:rsidRPr="002E0270">
        <w:rPr>
          <w:rFonts w:ascii="Arial" w:hAnsi="Arial" w:cs="Arial"/>
          <w:color w:val="7B7B7B" w:themeColor="accent3" w:themeShade="BF"/>
          <w:sz w:val="22"/>
          <w:szCs w:val="22"/>
          <w:lang w:val="en-GB"/>
        </w:rPr>
        <w:t>The process undertaken to evaluate whether the legal professional’s service will be the best value for the creditors should consider:</w:t>
      </w:r>
    </w:p>
    <w:p w14:paraId="71D2AACB" w14:textId="77777777" w:rsidR="005B4DC2" w:rsidRPr="002E0270" w:rsidRDefault="005B4DC2" w:rsidP="005B4DC2">
      <w:pPr>
        <w:pStyle w:val="ListParagraph"/>
        <w:numPr>
          <w:ilvl w:val="0"/>
          <w:numId w:val="24"/>
        </w:numPr>
        <w:spacing w:after="160" w:line="259" w:lineRule="auto"/>
        <w:jc w:val="both"/>
        <w:rPr>
          <w:rFonts w:ascii="Arial" w:hAnsi="Arial" w:cs="Arial"/>
          <w:color w:val="7B7B7B" w:themeColor="accent3" w:themeShade="BF"/>
          <w:sz w:val="22"/>
          <w:szCs w:val="22"/>
          <w:lang w:val="en-GB"/>
        </w:rPr>
      </w:pPr>
      <w:r w:rsidRPr="002E0270">
        <w:rPr>
          <w:rFonts w:ascii="Arial" w:hAnsi="Arial" w:cs="Arial"/>
          <w:color w:val="7B7B7B" w:themeColor="accent3" w:themeShade="BF"/>
          <w:sz w:val="22"/>
          <w:szCs w:val="22"/>
          <w:lang w:val="en-GB"/>
        </w:rPr>
        <w:t>The cost of the service, the expertise and experience of the legal professional;</w:t>
      </w:r>
    </w:p>
    <w:p w14:paraId="6C744497" w14:textId="77777777" w:rsidR="005B4DC2" w:rsidRPr="002E0270" w:rsidRDefault="005B4DC2" w:rsidP="005B4DC2">
      <w:pPr>
        <w:pStyle w:val="ListParagraph"/>
        <w:numPr>
          <w:ilvl w:val="0"/>
          <w:numId w:val="24"/>
        </w:numPr>
        <w:spacing w:after="160" w:line="259" w:lineRule="auto"/>
        <w:jc w:val="both"/>
        <w:rPr>
          <w:rFonts w:ascii="Arial" w:hAnsi="Arial" w:cs="Arial"/>
          <w:color w:val="7B7B7B" w:themeColor="accent3" w:themeShade="BF"/>
          <w:sz w:val="22"/>
          <w:szCs w:val="22"/>
          <w:lang w:val="en-GB"/>
        </w:rPr>
      </w:pPr>
      <w:r w:rsidRPr="002E0270">
        <w:rPr>
          <w:rFonts w:ascii="Arial" w:hAnsi="Arial" w:cs="Arial"/>
          <w:color w:val="7B7B7B" w:themeColor="accent3" w:themeShade="BF"/>
          <w:sz w:val="22"/>
          <w:szCs w:val="22"/>
          <w:lang w:val="en-GB"/>
        </w:rPr>
        <w:t>Whether the legal professional holds appropriate regulatory authorisation; and</w:t>
      </w:r>
    </w:p>
    <w:p w14:paraId="7940D274" w14:textId="5DA05F48" w:rsidR="00DF75F8" w:rsidRPr="005B4DC2" w:rsidRDefault="005B4DC2" w:rsidP="005B4DC2">
      <w:pPr>
        <w:pStyle w:val="ListParagraph"/>
        <w:numPr>
          <w:ilvl w:val="0"/>
          <w:numId w:val="24"/>
        </w:numPr>
        <w:spacing w:after="160" w:line="259" w:lineRule="auto"/>
        <w:jc w:val="both"/>
        <w:rPr>
          <w:rFonts w:ascii="Arial" w:hAnsi="Arial" w:cs="Arial"/>
          <w:color w:val="7B7B7B" w:themeColor="accent3" w:themeShade="BF"/>
          <w:sz w:val="22"/>
          <w:szCs w:val="22"/>
        </w:rPr>
      </w:pPr>
      <w:r w:rsidRPr="002E0270">
        <w:rPr>
          <w:rFonts w:ascii="Arial" w:hAnsi="Arial" w:cs="Arial"/>
          <w:color w:val="7B7B7B" w:themeColor="accent3" w:themeShade="BF"/>
          <w:sz w:val="22"/>
          <w:szCs w:val="22"/>
          <w:lang w:val="en-GB"/>
        </w:rPr>
        <w:t>The professional and ethical standards applicable to the legal professional</w:t>
      </w:r>
      <w:r w:rsidR="00DF75F8" w:rsidRPr="005B4DC2">
        <w:rPr>
          <w:rFonts w:ascii="Arial" w:hAnsi="Arial" w:cs="Arial"/>
          <w:color w:val="7B7B7B" w:themeColor="accent3" w:themeShade="BF"/>
          <w:sz w:val="22"/>
          <w:szCs w:val="22"/>
          <w:lang w:val="en-GB"/>
        </w:rPr>
        <w:t>]</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lastRenderedPageBreak/>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14B57EC5" w14:textId="588F4268" w:rsidR="004E3D0B" w:rsidRDefault="002D3473" w:rsidP="00087F21">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E3D0B" w:rsidRPr="004E3D0B">
        <w:rPr>
          <w:rFonts w:ascii="Arial" w:hAnsi="Arial" w:cs="Arial"/>
          <w:b/>
          <w:color w:val="7B7B7B" w:themeColor="accent3" w:themeShade="BF"/>
          <w:sz w:val="22"/>
          <w:szCs w:val="22"/>
          <w:lang w:val="en-GB"/>
        </w:rPr>
        <w:t>Issue 1: Family</w:t>
      </w:r>
      <w:r w:rsidR="004E3D0B">
        <w:rPr>
          <w:rFonts w:ascii="Arial" w:hAnsi="Arial" w:cs="Arial"/>
          <w:b/>
          <w:color w:val="7B7B7B" w:themeColor="accent3" w:themeShade="BF"/>
          <w:sz w:val="22"/>
          <w:szCs w:val="22"/>
          <w:lang w:val="en-GB"/>
        </w:rPr>
        <w:t xml:space="preserve"> and Personal</w:t>
      </w:r>
      <w:r w:rsidR="004E3D0B" w:rsidRPr="004E3D0B">
        <w:rPr>
          <w:rFonts w:ascii="Arial" w:hAnsi="Arial" w:cs="Arial"/>
          <w:b/>
          <w:color w:val="7B7B7B" w:themeColor="accent3" w:themeShade="BF"/>
          <w:sz w:val="22"/>
          <w:szCs w:val="22"/>
          <w:lang w:val="en-GB"/>
        </w:rPr>
        <w:t xml:space="preserve"> Relationship</w:t>
      </w:r>
    </w:p>
    <w:p w14:paraId="79946CB2" w14:textId="7D8CC802" w:rsidR="004E3D0B" w:rsidRDefault="004E3D0B" w:rsidP="00087F21">
      <w:pPr>
        <w:autoSpaceDE w:val="0"/>
        <w:autoSpaceDN w:val="0"/>
        <w:adjustRightInd w:val="0"/>
        <w:jc w:val="both"/>
        <w:rPr>
          <w:rFonts w:ascii="Arial" w:hAnsi="Arial" w:cs="Arial"/>
          <w:color w:val="7B7B7B" w:themeColor="accent3" w:themeShade="BF"/>
          <w:sz w:val="22"/>
          <w:szCs w:val="22"/>
          <w:lang w:val="en-GB"/>
        </w:rPr>
      </w:pPr>
    </w:p>
    <w:p w14:paraId="37EA3704" w14:textId="124E174A" w:rsidR="004E3D0B" w:rsidRDefault="004E3D0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is a brother-in-law to Mr B InLaw and godfather </w:t>
      </w:r>
      <w:r w:rsidR="00EA6C47">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his daughter. Mr B InLaw is director and shareholder in WeBuild Ltd</w:t>
      </w:r>
      <w:r w:rsidR="001C4E4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 </w:t>
      </w:r>
      <w:r w:rsidR="001C4E45">
        <w:rPr>
          <w:rFonts w:ascii="Arial" w:hAnsi="Arial" w:cs="Arial"/>
          <w:color w:val="7B7B7B" w:themeColor="accent3" w:themeShade="BF"/>
          <w:sz w:val="22"/>
          <w:szCs w:val="22"/>
          <w:lang w:val="en-GB"/>
        </w:rPr>
        <w:t>Mr Relation has been appointed the A</w:t>
      </w:r>
      <w:r>
        <w:rPr>
          <w:rFonts w:ascii="Arial" w:hAnsi="Arial" w:cs="Arial"/>
          <w:color w:val="7B7B7B" w:themeColor="accent3" w:themeShade="BF"/>
          <w:sz w:val="22"/>
          <w:szCs w:val="22"/>
          <w:lang w:val="en-GB"/>
        </w:rPr>
        <w:t>dministrator. The close family and personal relationship between the two brings the independence and impartiality of Mr Relation into question.</w:t>
      </w:r>
    </w:p>
    <w:p w14:paraId="6381871A" w14:textId="77777777" w:rsidR="004E3D0B" w:rsidRDefault="004E3D0B" w:rsidP="00087F21">
      <w:pPr>
        <w:autoSpaceDE w:val="0"/>
        <w:autoSpaceDN w:val="0"/>
        <w:adjustRightInd w:val="0"/>
        <w:jc w:val="both"/>
        <w:rPr>
          <w:rFonts w:ascii="Arial" w:hAnsi="Arial" w:cs="Arial"/>
          <w:color w:val="7B7B7B" w:themeColor="accent3" w:themeShade="BF"/>
          <w:sz w:val="22"/>
          <w:szCs w:val="22"/>
          <w:lang w:val="en-GB"/>
        </w:rPr>
      </w:pPr>
    </w:p>
    <w:p w14:paraId="238E8668" w14:textId="77777777" w:rsidR="00123E31" w:rsidRDefault="00123E31" w:rsidP="00087F21">
      <w:pPr>
        <w:autoSpaceDE w:val="0"/>
        <w:autoSpaceDN w:val="0"/>
        <w:adjustRightInd w:val="0"/>
        <w:jc w:val="both"/>
        <w:rPr>
          <w:rFonts w:ascii="Arial" w:hAnsi="Arial" w:cs="Arial"/>
          <w:color w:val="7B7B7B" w:themeColor="accent3" w:themeShade="BF"/>
          <w:sz w:val="22"/>
          <w:szCs w:val="22"/>
          <w:lang w:val="en-GB"/>
        </w:rPr>
      </w:pPr>
      <w:r w:rsidRPr="00E76330">
        <w:rPr>
          <w:rFonts w:ascii="Arial" w:hAnsi="Arial" w:cs="Arial"/>
          <w:i/>
          <w:color w:val="7B7B7B" w:themeColor="accent3" w:themeShade="BF"/>
          <w:sz w:val="22"/>
          <w:szCs w:val="22"/>
          <w:lang w:val="en-GB"/>
        </w:rPr>
        <w:t>Ethical Principle</w:t>
      </w:r>
      <w:r>
        <w:rPr>
          <w:rFonts w:ascii="Arial" w:hAnsi="Arial" w:cs="Arial"/>
          <w:i/>
          <w:color w:val="7B7B7B" w:themeColor="accent3" w:themeShade="BF"/>
          <w:sz w:val="22"/>
          <w:szCs w:val="22"/>
          <w:lang w:val="en-GB"/>
        </w:rPr>
        <w:t xml:space="preserve"> -</w:t>
      </w:r>
      <w:r w:rsidRPr="00E76330">
        <w:rPr>
          <w:rFonts w:ascii="Arial" w:hAnsi="Arial" w:cs="Arial"/>
          <w:i/>
          <w:color w:val="7B7B7B" w:themeColor="accent3" w:themeShade="BF"/>
          <w:sz w:val="22"/>
          <w:szCs w:val="22"/>
          <w:lang w:val="en-GB"/>
        </w:rPr>
        <w:t xml:space="preserve"> Objectivity, Independence and Impartiality</w:t>
      </w:r>
      <w:r>
        <w:rPr>
          <w:rFonts w:ascii="Arial" w:hAnsi="Arial" w:cs="Arial"/>
          <w:i/>
          <w:color w:val="7B7B7B" w:themeColor="accent3" w:themeShade="BF"/>
          <w:sz w:val="22"/>
          <w:szCs w:val="22"/>
          <w:lang w:val="en-GB"/>
        </w:rPr>
        <w:t xml:space="preserve"> – </w:t>
      </w:r>
      <w:r w:rsidR="004E3D0B">
        <w:rPr>
          <w:rFonts w:ascii="Arial" w:hAnsi="Arial" w:cs="Arial"/>
          <w:color w:val="7B7B7B" w:themeColor="accent3" w:themeShade="BF"/>
          <w:sz w:val="22"/>
          <w:szCs w:val="22"/>
          <w:lang w:val="en-GB"/>
        </w:rPr>
        <w:t xml:space="preserve">IPs are expected to exhibit the highest level of objectivity, independence and impartiality in the exercise of their powers and duties. </w:t>
      </w:r>
    </w:p>
    <w:p w14:paraId="41796BDE" w14:textId="77777777" w:rsidR="00123E31" w:rsidRDefault="00123E31" w:rsidP="00087F21">
      <w:pPr>
        <w:autoSpaceDE w:val="0"/>
        <w:autoSpaceDN w:val="0"/>
        <w:adjustRightInd w:val="0"/>
        <w:jc w:val="both"/>
        <w:rPr>
          <w:rFonts w:ascii="Arial" w:hAnsi="Arial" w:cs="Arial"/>
          <w:color w:val="7B7B7B" w:themeColor="accent3" w:themeShade="BF"/>
          <w:sz w:val="22"/>
          <w:szCs w:val="22"/>
          <w:lang w:val="en-GB"/>
        </w:rPr>
      </w:pPr>
    </w:p>
    <w:p w14:paraId="4D07DA53" w14:textId="308D8D7B" w:rsidR="004E3D0B" w:rsidRDefault="004E3D0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Independence of an IP is considered both as a matter of fact and from the perspective of an informed observer. An IP should not accept appointment in connection with an estate if his relationship with the directors or shareholders of the company would give rise to a possible or perceived lack of independence.</w:t>
      </w:r>
    </w:p>
    <w:p w14:paraId="3535B2BB" w14:textId="4CBD7B33" w:rsidR="004E3D0B" w:rsidRDefault="004E3D0B" w:rsidP="00087F21">
      <w:pPr>
        <w:autoSpaceDE w:val="0"/>
        <w:autoSpaceDN w:val="0"/>
        <w:adjustRightInd w:val="0"/>
        <w:jc w:val="both"/>
        <w:rPr>
          <w:rFonts w:ascii="Arial" w:hAnsi="Arial" w:cs="Arial"/>
          <w:color w:val="7B7B7B" w:themeColor="accent3" w:themeShade="BF"/>
          <w:sz w:val="22"/>
          <w:szCs w:val="22"/>
          <w:lang w:val="en-GB"/>
        </w:rPr>
      </w:pPr>
    </w:p>
    <w:p w14:paraId="1C2C2BF2" w14:textId="1A2D2F02" w:rsidR="004E3D0B" w:rsidRDefault="00EA6C47" w:rsidP="00087F21">
      <w:pPr>
        <w:autoSpaceDE w:val="0"/>
        <w:autoSpaceDN w:val="0"/>
        <w:adjustRightInd w:val="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lastRenderedPageBreak/>
        <w:t>The relationship between Mr Relation and Mr B InLaw would, to a fair-minded person, create doubt as to whether Mr Relation would be able to perform his duties in an independent manner. It would therefore have been appropriate for Mr Relation n</w:t>
      </w:r>
      <w:r w:rsidR="003546D5">
        <w:rPr>
          <w:rFonts w:ascii="Arial" w:hAnsi="Arial" w:cs="Arial"/>
          <w:color w:val="7B7B7B" w:themeColor="accent3" w:themeShade="BF"/>
          <w:sz w:val="22"/>
          <w:szCs w:val="22"/>
          <w:lang w:val="en-GB"/>
        </w:rPr>
        <w:t>ot to accept or continue to be A</w:t>
      </w:r>
      <w:r>
        <w:rPr>
          <w:rFonts w:ascii="Arial" w:hAnsi="Arial" w:cs="Arial"/>
          <w:color w:val="7B7B7B" w:themeColor="accent3" w:themeShade="BF"/>
          <w:sz w:val="22"/>
          <w:szCs w:val="22"/>
          <w:lang w:val="en-GB"/>
        </w:rPr>
        <w:t xml:space="preserve">dministrator of WeBuild Ltd (see </w:t>
      </w:r>
      <w:r>
        <w:rPr>
          <w:rFonts w:ascii="Arial" w:hAnsi="Arial" w:cs="Arial"/>
          <w:i/>
          <w:color w:val="7B7B7B" w:themeColor="accent3" w:themeShade="BF"/>
          <w:sz w:val="22"/>
          <w:szCs w:val="22"/>
          <w:lang w:val="en-GB"/>
        </w:rPr>
        <w:t>Commonwealth Bank Australia Vs Irving (1996) 65 FCR 291).</w:t>
      </w:r>
    </w:p>
    <w:p w14:paraId="02C377EB" w14:textId="0818A975" w:rsidR="00EA6C47" w:rsidRDefault="00EA6C47" w:rsidP="00087F21">
      <w:pPr>
        <w:autoSpaceDE w:val="0"/>
        <w:autoSpaceDN w:val="0"/>
        <w:adjustRightInd w:val="0"/>
        <w:jc w:val="both"/>
        <w:rPr>
          <w:rFonts w:ascii="Arial" w:hAnsi="Arial" w:cs="Arial"/>
          <w:i/>
          <w:color w:val="7B7B7B" w:themeColor="accent3" w:themeShade="BF"/>
          <w:sz w:val="22"/>
          <w:szCs w:val="22"/>
          <w:lang w:val="en-GB"/>
        </w:rPr>
      </w:pPr>
    </w:p>
    <w:p w14:paraId="3529A2C7" w14:textId="39073353" w:rsidR="00EA6C47" w:rsidRPr="00EA6C47" w:rsidRDefault="00EA6C4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w:t>
      </w:r>
      <w:r w:rsidR="003546D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Mr Relation’s lack of independence cannot be cured by disclosure or by appointment of an independent joint practitioner or officeholder. Disclosure in this case</w:t>
      </w:r>
      <w:r w:rsidR="003546D5">
        <w:rPr>
          <w:rFonts w:ascii="Arial" w:hAnsi="Arial" w:cs="Arial"/>
          <w:color w:val="7B7B7B" w:themeColor="accent3" w:themeShade="BF"/>
          <w:sz w:val="22"/>
          <w:szCs w:val="22"/>
          <w:lang w:val="en-GB"/>
        </w:rPr>
        <w:t>, by Mr Relation,</w:t>
      </w:r>
      <w:r>
        <w:rPr>
          <w:rFonts w:ascii="Arial" w:hAnsi="Arial" w:cs="Arial"/>
          <w:color w:val="7B7B7B" w:themeColor="accent3" w:themeShade="BF"/>
          <w:sz w:val="22"/>
          <w:szCs w:val="22"/>
          <w:lang w:val="en-GB"/>
        </w:rPr>
        <w:t xml:space="preserve"> does not provide a sufficient safeguard and does not serve as guarantee of impartial and objective conduct by Mr Relation.</w:t>
      </w:r>
    </w:p>
    <w:p w14:paraId="69ABA42A" w14:textId="77777777" w:rsidR="00EA6C47" w:rsidRPr="00EA6C47" w:rsidRDefault="00EA6C47" w:rsidP="00087F21">
      <w:pPr>
        <w:autoSpaceDE w:val="0"/>
        <w:autoSpaceDN w:val="0"/>
        <w:adjustRightInd w:val="0"/>
        <w:jc w:val="both"/>
        <w:rPr>
          <w:rFonts w:ascii="Arial" w:hAnsi="Arial" w:cs="Arial"/>
          <w:i/>
          <w:color w:val="7B7B7B" w:themeColor="accent3" w:themeShade="BF"/>
          <w:sz w:val="22"/>
          <w:szCs w:val="22"/>
          <w:lang w:val="en-GB"/>
        </w:rPr>
      </w:pPr>
    </w:p>
    <w:p w14:paraId="4FB8647B" w14:textId="2BA9A325" w:rsidR="004E3D0B" w:rsidRDefault="002E0270" w:rsidP="00087F21">
      <w:pPr>
        <w:autoSpaceDE w:val="0"/>
        <w:autoSpaceDN w:val="0"/>
        <w:adjustRightInd w:val="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Issue 2</w:t>
      </w:r>
      <w:r w:rsidRPr="004E3D0B">
        <w:rPr>
          <w:rFonts w:ascii="Arial" w:hAnsi="Arial" w:cs="Arial"/>
          <w:b/>
          <w:color w:val="7B7B7B" w:themeColor="accent3" w:themeShade="BF"/>
          <w:sz w:val="22"/>
          <w:szCs w:val="22"/>
          <w:lang w:val="en-GB"/>
        </w:rPr>
        <w:t xml:space="preserve">: </w:t>
      </w:r>
      <w:r>
        <w:rPr>
          <w:rFonts w:ascii="Arial" w:hAnsi="Arial" w:cs="Arial"/>
          <w:b/>
          <w:color w:val="7B7B7B" w:themeColor="accent3" w:themeShade="BF"/>
          <w:sz w:val="22"/>
          <w:szCs w:val="22"/>
          <w:lang w:val="en-GB"/>
        </w:rPr>
        <w:t>Pre-Appointment, Appointment and Subsequent Appointment</w:t>
      </w:r>
    </w:p>
    <w:p w14:paraId="25E493D1" w14:textId="520DD4FB" w:rsidR="002E0270" w:rsidRDefault="002E0270" w:rsidP="00087F21">
      <w:pPr>
        <w:autoSpaceDE w:val="0"/>
        <w:autoSpaceDN w:val="0"/>
        <w:adjustRightInd w:val="0"/>
        <w:jc w:val="both"/>
        <w:rPr>
          <w:rFonts w:ascii="Arial" w:hAnsi="Arial" w:cs="Arial"/>
          <w:b/>
          <w:color w:val="7B7B7B" w:themeColor="accent3" w:themeShade="BF"/>
          <w:sz w:val="22"/>
          <w:szCs w:val="22"/>
          <w:lang w:val="en-GB"/>
        </w:rPr>
      </w:pPr>
    </w:p>
    <w:p w14:paraId="77B08E80" w14:textId="0992D594" w:rsidR="002E0270" w:rsidRDefault="002E027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his appointment Mr Relation was engaged by WeBuild Ltd to provide information and advice</w:t>
      </w:r>
      <w:r w:rsidR="00E76330">
        <w:rPr>
          <w:rFonts w:ascii="Arial" w:hAnsi="Arial" w:cs="Arial"/>
          <w:color w:val="7B7B7B" w:themeColor="accent3" w:themeShade="BF"/>
          <w:sz w:val="22"/>
          <w:szCs w:val="22"/>
          <w:lang w:val="en-GB"/>
        </w:rPr>
        <w:t xml:space="preserve"> on the available </w:t>
      </w:r>
      <w:r>
        <w:rPr>
          <w:rFonts w:ascii="Arial" w:hAnsi="Arial" w:cs="Arial"/>
          <w:color w:val="7B7B7B" w:themeColor="accent3" w:themeShade="BF"/>
          <w:sz w:val="22"/>
          <w:szCs w:val="22"/>
          <w:lang w:val="en-GB"/>
        </w:rPr>
        <w:t>options.</w:t>
      </w:r>
      <w:r w:rsidR="00E76330">
        <w:rPr>
          <w:rFonts w:ascii="Arial" w:hAnsi="Arial" w:cs="Arial"/>
          <w:color w:val="7B7B7B" w:themeColor="accent3" w:themeShade="BF"/>
          <w:sz w:val="22"/>
          <w:szCs w:val="22"/>
          <w:lang w:val="en-GB"/>
        </w:rPr>
        <w:t xml:space="preserve"> Upon his appointment as Administrator, Mr Relation gave assurances to Mr B InLaw and the directors that he would not focus on their personal liability, but would instead focus on saving the company. Subsequently, Mr Relation is appointed the Liquidator of the same company he served as Administrator.</w:t>
      </w:r>
    </w:p>
    <w:p w14:paraId="61184DA1" w14:textId="20F3764A" w:rsidR="00E76330" w:rsidRDefault="00E76330" w:rsidP="00087F21">
      <w:pPr>
        <w:autoSpaceDE w:val="0"/>
        <w:autoSpaceDN w:val="0"/>
        <w:adjustRightInd w:val="0"/>
        <w:jc w:val="both"/>
        <w:rPr>
          <w:rFonts w:ascii="Arial" w:hAnsi="Arial" w:cs="Arial"/>
          <w:color w:val="7B7B7B" w:themeColor="accent3" w:themeShade="BF"/>
          <w:sz w:val="22"/>
          <w:szCs w:val="22"/>
          <w:lang w:val="en-GB"/>
        </w:rPr>
      </w:pPr>
    </w:p>
    <w:p w14:paraId="370DBA0B" w14:textId="1EB734E4" w:rsidR="00E76330" w:rsidRPr="00E76330" w:rsidRDefault="00E76330" w:rsidP="00087F21">
      <w:pPr>
        <w:autoSpaceDE w:val="0"/>
        <w:autoSpaceDN w:val="0"/>
        <w:adjustRightInd w:val="0"/>
        <w:jc w:val="both"/>
        <w:rPr>
          <w:rFonts w:ascii="Arial" w:hAnsi="Arial" w:cs="Arial"/>
          <w:color w:val="7B7B7B" w:themeColor="accent3" w:themeShade="BF"/>
          <w:sz w:val="22"/>
          <w:szCs w:val="22"/>
          <w:lang w:val="en-GB"/>
        </w:rPr>
      </w:pPr>
      <w:r w:rsidRPr="00E76330">
        <w:rPr>
          <w:rFonts w:ascii="Arial" w:hAnsi="Arial" w:cs="Arial"/>
          <w:i/>
          <w:color w:val="7B7B7B" w:themeColor="accent3" w:themeShade="BF"/>
          <w:sz w:val="22"/>
          <w:szCs w:val="22"/>
          <w:lang w:val="en-GB"/>
        </w:rPr>
        <w:t>Ethical Principle</w:t>
      </w:r>
      <w:r>
        <w:rPr>
          <w:rFonts w:ascii="Arial" w:hAnsi="Arial" w:cs="Arial"/>
          <w:i/>
          <w:color w:val="7B7B7B" w:themeColor="accent3" w:themeShade="BF"/>
          <w:sz w:val="22"/>
          <w:szCs w:val="22"/>
          <w:lang w:val="en-GB"/>
        </w:rPr>
        <w:t xml:space="preserve"> -</w:t>
      </w:r>
      <w:r w:rsidRPr="00E76330">
        <w:rPr>
          <w:rFonts w:ascii="Arial" w:hAnsi="Arial" w:cs="Arial"/>
          <w:i/>
          <w:color w:val="7B7B7B" w:themeColor="accent3" w:themeShade="BF"/>
          <w:sz w:val="22"/>
          <w:szCs w:val="22"/>
          <w:lang w:val="en-GB"/>
        </w:rPr>
        <w:t xml:space="preserve"> Objectivity, Independence and Impartiality</w:t>
      </w:r>
      <w:r>
        <w:rPr>
          <w:rFonts w:ascii="Arial" w:hAnsi="Arial" w:cs="Arial"/>
          <w:i/>
          <w:color w:val="7B7B7B" w:themeColor="accent3" w:themeShade="BF"/>
          <w:sz w:val="22"/>
          <w:szCs w:val="22"/>
          <w:lang w:val="en-GB"/>
        </w:rPr>
        <w:t xml:space="preserve"> – </w:t>
      </w:r>
      <w:r>
        <w:rPr>
          <w:rFonts w:ascii="Arial" w:hAnsi="Arial" w:cs="Arial"/>
          <w:color w:val="7B7B7B" w:themeColor="accent3" w:themeShade="BF"/>
          <w:sz w:val="22"/>
          <w:szCs w:val="22"/>
          <w:lang w:val="en-GB"/>
        </w:rPr>
        <w:t>IPs are required to avoid circumstances likely to result in a conflict of interest.</w:t>
      </w:r>
    </w:p>
    <w:p w14:paraId="3B7C9085" w14:textId="78E092D4" w:rsidR="00E76330" w:rsidRDefault="00E76330" w:rsidP="00087F21">
      <w:pPr>
        <w:autoSpaceDE w:val="0"/>
        <w:autoSpaceDN w:val="0"/>
        <w:adjustRightInd w:val="0"/>
        <w:jc w:val="both"/>
        <w:rPr>
          <w:rFonts w:ascii="Arial" w:hAnsi="Arial" w:cs="Arial"/>
          <w:color w:val="7B7B7B" w:themeColor="accent3" w:themeShade="BF"/>
          <w:sz w:val="22"/>
          <w:szCs w:val="22"/>
          <w:lang w:val="en-GB"/>
        </w:rPr>
      </w:pPr>
    </w:p>
    <w:p w14:paraId="5A6DC181" w14:textId="21F4A1E8" w:rsidR="00E76330" w:rsidRPr="00E76330" w:rsidRDefault="00D52DD0" w:rsidP="00087F21">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2.1 </w:t>
      </w:r>
      <w:r w:rsidR="00E76330" w:rsidRPr="00E76330">
        <w:rPr>
          <w:rFonts w:ascii="Arial" w:hAnsi="Arial" w:cs="Arial"/>
          <w:color w:val="7B7B7B" w:themeColor="accent3" w:themeShade="BF"/>
          <w:sz w:val="22"/>
          <w:szCs w:val="22"/>
          <w:u w:val="single"/>
          <w:lang w:val="en-GB"/>
        </w:rPr>
        <w:t>Pre-commencement Involvement</w:t>
      </w:r>
    </w:p>
    <w:p w14:paraId="7BA0FDDD" w14:textId="473B677C" w:rsidR="00E76330" w:rsidRDefault="00E76330" w:rsidP="00087F21">
      <w:pPr>
        <w:autoSpaceDE w:val="0"/>
        <w:autoSpaceDN w:val="0"/>
        <w:adjustRightInd w:val="0"/>
        <w:jc w:val="both"/>
        <w:rPr>
          <w:rFonts w:ascii="Arial" w:hAnsi="Arial" w:cs="Arial"/>
          <w:color w:val="7B7B7B" w:themeColor="accent3" w:themeShade="BF"/>
          <w:sz w:val="22"/>
          <w:szCs w:val="22"/>
          <w:lang w:val="en-GB"/>
        </w:rPr>
      </w:pPr>
    </w:p>
    <w:p w14:paraId="4CFDE952" w14:textId="4D638BBB" w:rsidR="00E76330" w:rsidRDefault="00E7633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consultations often occur between the IP and the company or its stakeholders and constitute a crucial part of the insolvency process. These consultations may create an impression of lack of independence. However, not all forms of contact between the IP and the </w:t>
      </w:r>
      <w:r w:rsidR="00DA259B">
        <w:rPr>
          <w:rFonts w:ascii="Arial" w:hAnsi="Arial" w:cs="Arial"/>
          <w:color w:val="7B7B7B" w:themeColor="accent3" w:themeShade="BF"/>
          <w:sz w:val="22"/>
          <w:szCs w:val="22"/>
          <w:lang w:val="en-GB"/>
        </w:rPr>
        <w:t xml:space="preserve">directors prior to the IP’s appointment would necessarily result in a lack of independence. </w:t>
      </w:r>
    </w:p>
    <w:p w14:paraId="7EF4534E" w14:textId="7C328DA3" w:rsidR="00DA259B" w:rsidRDefault="00DA259B" w:rsidP="00087F21">
      <w:pPr>
        <w:autoSpaceDE w:val="0"/>
        <w:autoSpaceDN w:val="0"/>
        <w:adjustRightInd w:val="0"/>
        <w:jc w:val="both"/>
        <w:rPr>
          <w:rFonts w:ascii="Arial" w:hAnsi="Arial" w:cs="Arial"/>
          <w:color w:val="7B7B7B" w:themeColor="accent3" w:themeShade="BF"/>
          <w:sz w:val="22"/>
          <w:szCs w:val="22"/>
          <w:lang w:val="en-GB"/>
        </w:rPr>
      </w:pPr>
    </w:p>
    <w:p w14:paraId="3A709D6D" w14:textId="2D534887" w:rsidR="00DA259B" w:rsidRDefault="00DA259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the involvement of Mr Relation prior to appointment would not, in and of itself, have impaired his independence as it appeared to be limited to</w:t>
      </w:r>
      <w:r w:rsidR="003546D5">
        <w:rPr>
          <w:rFonts w:ascii="Arial" w:hAnsi="Arial" w:cs="Arial"/>
          <w:color w:val="7B7B7B" w:themeColor="accent3" w:themeShade="BF"/>
          <w:sz w:val="22"/>
          <w:szCs w:val="22"/>
          <w:lang w:val="en-GB"/>
        </w:rPr>
        <w:t xml:space="preserve"> advic</w:t>
      </w:r>
      <w:r>
        <w:rPr>
          <w:rFonts w:ascii="Arial" w:hAnsi="Arial" w:cs="Arial"/>
          <w:color w:val="7B7B7B" w:themeColor="accent3" w:themeShade="BF"/>
          <w:sz w:val="22"/>
          <w:szCs w:val="22"/>
          <w:lang w:val="en-GB"/>
        </w:rPr>
        <w:t xml:space="preserve">e on the company’s financial position, potential insolvency and alternatives to insolvency (see </w:t>
      </w:r>
      <w:r w:rsidRPr="00DA259B">
        <w:rPr>
          <w:rFonts w:ascii="Arial" w:hAnsi="Arial" w:cs="Arial"/>
          <w:i/>
          <w:color w:val="7B7B7B" w:themeColor="accent3" w:themeShade="BF"/>
          <w:sz w:val="22"/>
          <w:szCs w:val="22"/>
          <w:lang w:val="en-GB"/>
        </w:rPr>
        <w:t>Re Korda, Ten Worldwide Holdings Ltd (Admn Apptd) (Recs and Mgrs Apptd) [2017] FCA 914</w:t>
      </w:r>
      <w:r>
        <w:rPr>
          <w:rFonts w:ascii="Arial" w:hAnsi="Arial" w:cs="Arial"/>
          <w:color w:val="7B7B7B" w:themeColor="accent3" w:themeShade="BF"/>
          <w:sz w:val="22"/>
          <w:szCs w:val="22"/>
          <w:lang w:val="en-GB"/>
        </w:rPr>
        <w:t>)</w:t>
      </w:r>
    </w:p>
    <w:p w14:paraId="114581FA" w14:textId="46A0434C" w:rsidR="00E76330" w:rsidRDefault="00E76330" w:rsidP="00087F21">
      <w:pPr>
        <w:autoSpaceDE w:val="0"/>
        <w:autoSpaceDN w:val="0"/>
        <w:adjustRightInd w:val="0"/>
        <w:jc w:val="both"/>
        <w:rPr>
          <w:rFonts w:ascii="Arial" w:hAnsi="Arial" w:cs="Arial"/>
          <w:color w:val="7B7B7B" w:themeColor="accent3" w:themeShade="BF"/>
          <w:sz w:val="22"/>
          <w:szCs w:val="22"/>
          <w:lang w:val="en-GB"/>
        </w:rPr>
      </w:pPr>
    </w:p>
    <w:p w14:paraId="187B4539" w14:textId="72D367E7" w:rsidR="00DA259B" w:rsidRDefault="00D52DD0" w:rsidP="00DA259B">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2.2 </w:t>
      </w:r>
      <w:r w:rsidR="00DA259B">
        <w:rPr>
          <w:rFonts w:ascii="Arial" w:hAnsi="Arial" w:cs="Arial"/>
          <w:color w:val="7B7B7B" w:themeColor="accent3" w:themeShade="BF"/>
          <w:sz w:val="22"/>
          <w:szCs w:val="22"/>
          <w:u w:val="single"/>
          <w:lang w:val="en-GB"/>
        </w:rPr>
        <w:t>Appointment</w:t>
      </w:r>
    </w:p>
    <w:p w14:paraId="362DCF02" w14:textId="5D3027A9" w:rsidR="00DA259B" w:rsidRDefault="00DA259B" w:rsidP="00DA259B">
      <w:pPr>
        <w:autoSpaceDE w:val="0"/>
        <w:autoSpaceDN w:val="0"/>
        <w:adjustRightInd w:val="0"/>
        <w:jc w:val="both"/>
        <w:rPr>
          <w:rFonts w:ascii="Arial" w:hAnsi="Arial" w:cs="Arial"/>
          <w:color w:val="7B7B7B" w:themeColor="accent3" w:themeShade="BF"/>
          <w:sz w:val="22"/>
          <w:szCs w:val="22"/>
          <w:u w:val="single"/>
          <w:lang w:val="en-GB"/>
        </w:rPr>
      </w:pPr>
    </w:p>
    <w:p w14:paraId="1B6E6F3D" w14:textId="077441B9" w:rsidR="00DA259B" w:rsidRDefault="00DA259B" w:rsidP="00DA259B">
      <w:pPr>
        <w:autoSpaceDE w:val="0"/>
        <w:autoSpaceDN w:val="0"/>
        <w:adjustRightInd w:val="0"/>
        <w:jc w:val="both"/>
        <w:rPr>
          <w:rFonts w:ascii="Arial" w:hAnsi="Arial" w:cs="Arial"/>
          <w:color w:val="7B7B7B" w:themeColor="accent3" w:themeShade="BF"/>
          <w:sz w:val="22"/>
          <w:szCs w:val="22"/>
          <w:lang w:val="en-GB"/>
        </w:rPr>
      </w:pPr>
      <w:r w:rsidRPr="00DA259B">
        <w:rPr>
          <w:rFonts w:ascii="Arial" w:hAnsi="Arial" w:cs="Arial"/>
          <w:color w:val="7B7B7B" w:themeColor="accent3" w:themeShade="BF"/>
          <w:sz w:val="22"/>
          <w:szCs w:val="22"/>
          <w:lang w:val="en-GB"/>
        </w:rPr>
        <w:t>Wher</w:t>
      </w:r>
      <w:r>
        <w:rPr>
          <w:rFonts w:ascii="Arial" w:hAnsi="Arial" w:cs="Arial"/>
          <w:color w:val="7B7B7B" w:themeColor="accent3" w:themeShade="BF"/>
          <w:sz w:val="22"/>
          <w:szCs w:val="22"/>
          <w:lang w:val="en-GB"/>
        </w:rPr>
        <w:t>e the IP is appointed by the directors or shareholder, this may lead the appointee to expect that the IP would prioritise their interests. It is thus important for the IP to be alert and aware about his responsibilities in this regard.</w:t>
      </w:r>
    </w:p>
    <w:p w14:paraId="120A123A" w14:textId="73252B2C" w:rsidR="00DA259B" w:rsidRDefault="00DA259B" w:rsidP="00DA259B">
      <w:pPr>
        <w:autoSpaceDE w:val="0"/>
        <w:autoSpaceDN w:val="0"/>
        <w:adjustRightInd w:val="0"/>
        <w:jc w:val="both"/>
        <w:rPr>
          <w:rFonts w:ascii="Arial" w:hAnsi="Arial" w:cs="Arial"/>
          <w:color w:val="7B7B7B" w:themeColor="accent3" w:themeShade="BF"/>
          <w:sz w:val="22"/>
          <w:szCs w:val="22"/>
          <w:lang w:val="en-GB"/>
        </w:rPr>
      </w:pPr>
    </w:p>
    <w:p w14:paraId="73F623C7" w14:textId="04EF3DE3" w:rsidR="00DA259B" w:rsidRDefault="00DA259B" w:rsidP="00DA259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B InLaw informed Mr Relation about his fears of personal liability for breach of duty as a director, when the company continued trading even </w:t>
      </w:r>
      <w:r w:rsidR="00D52DD0">
        <w:rPr>
          <w:rFonts w:ascii="Arial" w:hAnsi="Arial" w:cs="Arial"/>
          <w:color w:val="7B7B7B" w:themeColor="accent3" w:themeShade="BF"/>
          <w:sz w:val="22"/>
          <w:szCs w:val="22"/>
          <w:lang w:val="en-GB"/>
        </w:rPr>
        <w:t>while</w:t>
      </w:r>
      <w:r>
        <w:rPr>
          <w:rFonts w:ascii="Arial" w:hAnsi="Arial" w:cs="Arial"/>
          <w:color w:val="7B7B7B" w:themeColor="accent3" w:themeShade="BF"/>
          <w:sz w:val="22"/>
          <w:szCs w:val="22"/>
          <w:lang w:val="en-GB"/>
        </w:rPr>
        <w:t xml:space="preserve"> the directors were aware about its dire financial situation. Mr Relation breached his duty of independence and imparti</w:t>
      </w:r>
      <w:r w:rsidR="006F017F">
        <w:rPr>
          <w:rFonts w:ascii="Arial" w:hAnsi="Arial" w:cs="Arial"/>
          <w:color w:val="7B7B7B" w:themeColor="accent3" w:themeShade="BF"/>
          <w:sz w:val="22"/>
          <w:szCs w:val="22"/>
          <w:lang w:val="en-GB"/>
        </w:rPr>
        <w:t>ality by giving assurances, to those who appointed him that he would act in their interests.</w:t>
      </w:r>
    </w:p>
    <w:p w14:paraId="6E752B27" w14:textId="77777777" w:rsidR="006F017F" w:rsidRPr="00DA259B" w:rsidRDefault="006F017F" w:rsidP="00DA259B">
      <w:pPr>
        <w:autoSpaceDE w:val="0"/>
        <w:autoSpaceDN w:val="0"/>
        <w:adjustRightInd w:val="0"/>
        <w:jc w:val="both"/>
        <w:rPr>
          <w:rFonts w:ascii="Arial" w:hAnsi="Arial" w:cs="Arial"/>
          <w:color w:val="7B7B7B" w:themeColor="accent3" w:themeShade="BF"/>
          <w:sz w:val="22"/>
          <w:szCs w:val="22"/>
          <w:lang w:val="en-GB"/>
        </w:rPr>
      </w:pPr>
    </w:p>
    <w:p w14:paraId="1F547A77" w14:textId="77777777" w:rsidR="00D52DD0" w:rsidRDefault="006F017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Instead Mr Relation would have been expected to dispel any perception that he would serve </w:t>
      </w:r>
      <w:r w:rsidR="00D52DD0">
        <w:rPr>
          <w:rFonts w:ascii="Arial" w:hAnsi="Arial" w:cs="Arial"/>
          <w:color w:val="7B7B7B" w:themeColor="accent3" w:themeShade="BF"/>
          <w:sz w:val="22"/>
          <w:szCs w:val="22"/>
          <w:lang w:val="en-GB"/>
        </w:rPr>
        <w:t xml:space="preserve">the interests of the directors, </w:t>
      </w:r>
      <w:r>
        <w:rPr>
          <w:rFonts w:ascii="Arial" w:hAnsi="Arial" w:cs="Arial"/>
          <w:color w:val="7B7B7B" w:themeColor="accent3" w:themeShade="BF"/>
          <w:sz w:val="22"/>
          <w:szCs w:val="22"/>
          <w:lang w:val="en-GB"/>
        </w:rPr>
        <w:t>rather</w:t>
      </w:r>
      <w:r w:rsidR="00D52DD0">
        <w:rPr>
          <w:rFonts w:ascii="Arial" w:hAnsi="Arial" w:cs="Arial"/>
          <w:color w:val="7B7B7B" w:themeColor="accent3" w:themeShade="BF"/>
          <w:sz w:val="22"/>
          <w:szCs w:val="22"/>
          <w:lang w:val="en-GB"/>
        </w:rPr>
        <w:t xml:space="preserve"> Mr Relation should have explicitly stated</w:t>
      </w:r>
      <w:r>
        <w:rPr>
          <w:rFonts w:ascii="Arial" w:hAnsi="Arial" w:cs="Arial"/>
          <w:color w:val="7B7B7B" w:themeColor="accent3" w:themeShade="BF"/>
          <w:sz w:val="22"/>
          <w:szCs w:val="22"/>
          <w:lang w:val="en-GB"/>
        </w:rPr>
        <w:t xml:space="preserve"> that his appointment as Administrator was to act in the best interests of all the beneficiaries. </w:t>
      </w:r>
    </w:p>
    <w:p w14:paraId="33BEA55F" w14:textId="77777777" w:rsidR="00D52DD0" w:rsidRDefault="00D52DD0" w:rsidP="00087F21">
      <w:pPr>
        <w:autoSpaceDE w:val="0"/>
        <w:autoSpaceDN w:val="0"/>
        <w:adjustRightInd w:val="0"/>
        <w:jc w:val="both"/>
        <w:rPr>
          <w:rFonts w:ascii="Arial" w:hAnsi="Arial" w:cs="Arial"/>
          <w:color w:val="7B7B7B" w:themeColor="accent3" w:themeShade="BF"/>
          <w:sz w:val="22"/>
          <w:szCs w:val="22"/>
          <w:lang w:val="en-GB"/>
        </w:rPr>
      </w:pPr>
    </w:p>
    <w:p w14:paraId="0D429E91" w14:textId="2FCF034E" w:rsidR="00DA259B" w:rsidRPr="002E0270" w:rsidRDefault="006F017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Mr Relation is unable to take reasonable steps to manage this conflict of interest then he should have declined the appointment.</w:t>
      </w:r>
    </w:p>
    <w:p w14:paraId="7BA2405B" w14:textId="1F0C1AD9" w:rsidR="002E0270" w:rsidRDefault="002E0270" w:rsidP="00087F21">
      <w:pPr>
        <w:autoSpaceDE w:val="0"/>
        <w:autoSpaceDN w:val="0"/>
        <w:adjustRightInd w:val="0"/>
        <w:jc w:val="both"/>
        <w:rPr>
          <w:rFonts w:ascii="Arial" w:hAnsi="Arial" w:cs="Arial"/>
          <w:color w:val="7B7B7B" w:themeColor="accent3" w:themeShade="BF"/>
          <w:sz w:val="22"/>
          <w:szCs w:val="22"/>
          <w:lang w:val="en-GB"/>
        </w:rPr>
      </w:pPr>
    </w:p>
    <w:p w14:paraId="34EB47CE" w14:textId="77777777" w:rsidR="00D52DD0" w:rsidRDefault="00D52DD0">
      <w:pPr>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br w:type="page"/>
      </w:r>
    </w:p>
    <w:p w14:paraId="2E32E771" w14:textId="38FD53B9" w:rsidR="00072B49" w:rsidRDefault="00D52DD0" w:rsidP="00072B49">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lastRenderedPageBreak/>
        <w:t xml:space="preserve">2.3 </w:t>
      </w:r>
      <w:r w:rsidR="00072B49">
        <w:rPr>
          <w:rFonts w:ascii="Arial" w:hAnsi="Arial" w:cs="Arial"/>
          <w:color w:val="7B7B7B" w:themeColor="accent3" w:themeShade="BF"/>
          <w:sz w:val="22"/>
          <w:szCs w:val="22"/>
          <w:u w:val="single"/>
          <w:lang w:val="en-GB"/>
        </w:rPr>
        <w:t xml:space="preserve">Subsequent </w:t>
      </w:r>
      <w:r w:rsidR="00072B49">
        <w:rPr>
          <w:rFonts w:ascii="Arial" w:hAnsi="Arial" w:cs="Arial"/>
          <w:color w:val="7B7B7B" w:themeColor="accent3" w:themeShade="BF"/>
          <w:sz w:val="22"/>
          <w:szCs w:val="22"/>
          <w:u w:val="single"/>
          <w:lang w:val="en-GB"/>
        </w:rPr>
        <w:t>Appointment</w:t>
      </w:r>
    </w:p>
    <w:p w14:paraId="212E134C" w14:textId="69348140" w:rsidR="00072B49" w:rsidRDefault="00072B49" w:rsidP="00072B49">
      <w:pPr>
        <w:autoSpaceDE w:val="0"/>
        <w:autoSpaceDN w:val="0"/>
        <w:adjustRightInd w:val="0"/>
        <w:jc w:val="both"/>
        <w:rPr>
          <w:rFonts w:ascii="Arial" w:hAnsi="Arial" w:cs="Arial"/>
          <w:color w:val="7B7B7B" w:themeColor="accent3" w:themeShade="BF"/>
          <w:sz w:val="22"/>
          <w:szCs w:val="22"/>
          <w:u w:val="single"/>
          <w:lang w:val="en-GB"/>
        </w:rPr>
      </w:pPr>
    </w:p>
    <w:p w14:paraId="1E4F7401" w14:textId="1E2420F1" w:rsidR="00072B49" w:rsidRDefault="00072B49" w:rsidP="00072B49">
      <w:pPr>
        <w:autoSpaceDE w:val="0"/>
        <w:autoSpaceDN w:val="0"/>
        <w:adjustRightInd w:val="0"/>
        <w:jc w:val="both"/>
        <w:rPr>
          <w:rFonts w:ascii="Arial" w:hAnsi="Arial" w:cs="Arial"/>
          <w:color w:val="7B7B7B" w:themeColor="accent3" w:themeShade="BF"/>
          <w:sz w:val="22"/>
          <w:szCs w:val="22"/>
          <w:lang w:val="en-GB"/>
        </w:rPr>
      </w:pPr>
      <w:r w:rsidRPr="00072B49">
        <w:rPr>
          <w:rFonts w:ascii="Arial" w:hAnsi="Arial" w:cs="Arial"/>
          <w:color w:val="7B7B7B" w:themeColor="accent3" w:themeShade="BF"/>
          <w:sz w:val="22"/>
          <w:szCs w:val="22"/>
          <w:lang w:val="en-GB"/>
        </w:rPr>
        <w:t>Mr Relation’s subsequent appointment as a Liquidator</w:t>
      </w:r>
      <w:r>
        <w:rPr>
          <w:rFonts w:ascii="Arial" w:hAnsi="Arial" w:cs="Arial"/>
          <w:color w:val="7B7B7B" w:themeColor="accent3" w:themeShade="BF"/>
          <w:sz w:val="22"/>
          <w:szCs w:val="22"/>
          <w:lang w:val="en-GB"/>
        </w:rPr>
        <w:t xml:space="preserve"> may be permissible in some jurisdictions. Mr Relation would need to determine whether this acceptable or prohibited in Eurafliclia.</w:t>
      </w:r>
    </w:p>
    <w:p w14:paraId="6B1071EC" w14:textId="349D7362" w:rsidR="00072B49" w:rsidRDefault="00072B49" w:rsidP="00072B49">
      <w:pPr>
        <w:autoSpaceDE w:val="0"/>
        <w:autoSpaceDN w:val="0"/>
        <w:adjustRightInd w:val="0"/>
        <w:jc w:val="both"/>
        <w:rPr>
          <w:rFonts w:ascii="Arial" w:hAnsi="Arial" w:cs="Arial"/>
          <w:color w:val="7B7B7B" w:themeColor="accent3" w:themeShade="BF"/>
          <w:sz w:val="22"/>
          <w:szCs w:val="22"/>
          <w:lang w:val="en-GB"/>
        </w:rPr>
      </w:pPr>
    </w:p>
    <w:p w14:paraId="1760461A" w14:textId="44B3D21F" w:rsidR="00072B49" w:rsidRDefault="00072B49" w:rsidP="00072B4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where this permissible, Mr Relation ought to be alive to the potential conflict of interest that may arise and the self-review threat where the Liquidator has to evaluate his services and judgement rendered as an Administrator.</w:t>
      </w:r>
    </w:p>
    <w:p w14:paraId="4190D5B0" w14:textId="065F61A6" w:rsidR="00072B49" w:rsidRDefault="00072B49" w:rsidP="00072B49">
      <w:pPr>
        <w:autoSpaceDE w:val="0"/>
        <w:autoSpaceDN w:val="0"/>
        <w:adjustRightInd w:val="0"/>
        <w:jc w:val="both"/>
        <w:rPr>
          <w:rFonts w:ascii="Arial" w:hAnsi="Arial" w:cs="Arial"/>
          <w:color w:val="7B7B7B" w:themeColor="accent3" w:themeShade="BF"/>
          <w:sz w:val="22"/>
          <w:szCs w:val="22"/>
          <w:lang w:val="en-GB"/>
        </w:rPr>
      </w:pPr>
    </w:p>
    <w:p w14:paraId="1431C984" w14:textId="6CCD34A3" w:rsidR="00072B49" w:rsidRDefault="00072B49" w:rsidP="00072B4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Mr Relation must consider and guard against the self-interest threat that arises where the Administrator may </w:t>
      </w:r>
      <w:r w:rsidR="00D53C2F">
        <w:rPr>
          <w:rFonts w:ascii="Arial" w:hAnsi="Arial" w:cs="Arial"/>
          <w:color w:val="7B7B7B" w:themeColor="accent3" w:themeShade="BF"/>
          <w:sz w:val="22"/>
          <w:szCs w:val="22"/>
          <w:lang w:val="en-GB"/>
        </w:rPr>
        <w:t xml:space="preserve">not put in his best </w:t>
      </w:r>
      <w:r w:rsidR="00D52DD0">
        <w:rPr>
          <w:rFonts w:ascii="Arial" w:hAnsi="Arial" w:cs="Arial"/>
          <w:color w:val="7B7B7B" w:themeColor="accent3" w:themeShade="BF"/>
          <w:sz w:val="22"/>
          <w:szCs w:val="22"/>
          <w:lang w:val="en-GB"/>
        </w:rPr>
        <w:t>effort</w:t>
      </w:r>
      <w:r w:rsidR="00D53C2F">
        <w:rPr>
          <w:rFonts w:ascii="Arial" w:hAnsi="Arial" w:cs="Arial"/>
          <w:color w:val="7B7B7B" w:themeColor="accent3" w:themeShade="BF"/>
          <w:sz w:val="22"/>
          <w:szCs w:val="22"/>
          <w:lang w:val="en-GB"/>
        </w:rPr>
        <w:t xml:space="preserve"> in saving the company due to the fact that he </w:t>
      </w:r>
      <w:r w:rsidR="00D52DD0">
        <w:rPr>
          <w:rFonts w:ascii="Arial" w:hAnsi="Arial" w:cs="Arial"/>
          <w:color w:val="7B7B7B" w:themeColor="accent3" w:themeShade="BF"/>
          <w:sz w:val="22"/>
          <w:szCs w:val="22"/>
          <w:lang w:val="en-GB"/>
        </w:rPr>
        <w:t xml:space="preserve">would be interested in being </w:t>
      </w:r>
      <w:r w:rsidR="00D53C2F">
        <w:rPr>
          <w:rFonts w:ascii="Arial" w:hAnsi="Arial" w:cs="Arial"/>
          <w:color w:val="7B7B7B" w:themeColor="accent3" w:themeShade="BF"/>
          <w:sz w:val="22"/>
          <w:szCs w:val="22"/>
          <w:lang w:val="en-GB"/>
        </w:rPr>
        <w:t>appointed as Liquidator and paid again for the new role.</w:t>
      </w:r>
    </w:p>
    <w:p w14:paraId="063D9861" w14:textId="0835CBE9" w:rsidR="00072B49" w:rsidRDefault="00072B49" w:rsidP="00072B49">
      <w:pPr>
        <w:autoSpaceDE w:val="0"/>
        <w:autoSpaceDN w:val="0"/>
        <w:adjustRightInd w:val="0"/>
        <w:jc w:val="both"/>
        <w:rPr>
          <w:rFonts w:ascii="Arial" w:hAnsi="Arial" w:cs="Arial"/>
          <w:color w:val="7B7B7B" w:themeColor="accent3" w:themeShade="BF"/>
          <w:sz w:val="22"/>
          <w:szCs w:val="22"/>
          <w:lang w:val="en-GB"/>
        </w:rPr>
      </w:pPr>
    </w:p>
    <w:p w14:paraId="08819465" w14:textId="016C3842" w:rsidR="00D52DD0" w:rsidRDefault="00D53C2F" w:rsidP="00072B4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circumstances</w:t>
      </w:r>
      <w:r w:rsidR="00D52DD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Mr Relation </w:t>
      </w:r>
      <w:r w:rsidR="00D52DD0">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resign the appointment. </w:t>
      </w:r>
    </w:p>
    <w:p w14:paraId="0FA45F7F" w14:textId="77777777" w:rsidR="00D52DD0" w:rsidRDefault="00D52DD0" w:rsidP="00072B49">
      <w:pPr>
        <w:autoSpaceDE w:val="0"/>
        <w:autoSpaceDN w:val="0"/>
        <w:adjustRightInd w:val="0"/>
        <w:jc w:val="both"/>
        <w:rPr>
          <w:rFonts w:ascii="Arial" w:hAnsi="Arial" w:cs="Arial"/>
          <w:color w:val="7B7B7B" w:themeColor="accent3" w:themeShade="BF"/>
          <w:sz w:val="22"/>
          <w:szCs w:val="22"/>
          <w:lang w:val="en-GB"/>
        </w:rPr>
      </w:pPr>
    </w:p>
    <w:p w14:paraId="553B0B2D" w14:textId="38362132" w:rsidR="00D53C2F" w:rsidRDefault="00D53C2F" w:rsidP="00072B4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Mr Relation could consider safequards such as:</w:t>
      </w:r>
    </w:p>
    <w:p w14:paraId="12DC619E" w14:textId="3DF6399C" w:rsidR="00072B49" w:rsidRDefault="00D53C2F" w:rsidP="00D53C2F">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sidRPr="00D53C2F">
        <w:rPr>
          <w:rFonts w:ascii="Arial" w:hAnsi="Arial" w:cs="Arial"/>
          <w:color w:val="7B7B7B" w:themeColor="accent3" w:themeShade="BF"/>
          <w:sz w:val="22"/>
          <w:szCs w:val="22"/>
          <w:lang w:val="en-GB"/>
        </w:rPr>
        <w:t>Having an appropriate reviewer</w:t>
      </w:r>
      <w:r w:rsidR="00D52DD0">
        <w:rPr>
          <w:rFonts w:ascii="Arial" w:hAnsi="Arial" w:cs="Arial"/>
          <w:color w:val="7B7B7B" w:themeColor="accent3" w:themeShade="BF"/>
          <w:sz w:val="22"/>
          <w:szCs w:val="22"/>
          <w:lang w:val="en-GB"/>
        </w:rPr>
        <w:t>,</w:t>
      </w:r>
      <w:r w:rsidRPr="00D53C2F">
        <w:rPr>
          <w:rFonts w:ascii="Arial" w:hAnsi="Arial" w:cs="Arial"/>
          <w:color w:val="7B7B7B" w:themeColor="accent3" w:themeShade="BF"/>
          <w:sz w:val="22"/>
          <w:szCs w:val="22"/>
          <w:lang w:val="en-GB"/>
        </w:rPr>
        <w:t xml:space="preserve"> independent of </w:t>
      </w:r>
      <w:r w:rsidR="00D52DD0">
        <w:rPr>
          <w:rFonts w:ascii="Arial" w:hAnsi="Arial" w:cs="Arial"/>
          <w:color w:val="7B7B7B" w:themeColor="accent3" w:themeShade="BF"/>
          <w:sz w:val="22"/>
          <w:szCs w:val="22"/>
          <w:lang w:val="en-GB"/>
        </w:rPr>
        <w:t>his</w:t>
      </w:r>
      <w:r w:rsidRPr="00D53C2F">
        <w:rPr>
          <w:rFonts w:ascii="Arial" w:hAnsi="Arial" w:cs="Arial"/>
          <w:color w:val="7B7B7B" w:themeColor="accent3" w:themeShade="BF"/>
          <w:sz w:val="22"/>
          <w:szCs w:val="22"/>
          <w:lang w:val="en-GB"/>
        </w:rPr>
        <w:t xml:space="preserve"> team, to review the work performed and advise as necessary</w:t>
      </w:r>
      <w:r>
        <w:rPr>
          <w:rFonts w:ascii="Arial" w:hAnsi="Arial" w:cs="Arial"/>
          <w:color w:val="7B7B7B" w:themeColor="accent3" w:themeShade="BF"/>
          <w:sz w:val="22"/>
          <w:szCs w:val="22"/>
          <w:lang w:val="en-GB"/>
        </w:rPr>
        <w:t>; or</w:t>
      </w:r>
    </w:p>
    <w:p w14:paraId="18A400A8" w14:textId="1071CD46" w:rsidR="00D53C2F" w:rsidRDefault="00D53C2F" w:rsidP="00D53C2F">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Involving another IP to perform or re-perform parts of the engagement; and</w:t>
      </w:r>
    </w:p>
    <w:p w14:paraId="07B5815F" w14:textId="4B8C3469" w:rsidR="00D53C2F" w:rsidRPr="00D53C2F" w:rsidRDefault="00D53C2F" w:rsidP="00D53C2F">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Disclose any fees or commission arrangements with WeBuild Ltd.</w:t>
      </w:r>
    </w:p>
    <w:p w14:paraId="2E6EBA58" w14:textId="77777777" w:rsidR="00072B49" w:rsidRDefault="00072B49" w:rsidP="00087F21">
      <w:pPr>
        <w:autoSpaceDE w:val="0"/>
        <w:autoSpaceDN w:val="0"/>
        <w:adjustRightInd w:val="0"/>
        <w:jc w:val="both"/>
        <w:rPr>
          <w:rFonts w:ascii="Arial" w:hAnsi="Arial" w:cs="Arial"/>
          <w:color w:val="7B7B7B" w:themeColor="accent3" w:themeShade="BF"/>
          <w:sz w:val="22"/>
          <w:szCs w:val="22"/>
          <w:lang w:val="en-GB"/>
        </w:rPr>
      </w:pPr>
    </w:p>
    <w:p w14:paraId="38062C59" w14:textId="44D55202" w:rsidR="002E0270" w:rsidRDefault="002E0270" w:rsidP="002E0270">
      <w:pPr>
        <w:autoSpaceDE w:val="0"/>
        <w:autoSpaceDN w:val="0"/>
        <w:adjustRightInd w:val="0"/>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 xml:space="preserve">Issue </w:t>
      </w:r>
      <w:r>
        <w:rPr>
          <w:rFonts w:ascii="Arial" w:hAnsi="Arial" w:cs="Arial"/>
          <w:b/>
          <w:color w:val="7B7B7B" w:themeColor="accent3" w:themeShade="BF"/>
          <w:sz w:val="22"/>
          <w:szCs w:val="22"/>
          <w:lang w:val="en-GB"/>
        </w:rPr>
        <w:t>3</w:t>
      </w:r>
      <w:r w:rsidRPr="004E3D0B">
        <w:rPr>
          <w:rFonts w:ascii="Arial" w:hAnsi="Arial" w:cs="Arial"/>
          <w:b/>
          <w:color w:val="7B7B7B" w:themeColor="accent3" w:themeShade="BF"/>
          <w:sz w:val="22"/>
          <w:szCs w:val="22"/>
          <w:lang w:val="en-GB"/>
        </w:rPr>
        <w:t xml:space="preserve">: </w:t>
      </w:r>
      <w:r>
        <w:rPr>
          <w:rFonts w:ascii="Arial" w:hAnsi="Arial" w:cs="Arial"/>
          <w:b/>
          <w:color w:val="7B7B7B" w:themeColor="accent3" w:themeShade="BF"/>
          <w:sz w:val="22"/>
          <w:szCs w:val="22"/>
          <w:lang w:val="en-GB"/>
        </w:rPr>
        <w:t>Duty of Care, Skill and Diligence</w:t>
      </w:r>
    </w:p>
    <w:p w14:paraId="1CE1DDC7" w14:textId="7ADFED5F" w:rsidR="004E3D0B" w:rsidRDefault="004E3D0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5419C9A" w14:textId="77777777" w:rsidR="00123E31" w:rsidRDefault="00D53C2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Relation conducted a superficial investigation into the affairs of the company and the circumstances leading to the financial difficulties. Mr Relation relied on reports drafted by Mr B InLaw as a basis for his investigation</w:t>
      </w:r>
      <w:r w:rsidR="00123E31">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found</w:t>
      </w:r>
      <w:r w:rsidR="00A86CC7">
        <w:rPr>
          <w:rFonts w:ascii="Arial" w:hAnsi="Arial" w:cs="Arial"/>
          <w:color w:val="7B7B7B" w:themeColor="accent3" w:themeShade="BF"/>
          <w:sz w:val="22"/>
          <w:szCs w:val="22"/>
          <w:lang w:val="en-GB"/>
        </w:rPr>
        <w:t xml:space="preserve"> no evidence of wrongdoing and maladministration by any of the directors.</w:t>
      </w:r>
    </w:p>
    <w:p w14:paraId="092E8ADB" w14:textId="77777777" w:rsidR="00123E31" w:rsidRDefault="00123E31" w:rsidP="00087F21">
      <w:pPr>
        <w:autoSpaceDE w:val="0"/>
        <w:autoSpaceDN w:val="0"/>
        <w:adjustRightInd w:val="0"/>
        <w:jc w:val="both"/>
        <w:rPr>
          <w:rFonts w:ascii="Arial" w:hAnsi="Arial" w:cs="Arial"/>
          <w:color w:val="7B7B7B" w:themeColor="accent3" w:themeShade="BF"/>
          <w:sz w:val="22"/>
          <w:szCs w:val="22"/>
          <w:lang w:val="en-GB"/>
        </w:rPr>
      </w:pPr>
    </w:p>
    <w:p w14:paraId="1B9332DB" w14:textId="024A4A68" w:rsidR="00123E31" w:rsidRDefault="00123E31" w:rsidP="00087F21">
      <w:pPr>
        <w:autoSpaceDE w:val="0"/>
        <w:autoSpaceDN w:val="0"/>
        <w:adjustRightInd w:val="0"/>
        <w:jc w:val="both"/>
        <w:rPr>
          <w:rFonts w:ascii="Arial" w:hAnsi="Arial" w:cs="Arial"/>
          <w:color w:val="7B7B7B" w:themeColor="accent3" w:themeShade="BF"/>
          <w:sz w:val="22"/>
          <w:szCs w:val="22"/>
          <w:lang w:val="en-GB"/>
        </w:rPr>
      </w:pPr>
      <w:r w:rsidRPr="00E76330">
        <w:rPr>
          <w:rFonts w:ascii="Arial" w:hAnsi="Arial" w:cs="Arial"/>
          <w:i/>
          <w:color w:val="7B7B7B" w:themeColor="accent3" w:themeShade="BF"/>
          <w:sz w:val="22"/>
          <w:szCs w:val="22"/>
          <w:lang w:val="en-GB"/>
        </w:rPr>
        <w:t>Ethical Principle</w:t>
      </w:r>
      <w:r>
        <w:rPr>
          <w:rFonts w:ascii="Arial" w:hAnsi="Arial" w:cs="Arial"/>
          <w:i/>
          <w:color w:val="7B7B7B" w:themeColor="accent3" w:themeShade="BF"/>
          <w:sz w:val="22"/>
          <w:szCs w:val="22"/>
          <w:lang w:val="en-GB"/>
        </w:rPr>
        <w:t xml:space="preserve"> </w:t>
      </w:r>
      <w:r>
        <w:rPr>
          <w:rFonts w:ascii="Arial" w:hAnsi="Arial" w:cs="Arial"/>
          <w:i/>
          <w:color w:val="7B7B7B" w:themeColor="accent3" w:themeShade="BF"/>
          <w:sz w:val="22"/>
          <w:szCs w:val="22"/>
          <w:lang w:val="en-GB"/>
        </w:rPr>
        <w:t>–</w:t>
      </w:r>
      <w:r w:rsidRPr="00E76330">
        <w:rPr>
          <w:rFonts w:ascii="Arial" w:hAnsi="Arial" w:cs="Arial"/>
          <w:i/>
          <w:color w:val="7B7B7B" w:themeColor="accent3" w:themeShade="BF"/>
          <w:sz w:val="22"/>
          <w:szCs w:val="22"/>
          <w:lang w:val="en-GB"/>
        </w:rPr>
        <w:t xml:space="preserve"> </w:t>
      </w:r>
      <w:r>
        <w:rPr>
          <w:rFonts w:ascii="Arial" w:hAnsi="Arial" w:cs="Arial"/>
          <w:i/>
          <w:color w:val="7B7B7B" w:themeColor="accent3" w:themeShade="BF"/>
          <w:sz w:val="22"/>
          <w:szCs w:val="22"/>
          <w:lang w:val="en-GB"/>
        </w:rPr>
        <w:t>Professional and Technical Competence</w:t>
      </w:r>
      <w:r w:rsidR="000F245F">
        <w:rPr>
          <w:rFonts w:ascii="Arial" w:hAnsi="Arial" w:cs="Arial"/>
          <w:i/>
          <w:color w:val="7B7B7B" w:themeColor="accent3" w:themeShade="BF"/>
          <w:sz w:val="22"/>
          <w:szCs w:val="22"/>
          <w:lang w:val="en-GB"/>
        </w:rPr>
        <w:t xml:space="preserve"> / Acting with Sufficient Expertise</w:t>
      </w:r>
      <w:r>
        <w:rPr>
          <w:rFonts w:ascii="Arial" w:hAnsi="Arial" w:cs="Arial"/>
          <w:i/>
          <w:color w:val="7B7B7B" w:themeColor="accent3" w:themeShade="BF"/>
          <w:sz w:val="22"/>
          <w:szCs w:val="22"/>
          <w:lang w:val="en-GB"/>
        </w:rPr>
        <w:t xml:space="preserve"> –</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IPs should maintain an acceptable level of professional competence.</w:t>
      </w:r>
    </w:p>
    <w:p w14:paraId="6BCD90D5" w14:textId="77777777" w:rsidR="00123E31" w:rsidRDefault="00123E31" w:rsidP="00087F21">
      <w:pPr>
        <w:autoSpaceDE w:val="0"/>
        <w:autoSpaceDN w:val="0"/>
        <w:adjustRightInd w:val="0"/>
        <w:jc w:val="both"/>
        <w:rPr>
          <w:rFonts w:ascii="Arial" w:hAnsi="Arial" w:cs="Arial"/>
          <w:color w:val="7B7B7B" w:themeColor="accent3" w:themeShade="BF"/>
          <w:sz w:val="22"/>
          <w:szCs w:val="22"/>
          <w:lang w:val="en-GB"/>
        </w:rPr>
      </w:pPr>
    </w:p>
    <w:p w14:paraId="7776D734" w14:textId="77777777" w:rsidR="00D52DD0" w:rsidRDefault="00123E3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ethical principle requires an exceptional level of self-realisation and introspection by the IP. This principle is also closely related to duty of care, skill and diligence. </w:t>
      </w:r>
    </w:p>
    <w:p w14:paraId="46ECB76D" w14:textId="77777777" w:rsidR="00D52DD0" w:rsidRDefault="00D52DD0" w:rsidP="00087F21">
      <w:pPr>
        <w:autoSpaceDE w:val="0"/>
        <w:autoSpaceDN w:val="0"/>
        <w:adjustRightInd w:val="0"/>
        <w:jc w:val="both"/>
        <w:rPr>
          <w:rFonts w:ascii="Arial" w:hAnsi="Arial" w:cs="Arial"/>
          <w:color w:val="7B7B7B" w:themeColor="accent3" w:themeShade="BF"/>
          <w:sz w:val="22"/>
          <w:szCs w:val="22"/>
          <w:lang w:val="en-GB"/>
        </w:rPr>
      </w:pPr>
    </w:p>
    <w:p w14:paraId="6758F4EC" w14:textId="38B305A7" w:rsidR="00123E31" w:rsidRDefault="00123E3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WeBuild Ltd is in financial distress, it is extremely important that Mr Relation does not act recklessly with regard to the affairs and property of the WeBuild Ltd.</w:t>
      </w:r>
    </w:p>
    <w:p w14:paraId="632CE5DA" w14:textId="11BD626A" w:rsidR="00123E31" w:rsidRDefault="00123E31" w:rsidP="00087F21">
      <w:pPr>
        <w:autoSpaceDE w:val="0"/>
        <w:autoSpaceDN w:val="0"/>
        <w:adjustRightInd w:val="0"/>
        <w:jc w:val="both"/>
        <w:rPr>
          <w:rFonts w:ascii="Arial" w:hAnsi="Arial" w:cs="Arial"/>
          <w:color w:val="7B7B7B" w:themeColor="accent3" w:themeShade="BF"/>
          <w:sz w:val="22"/>
          <w:szCs w:val="22"/>
          <w:lang w:val="en-GB"/>
        </w:rPr>
      </w:pPr>
    </w:p>
    <w:p w14:paraId="29754198" w14:textId="23982985" w:rsidR="00123E31" w:rsidRDefault="00123E3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cannot be said to </w:t>
      </w:r>
      <w:r w:rsidR="000F245F">
        <w:rPr>
          <w:rFonts w:ascii="Arial" w:hAnsi="Arial" w:cs="Arial"/>
          <w:color w:val="7B7B7B" w:themeColor="accent3" w:themeShade="BF"/>
          <w:sz w:val="22"/>
          <w:szCs w:val="22"/>
          <w:lang w:val="en-GB"/>
        </w:rPr>
        <w:t>have acted with the necessary care expected of an IP. He did not independently obtain an adequate understanding of the nature of the affairs of WeBuild Ltd. Mr Relation instead relied on the reports drafted by Mr B InLaw who was clearly conflicted on the issue.</w:t>
      </w:r>
    </w:p>
    <w:p w14:paraId="1F441FFB" w14:textId="77777777" w:rsidR="00123E31" w:rsidRDefault="00123E31" w:rsidP="00087F21">
      <w:pPr>
        <w:autoSpaceDE w:val="0"/>
        <w:autoSpaceDN w:val="0"/>
        <w:adjustRightInd w:val="0"/>
        <w:jc w:val="both"/>
        <w:rPr>
          <w:rFonts w:ascii="Arial" w:hAnsi="Arial" w:cs="Arial"/>
          <w:color w:val="7B7B7B" w:themeColor="accent3" w:themeShade="BF"/>
          <w:sz w:val="22"/>
          <w:szCs w:val="22"/>
          <w:lang w:val="en-GB"/>
        </w:rPr>
      </w:pPr>
    </w:p>
    <w:p w14:paraId="626FA5C6" w14:textId="79EBB213" w:rsidR="002D3473" w:rsidRPr="002A37BB" w:rsidRDefault="00156C01"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Owing to breach of this duty of professional competence and due care, Mr Relation ought to decline the appointment.</w:t>
      </w:r>
      <w:r w:rsidR="00AE28CA">
        <w:rPr>
          <w:rFonts w:ascii="Arial" w:hAnsi="Arial" w:cs="Arial"/>
          <w:color w:val="7B7B7B" w:themeColor="accent3" w:themeShade="BF"/>
          <w:sz w:val="22"/>
          <w:szCs w:val="22"/>
          <w:lang w:val="en-GB"/>
        </w:rPr>
        <w:t xml:space="preserve"> In the alternative, Mr Relation should recommend the appointment of </w:t>
      </w:r>
      <w:r w:rsidR="00AE28CA">
        <w:rPr>
          <w:rFonts w:ascii="Arial" w:hAnsi="Arial" w:cs="Arial"/>
          <w:color w:val="7B7B7B" w:themeColor="accent3" w:themeShade="BF"/>
          <w:sz w:val="22"/>
          <w:szCs w:val="22"/>
          <w:lang w:val="en-GB"/>
        </w:rPr>
        <w:t>another IP to perform or re-perform parts of the engagement</w:t>
      </w:r>
      <w:r w:rsidR="00AE28CA">
        <w:rPr>
          <w:rFonts w:ascii="Arial" w:hAnsi="Arial" w:cs="Arial"/>
          <w:color w:val="7B7B7B" w:themeColor="accent3" w:themeShade="BF"/>
          <w:sz w:val="22"/>
          <w:szCs w:val="22"/>
          <w:lang w:val="en-GB"/>
        </w:rPr>
        <w:t>.</w:t>
      </w:r>
      <w:bookmarkStart w:id="1" w:name="_GoBack"/>
      <w:bookmarkEnd w:id="1"/>
      <w:r w:rsidR="002D3473" w:rsidRPr="002A37BB">
        <w:rPr>
          <w:rFonts w:ascii="Arial" w:hAnsi="Arial" w:cs="Arial"/>
          <w:color w:val="7B7B7B" w:themeColor="accent3" w:themeShade="BF"/>
          <w:sz w:val="22"/>
          <w:szCs w:val="22"/>
          <w:lang w:val="en-GB"/>
        </w:rPr>
        <w:t>]</w:t>
      </w:r>
      <w:r w:rsidR="00123E31">
        <w:rPr>
          <w:rFonts w:ascii="Arial" w:hAnsi="Arial" w:cs="Arial"/>
          <w:color w:val="7B7B7B" w:themeColor="accent3" w:themeShade="BF"/>
          <w:sz w:val="22"/>
          <w:szCs w:val="22"/>
          <w:lang w:val="en-GB"/>
        </w:rPr>
        <w:t xml:space="preserve"> </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78222" w14:textId="77777777" w:rsidR="00725FB1" w:rsidRDefault="00725FB1" w:rsidP="00241B44">
      <w:r>
        <w:separator/>
      </w:r>
    </w:p>
  </w:endnote>
  <w:endnote w:type="continuationSeparator" w:id="0">
    <w:p w14:paraId="41D7DEE5" w14:textId="77777777" w:rsidR="00725FB1" w:rsidRDefault="00725F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E3D0B" w:rsidRPr="00FC7B47" w:rsidRDefault="004E3D0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4E3D0B" w:rsidRPr="00FC7B47" w:rsidRDefault="004E3D0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C0CB4C3" w:rsidR="004E3D0B" w:rsidRPr="009B4976" w:rsidRDefault="004E3D0B" w:rsidP="004E3D0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28CA">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75227035" w:rsidR="004E3D0B" w:rsidRPr="009B4976" w:rsidRDefault="004E3D0B" w:rsidP="009B4976">
    <w:pPr>
      <w:pStyle w:val="Footer"/>
      <w:ind w:right="360"/>
      <w:rPr>
        <w:rFonts w:ascii="Arial" w:hAnsi="Arial" w:cs="Arial"/>
        <w:sz w:val="18"/>
        <w:szCs w:val="18"/>
        <w:lang w:val="en-GB"/>
      </w:rPr>
    </w:pPr>
    <w:r>
      <w:rPr>
        <w:rFonts w:ascii="Arial" w:hAnsi="Arial" w:cs="Arial"/>
        <w:sz w:val="18"/>
        <w:szCs w:val="18"/>
        <w:lang w:val="en-GB"/>
      </w:rPr>
      <w:t>202021IFU-212</w:t>
    </w:r>
    <w:r w:rsidRPr="009B4976">
      <w:rPr>
        <w:rFonts w:ascii="Arial" w:hAnsi="Arial" w:cs="Arial"/>
        <w:sz w:val="18"/>
        <w:szCs w:val="18"/>
        <w:lang w:val="en-GB"/>
      </w:rPr>
      <w:t>.assessment</w:t>
    </w:r>
    <w:r>
      <w:rPr>
        <w:rFonts w:ascii="Arial" w:hAnsi="Arial" w:cs="Arial"/>
        <w:sz w:val="18"/>
        <w:szCs w:val="18"/>
        <w:lang w:val="en-GB"/>
      </w:rPr>
      <w:t>9.docx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2721" w14:textId="77777777" w:rsidR="00725FB1" w:rsidRDefault="00725FB1" w:rsidP="00241B44">
      <w:r>
        <w:separator/>
      </w:r>
    </w:p>
  </w:footnote>
  <w:footnote w:type="continuationSeparator" w:id="0">
    <w:p w14:paraId="71629352" w14:textId="77777777" w:rsidR="00725FB1" w:rsidRDefault="00725FB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0D70"/>
    <w:multiLevelType w:val="hybridMultilevel"/>
    <w:tmpl w:val="3AE4A0E0"/>
    <w:lvl w:ilvl="0" w:tplc="0B0871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4CB1"/>
    <w:multiLevelType w:val="hybridMultilevel"/>
    <w:tmpl w:val="6EA41676"/>
    <w:lvl w:ilvl="0" w:tplc="43BC09A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6C7A4B"/>
    <w:multiLevelType w:val="hybridMultilevel"/>
    <w:tmpl w:val="4DBA727E"/>
    <w:lvl w:ilvl="0" w:tplc="76F299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723BA"/>
    <w:multiLevelType w:val="hybridMultilevel"/>
    <w:tmpl w:val="26E80308"/>
    <w:lvl w:ilvl="0" w:tplc="B3EAB1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47E84"/>
    <w:multiLevelType w:val="hybridMultilevel"/>
    <w:tmpl w:val="593A96CC"/>
    <w:lvl w:ilvl="0" w:tplc="177EAC94">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2"/>
  </w:num>
  <w:num w:numId="5">
    <w:abstractNumId w:val="22"/>
  </w:num>
  <w:num w:numId="6">
    <w:abstractNumId w:val="23"/>
  </w:num>
  <w:num w:numId="7">
    <w:abstractNumId w:val="24"/>
  </w:num>
  <w:num w:numId="8">
    <w:abstractNumId w:val="19"/>
  </w:num>
  <w:num w:numId="9">
    <w:abstractNumId w:val="14"/>
  </w:num>
  <w:num w:numId="10">
    <w:abstractNumId w:val="4"/>
  </w:num>
  <w:num w:numId="11">
    <w:abstractNumId w:val="9"/>
  </w:num>
  <w:num w:numId="12">
    <w:abstractNumId w:val="8"/>
  </w:num>
  <w:num w:numId="13">
    <w:abstractNumId w:val="18"/>
  </w:num>
  <w:num w:numId="14">
    <w:abstractNumId w:val="3"/>
  </w:num>
  <w:num w:numId="15">
    <w:abstractNumId w:val="11"/>
  </w:num>
  <w:num w:numId="16">
    <w:abstractNumId w:val="16"/>
  </w:num>
  <w:num w:numId="17">
    <w:abstractNumId w:val="0"/>
  </w:num>
  <w:num w:numId="18">
    <w:abstractNumId w:val="20"/>
  </w:num>
  <w:num w:numId="19">
    <w:abstractNumId w:val="15"/>
  </w:num>
  <w:num w:numId="20">
    <w:abstractNumId w:val="2"/>
  </w:num>
  <w:num w:numId="21">
    <w:abstractNumId w:val="21"/>
  </w:num>
  <w:num w:numId="22">
    <w:abstractNumId w:val="5"/>
  </w:num>
  <w:num w:numId="23">
    <w:abstractNumId w:val="6"/>
  </w:num>
  <w:num w:numId="24">
    <w:abstractNumId w:val="17"/>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2B49"/>
    <w:rsid w:val="000756F8"/>
    <w:rsid w:val="00076A9F"/>
    <w:rsid w:val="00082609"/>
    <w:rsid w:val="000851CC"/>
    <w:rsid w:val="00087F21"/>
    <w:rsid w:val="00093BE8"/>
    <w:rsid w:val="000A407B"/>
    <w:rsid w:val="000A46AA"/>
    <w:rsid w:val="000A68ED"/>
    <w:rsid w:val="000B14BB"/>
    <w:rsid w:val="000B5FF1"/>
    <w:rsid w:val="000B609F"/>
    <w:rsid w:val="000C1A8B"/>
    <w:rsid w:val="000D55A8"/>
    <w:rsid w:val="000E4841"/>
    <w:rsid w:val="000F1677"/>
    <w:rsid w:val="000F245F"/>
    <w:rsid w:val="000F3D6C"/>
    <w:rsid w:val="00101707"/>
    <w:rsid w:val="00102CC9"/>
    <w:rsid w:val="0010593A"/>
    <w:rsid w:val="0011473D"/>
    <w:rsid w:val="00115C85"/>
    <w:rsid w:val="00123493"/>
    <w:rsid w:val="00123855"/>
    <w:rsid w:val="00123E31"/>
    <w:rsid w:val="00126A4D"/>
    <w:rsid w:val="00132584"/>
    <w:rsid w:val="0014171F"/>
    <w:rsid w:val="0014622C"/>
    <w:rsid w:val="001478F8"/>
    <w:rsid w:val="00152348"/>
    <w:rsid w:val="0015456D"/>
    <w:rsid w:val="00155FA2"/>
    <w:rsid w:val="00156C01"/>
    <w:rsid w:val="00161F1B"/>
    <w:rsid w:val="00162829"/>
    <w:rsid w:val="00180548"/>
    <w:rsid w:val="00180AC4"/>
    <w:rsid w:val="00180CCE"/>
    <w:rsid w:val="0018267A"/>
    <w:rsid w:val="00182779"/>
    <w:rsid w:val="001830DF"/>
    <w:rsid w:val="00186F43"/>
    <w:rsid w:val="001966D9"/>
    <w:rsid w:val="001A007A"/>
    <w:rsid w:val="001A7E9A"/>
    <w:rsid w:val="001B0F70"/>
    <w:rsid w:val="001B5016"/>
    <w:rsid w:val="001C45FC"/>
    <w:rsid w:val="001C4E45"/>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18E"/>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D487C"/>
    <w:rsid w:val="002E0270"/>
    <w:rsid w:val="002E2B14"/>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546D5"/>
    <w:rsid w:val="00361A0A"/>
    <w:rsid w:val="00364836"/>
    <w:rsid w:val="0036565C"/>
    <w:rsid w:val="00365AAB"/>
    <w:rsid w:val="0036625E"/>
    <w:rsid w:val="0037465A"/>
    <w:rsid w:val="00382C98"/>
    <w:rsid w:val="0038533C"/>
    <w:rsid w:val="00386568"/>
    <w:rsid w:val="00390B57"/>
    <w:rsid w:val="00391384"/>
    <w:rsid w:val="003948D5"/>
    <w:rsid w:val="00396821"/>
    <w:rsid w:val="00397D3A"/>
    <w:rsid w:val="003A051E"/>
    <w:rsid w:val="003A24C4"/>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3D0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4DC2"/>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017F"/>
    <w:rsid w:val="006F4A78"/>
    <w:rsid w:val="006F734A"/>
    <w:rsid w:val="00700D83"/>
    <w:rsid w:val="00701CCC"/>
    <w:rsid w:val="00704852"/>
    <w:rsid w:val="007074E9"/>
    <w:rsid w:val="00713DA4"/>
    <w:rsid w:val="00714BF1"/>
    <w:rsid w:val="00721383"/>
    <w:rsid w:val="00725FB1"/>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B6401"/>
    <w:rsid w:val="007C1FCC"/>
    <w:rsid w:val="007C6201"/>
    <w:rsid w:val="007D7C92"/>
    <w:rsid w:val="007E1154"/>
    <w:rsid w:val="007E6BA4"/>
    <w:rsid w:val="007F41F8"/>
    <w:rsid w:val="007F659B"/>
    <w:rsid w:val="0080454E"/>
    <w:rsid w:val="00804C32"/>
    <w:rsid w:val="00805F6E"/>
    <w:rsid w:val="00806302"/>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015D"/>
    <w:rsid w:val="00A5117B"/>
    <w:rsid w:val="00A56D34"/>
    <w:rsid w:val="00A60074"/>
    <w:rsid w:val="00A62A31"/>
    <w:rsid w:val="00A6627C"/>
    <w:rsid w:val="00A71019"/>
    <w:rsid w:val="00A81029"/>
    <w:rsid w:val="00A845F5"/>
    <w:rsid w:val="00A86CC7"/>
    <w:rsid w:val="00A96489"/>
    <w:rsid w:val="00AB2425"/>
    <w:rsid w:val="00AB685C"/>
    <w:rsid w:val="00AB6C2D"/>
    <w:rsid w:val="00AC08F7"/>
    <w:rsid w:val="00AC2807"/>
    <w:rsid w:val="00AC3839"/>
    <w:rsid w:val="00AC7082"/>
    <w:rsid w:val="00AD4BE8"/>
    <w:rsid w:val="00AE28CA"/>
    <w:rsid w:val="00AF228E"/>
    <w:rsid w:val="00B016A8"/>
    <w:rsid w:val="00B14819"/>
    <w:rsid w:val="00B15E2F"/>
    <w:rsid w:val="00B17AA9"/>
    <w:rsid w:val="00B44713"/>
    <w:rsid w:val="00B51B95"/>
    <w:rsid w:val="00B56103"/>
    <w:rsid w:val="00B64929"/>
    <w:rsid w:val="00B728F7"/>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0A4A"/>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668E"/>
    <w:rsid w:val="00C8712A"/>
    <w:rsid w:val="00C902C8"/>
    <w:rsid w:val="00C919D1"/>
    <w:rsid w:val="00C963D3"/>
    <w:rsid w:val="00CB1983"/>
    <w:rsid w:val="00CB2CBB"/>
    <w:rsid w:val="00CB7CAC"/>
    <w:rsid w:val="00CC0CBF"/>
    <w:rsid w:val="00CC5335"/>
    <w:rsid w:val="00CC5BA4"/>
    <w:rsid w:val="00CD4998"/>
    <w:rsid w:val="00CE1035"/>
    <w:rsid w:val="00CE6E50"/>
    <w:rsid w:val="00CF03DA"/>
    <w:rsid w:val="00CF2819"/>
    <w:rsid w:val="00CF4F9D"/>
    <w:rsid w:val="00CF70DC"/>
    <w:rsid w:val="00D148DC"/>
    <w:rsid w:val="00D17FDC"/>
    <w:rsid w:val="00D21D8C"/>
    <w:rsid w:val="00D52DD0"/>
    <w:rsid w:val="00D53719"/>
    <w:rsid w:val="00D53C2F"/>
    <w:rsid w:val="00D63EFD"/>
    <w:rsid w:val="00D84752"/>
    <w:rsid w:val="00D86B3B"/>
    <w:rsid w:val="00D8748A"/>
    <w:rsid w:val="00D92E38"/>
    <w:rsid w:val="00D93196"/>
    <w:rsid w:val="00DA0DC0"/>
    <w:rsid w:val="00DA259B"/>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6330"/>
    <w:rsid w:val="00E77C3D"/>
    <w:rsid w:val="00E90991"/>
    <w:rsid w:val="00E909F0"/>
    <w:rsid w:val="00E90D47"/>
    <w:rsid w:val="00E93993"/>
    <w:rsid w:val="00E9597C"/>
    <w:rsid w:val="00EA0913"/>
    <w:rsid w:val="00EA5B00"/>
    <w:rsid w:val="00EA6C47"/>
    <w:rsid w:val="00EB146B"/>
    <w:rsid w:val="00EB31DF"/>
    <w:rsid w:val="00EB45AC"/>
    <w:rsid w:val="00EB6801"/>
    <w:rsid w:val="00EC438A"/>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82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fontstyle01">
    <w:name w:val="fontstyle01"/>
    <w:basedOn w:val="DefaultParagraphFont"/>
    <w:rsid w:val="00123493"/>
    <w:rPr>
      <w:rFonts w:ascii="ArialMT" w:hAnsi="ArialMT" w:hint="default"/>
      <w:b w:val="0"/>
      <w:bCs w:val="0"/>
      <w:i w:val="0"/>
      <w:iCs w:val="0"/>
      <w:color w:val="000000"/>
      <w:sz w:val="22"/>
      <w:szCs w:val="22"/>
    </w:rPr>
  </w:style>
  <w:style w:type="character" w:customStyle="1" w:styleId="fontstyle21">
    <w:name w:val="fontstyle21"/>
    <w:basedOn w:val="DefaultParagraphFont"/>
    <w:rsid w:val="00123493"/>
    <w:rPr>
      <w:rFonts w:ascii="SymbolMT" w:hAnsi="SymbolMT" w:hint="default"/>
      <w:b w:val="0"/>
      <w:bCs w:val="0"/>
      <w:i w:val="0"/>
      <w:iCs w:val="0"/>
      <w:color w:val="000000"/>
      <w:sz w:val="22"/>
      <w:szCs w:val="22"/>
    </w:rPr>
  </w:style>
  <w:style w:type="character" w:customStyle="1" w:styleId="fontstyle31">
    <w:name w:val="fontstyle31"/>
    <w:basedOn w:val="DefaultParagraphFont"/>
    <w:rsid w:val="005B4DC2"/>
    <w:rPr>
      <w:rFonts w:ascii="VerdanaItalic" w:hAnsi="Verdana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A256-8C93-42B7-A02F-633F650D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12</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Omona</cp:lastModifiedBy>
  <cp:revision>50</cp:revision>
  <cp:lastPrinted>2019-08-27T05:42:00Z</cp:lastPrinted>
  <dcterms:created xsi:type="dcterms:W3CDTF">2020-12-11T11:56:00Z</dcterms:created>
  <dcterms:modified xsi:type="dcterms:W3CDTF">2021-07-25T20:46:00Z</dcterms:modified>
</cp:coreProperties>
</file>