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617C2B" w:rsidP="00592F82">
      <w:pPr>
        <w:jc w:val="center"/>
        <w:rPr>
          <w:rFonts w:ascii="Arial" w:hAnsi="Arial" w:cs="Arial"/>
          <w:b/>
          <w:sz w:val="22"/>
          <w:szCs w:val="22"/>
          <w:lang w:val="en-GB"/>
        </w:rPr>
      </w:pPr>
    </w:p>
    <w:p w14:paraId="7579FDD6" w14:textId="77777777" w:rsidR="00397D3A" w:rsidRDefault="00617C2B" w:rsidP="00592F82">
      <w:pPr>
        <w:jc w:val="center"/>
        <w:rPr>
          <w:rFonts w:ascii="Arial" w:hAnsi="Arial" w:cs="Arial"/>
          <w:b/>
          <w:sz w:val="22"/>
          <w:szCs w:val="22"/>
          <w:lang w:val="en-GB"/>
        </w:rPr>
      </w:pPr>
    </w:p>
    <w:p w14:paraId="640BE849" w14:textId="77777777" w:rsidR="00437297" w:rsidRDefault="00617C2B" w:rsidP="00592F82">
      <w:pPr>
        <w:jc w:val="center"/>
        <w:rPr>
          <w:rFonts w:ascii="Arial" w:hAnsi="Arial" w:cs="Arial"/>
          <w:b/>
          <w:sz w:val="22"/>
          <w:szCs w:val="22"/>
          <w:lang w:val="en-GB"/>
        </w:rPr>
      </w:pPr>
    </w:p>
    <w:p w14:paraId="37DB27F0" w14:textId="77777777" w:rsidR="00437297" w:rsidRDefault="00617C2B" w:rsidP="00592F82">
      <w:pPr>
        <w:jc w:val="center"/>
        <w:rPr>
          <w:rFonts w:ascii="Arial" w:hAnsi="Arial" w:cs="Arial"/>
          <w:b/>
          <w:sz w:val="22"/>
          <w:szCs w:val="22"/>
          <w:lang w:val="en-GB"/>
        </w:rPr>
      </w:pPr>
    </w:p>
    <w:p w14:paraId="6D97FFD8" w14:textId="77777777" w:rsidR="00397D3A" w:rsidRDefault="00617C2B" w:rsidP="00592F82">
      <w:pPr>
        <w:jc w:val="center"/>
        <w:rPr>
          <w:rFonts w:ascii="Arial" w:hAnsi="Arial" w:cs="Arial"/>
          <w:b/>
          <w:sz w:val="22"/>
          <w:szCs w:val="22"/>
          <w:lang w:val="en-GB"/>
        </w:rPr>
      </w:pPr>
    </w:p>
    <w:p w14:paraId="7B3F039E" w14:textId="77777777" w:rsidR="00397D3A" w:rsidRDefault="00617C2B" w:rsidP="00592F82">
      <w:pPr>
        <w:jc w:val="center"/>
        <w:rPr>
          <w:rFonts w:ascii="Arial" w:hAnsi="Arial" w:cs="Arial"/>
          <w:b/>
          <w:sz w:val="22"/>
          <w:szCs w:val="22"/>
          <w:lang w:val="en-GB"/>
        </w:rPr>
      </w:pPr>
    </w:p>
    <w:p w14:paraId="3B7AB1DF" w14:textId="77777777" w:rsidR="00E93993" w:rsidRDefault="00617C2B" w:rsidP="00592F82">
      <w:pPr>
        <w:jc w:val="center"/>
        <w:rPr>
          <w:rFonts w:ascii="Arial" w:hAnsi="Arial" w:cs="Arial"/>
          <w:b/>
          <w:sz w:val="22"/>
          <w:szCs w:val="22"/>
          <w:lang w:val="en-GB"/>
        </w:rPr>
      </w:pPr>
    </w:p>
    <w:p w14:paraId="6D067A05" w14:textId="77777777" w:rsidR="00434A8C" w:rsidRDefault="00617C2B"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617C2B"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617C2B"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617C2B" w:rsidP="00592F82">
      <w:pPr>
        <w:jc w:val="center"/>
        <w:rPr>
          <w:rFonts w:ascii="Arial" w:hAnsi="Arial" w:cs="Arial"/>
          <w:b/>
          <w:color w:val="000000"/>
          <w:sz w:val="22"/>
          <w:szCs w:val="22"/>
          <w:lang w:val="en-GB"/>
        </w:rPr>
      </w:pPr>
    </w:p>
    <w:p w14:paraId="4276954A" w14:textId="77777777" w:rsidR="00E93993" w:rsidRDefault="00617C2B" w:rsidP="00592F82">
      <w:pPr>
        <w:jc w:val="center"/>
        <w:rPr>
          <w:rFonts w:ascii="Arial" w:hAnsi="Arial" w:cs="Arial"/>
          <w:b/>
          <w:color w:val="000000"/>
          <w:sz w:val="22"/>
          <w:szCs w:val="22"/>
          <w:lang w:val="en-GB"/>
        </w:rPr>
      </w:pPr>
    </w:p>
    <w:p w14:paraId="5A4A06A2" w14:textId="77777777" w:rsidR="00397D3A" w:rsidRDefault="00617C2B" w:rsidP="00592F82">
      <w:pPr>
        <w:jc w:val="center"/>
        <w:rPr>
          <w:rFonts w:ascii="Arial" w:hAnsi="Arial" w:cs="Arial"/>
          <w:b/>
          <w:color w:val="000000"/>
          <w:sz w:val="22"/>
          <w:szCs w:val="22"/>
          <w:lang w:val="en-GB"/>
        </w:rPr>
      </w:pPr>
    </w:p>
    <w:p w14:paraId="64ED4B04" w14:textId="77777777" w:rsidR="00397D3A" w:rsidRDefault="00617C2B" w:rsidP="00592F82">
      <w:pPr>
        <w:jc w:val="center"/>
        <w:rPr>
          <w:rFonts w:ascii="Arial" w:hAnsi="Arial" w:cs="Arial"/>
          <w:b/>
          <w:color w:val="000000"/>
          <w:sz w:val="22"/>
          <w:szCs w:val="22"/>
          <w:lang w:val="en-GB"/>
        </w:rPr>
      </w:pPr>
    </w:p>
    <w:p w14:paraId="7E63D44E" w14:textId="77777777" w:rsidR="00437297" w:rsidRDefault="00617C2B" w:rsidP="00592F82">
      <w:pPr>
        <w:jc w:val="center"/>
        <w:rPr>
          <w:rFonts w:ascii="Arial" w:hAnsi="Arial" w:cs="Arial"/>
          <w:b/>
          <w:color w:val="000000"/>
          <w:sz w:val="22"/>
          <w:szCs w:val="22"/>
          <w:lang w:val="en-GB"/>
        </w:rPr>
      </w:pPr>
    </w:p>
    <w:p w14:paraId="56D4BE34" w14:textId="77777777" w:rsidR="00397D3A" w:rsidRDefault="00617C2B" w:rsidP="00592F82">
      <w:pPr>
        <w:jc w:val="center"/>
        <w:rPr>
          <w:rFonts w:ascii="Arial" w:hAnsi="Arial" w:cs="Arial"/>
          <w:b/>
          <w:color w:val="000000"/>
          <w:sz w:val="22"/>
          <w:szCs w:val="22"/>
          <w:lang w:val="en-GB"/>
        </w:rPr>
      </w:pPr>
    </w:p>
    <w:p w14:paraId="3A91B31F" w14:textId="77777777" w:rsidR="00397D3A" w:rsidRDefault="00617C2B" w:rsidP="00592F82">
      <w:pPr>
        <w:jc w:val="center"/>
        <w:rPr>
          <w:rFonts w:ascii="Arial" w:hAnsi="Arial" w:cs="Arial"/>
          <w:b/>
          <w:color w:val="000000"/>
          <w:sz w:val="22"/>
          <w:szCs w:val="22"/>
          <w:lang w:val="en-GB"/>
        </w:rPr>
      </w:pPr>
    </w:p>
    <w:p w14:paraId="02918B20" w14:textId="77777777" w:rsidR="00DB56F2" w:rsidRDefault="00617C2B"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617C2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617C2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617C2B"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617C2B" w:rsidP="007C6201">
      <w:pPr>
        <w:jc w:val="both"/>
        <w:rPr>
          <w:rFonts w:ascii="Arial" w:hAnsi="Arial" w:cs="Arial"/>
          <w:b/>
          <w:color w:val="767171"/>
          <w:sz w:val="22"/>
          <w:szCs w:val="22"/>
          <w:lang w:val="en-GB"/>
        </w:rPr>
      </w:pPr>
    </w:p>
    <w:p w14:paraId="473EBBAB" w14:textId="77777777" w:rsidR="00DB56F2" w:rsidRDefault="00617C2B" w:rsidP="007C6201">
      <w:pPr>
        <w:jc w:val="both"/>
        <w:rPr>
          <w:rFonts w:ascii="Arial" w:hAnsi="Arial" w:cs="Arial"/>
          <w:b/>
          <w:color w:val="767171"/>
          <w:sz w:val="22"/>
          <w:szCs w:val="22"/>
          <w:lang w:val="en-GB"/>
        </w:rPr>
      </w:pPr>
    </w:p>
    <w:p w14:paraId="4CB26B82" w14:textId="77777777" w:rsidR="00397D3A" w:rsidRDefault="00617C2B" w:rsidP="007C6201">
      <w:pPr>
        <w:jc w:val="both"/>
        <w:rPr>
          <w:rFonts w:ascii="Arial" w:hAnsi="Arial" w:cs="Arial"/>
          <w:b/>
          <w:color w:val="767171"/>
          <w:sz w:val="22"/>
          <w:szCs w:val="22"/>
          <w:lang w:val="en-GB"/>
        </w:rPr>
      </w:pPr>
    </w:p>
    <w:p w14:paraId="73D332A4" w14:textId="77777777" w:rsidR="00397D3A" w:rsidRDefault="00617C2B" w:rsidP="007C6201">
      <w:pPr>
        <w:jc w:val="both"/>
        <w:rPr>
          <w:rFonts w:ascii="Arial" w:hAnsi="Arial" w:cs="Arial"/>
          <w:b/>
          <w:color w:val="767171"/>
          <w:sz w:val="22"/>
          <w:szCs w:val="22"/>
          <w:lang w:val="en-GB"/>
        </w:rPr>
      </w:pPr>
    </w:p>
    <w:p w14:paraId="084AA44F" w14:textId="77777777" w:rsidR="00397D3A" w:rsidRDefault="00617C2B" w:rsidP="007C6201">
      <w:pPr>
        <w:jc w:val="both"/>
        <w:rPr>
          <w:rFonts w:ascii="Arial" w:hAnsi="Arial" w:cs="Arial"/>
          <w:b/>
          <w:color w:val="767171"/>
          <w:sz w:val="22"/>
          <w:szCs w:val="22"/>
          <w:lang w:val="en-GB"/>
        </w:rPr>
      </w:pPr>
    </w:p>
    <w:p w14:paraId="328E1F60" w14:textId="77777777" w:rsidR="00397D3A" w:rsidRDefault="00617C2B" w:rsidP="007C6201">
      <w:pPr>
        <w:jc w:val="both"/>
        <w:rPr>
          <w:rFonts w:ascii="Arial" w:hAnsi="Arial" w:cs="Arial"/>
          <w:b/>
          <w:color w:val="767171"/>
          <w:sz w:val="22"/>
          <w:szCs w:val="22"/>
          <w:lang w:val="en-GB"/>
        </w:rPr>
      </w:pPr>
    </w:p>
    <w:p w14:paraId="115673F4" w14:textId="77777777" w:rsidR="00397D3A" w:rsidRDefault="00617C2B" w:rsidP="007C6201">
      <w:pPr>
        <w:jc w:val="both"/>
        <w:rPr>
          <w:rFonts w:ascii="Arial" w:hAnsi="Arial" w:cs="Arial"/>
          <w:b/>
          <w:color w:val="767171"/>
          <w:sz w:val="22"/>
          <w:szCs w:val="22"/>
          <w:lang w:val="en-GB"/>
        </w:rPr>
      </w:pPr>
    </w:p>
    <w:p w14:paraId="3CAB1575" w14:textId="77777777" w:rsidR="00397D3A" w:rsidRDefault="00617C2B" w:rsidP="007C6201">
      <w:pPr>
        <w:jc w:val="both"/>
        <w:rPr>
          <w:rFonts w:ascii="Arial" w:hAnsi="Arial" w:cs="Arial"/>
          <w:b/>
          <w:color w:val="767171"/>
          <w:sz w:val="22"/>
          <w:szCs w:val="22"/>
          <w:lang w:val="en-GB"/>
        </w:rPr>
      </w:pPr>
    </w:p>
    <w:p w14:paraId="0A62FDBA" w14:textId="77777777" w:rsidR="00397D3A" w:rsidRDefault="00617C2B"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617C2B" w:rsidP="009D0811">
      <w:pPr>
        <w:jc w:val="center"/>
        <w:rPr>
          <w:rFonts w:ascii="Arial" w:hAnsi="Arial" w:cs="Arial"/>
          <w:b/>
          <w:sz w:val="22"/>
          <w:szCs w:val="22"/>
          <w:u w:val="single"/>
          <w:lang w:val="en-GB"/>
        </w:rPr>
      </w:pPr>
    </w:p>
    <w:p w14:paraId="4EE58D1C" w14:textId="77777777" w:rsidR="00AA5E84" w:rsidRPr="00D80DC2" w:rsidRDefault="00617C2B"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617C2B" w:rsidP="00592F82">
      <w:pPr>
        <w:jc w:val="both"/>
        <w:rPr>
          <w:rFonts w:ascii="Arial" w:hAnsi="Arial" w:cs="Arial"/>
          <w:sz w:val="22"/>
          <w:szCs w:val="22"/>
          <w:lang w:val="en-GB"/>
        </w:rPr>
      </w:pPr>
    </w:p>
    <w:p w14:paraId="5E1FFA25" w14:textId="77777777" w:rsidR="00397D3A" w:rsidRPr="00D80DC2" w:rsidRDefault="00617C2B"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617C2B" w:rsidP="00592F82">
      <w:pPr>
        <w:ind w:left="720" w:hanging="720"/>
        <w:jc w:val="both"/>
        <w:rPr>
          <w:rFonts w:ascii="Arial" w:hAnsi="Arial" w:cs="Arial"/>
          <w:sz w:val="22"/>
          <w:szCs w:val="22"/>
          <w:lang w:val="en-GB"/>
        </w:rPr>
      </w:pPr>
    </w:p>
    <w:p w14:paraId="772EFFCC" w14:textId="77777777" w:rsidR="00F3323E" w:rsidRPr="00D80DC2" w:rsidRDefault="00617C2B" w:rsidP="00592F82">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617C2B"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617C2B"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617C2B"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617C2B"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617C2B" w:rsidP="00E951B2">
      <w:pPr>
        <w:ind w:left="720" w:hanging="720"/>
        <w:rPr>
          <w:rFonts w:ascii="Arial" w:hAnsi="Arial" w:cs="Arial"/>
          <w:sz w:val="22"/>
          <w:szCs w:val="22"/>
          <w:lang w:val="en-GB"/>
        </w:rPr>
      </w:pPr>
    </w:p>
    <w:p w14:paraId="124B7E72" w14:textId="503EF5A8" w:rsidR="00E951B2" w:rsidRPr="00F579B0" w:rsidRDefault="008C6FAA" w:rsidP="00107795">
      <w:pPr>
        <w:pStyle w:val="ListParagraph"/>
        <w:numPr>
          <w:ilvl w:val="0"/>
          <w:numId w:val="13"/>
        </w:numPr>
        <w:ind w:left="426"/>
        <w:rPr>
          <w:rFonts w:ascii="Arial" w:hAnsi="Arial" w:cs="Arial"/>
          <w:sz w:val="22"/>
          <w:szCs w:val="22"/>
          <w:highlight w:val="yellow"/>
          <w:lang w:val="en-GB"/>
        </w:rPr>
      </w:pPr>
      <w:r w:rsidRPr="00F579B0">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617C2B"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617C2B"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951B2" w:rsidRPr="00D80DC2" w:rsidRDefault="00617C2B" w:rsidP="00E951B2">
      <w:pPr>
        <w:ind w:left="720" w:hanging="720"/>
        <w:rPr>
          <w:rFonts w:ascii="Arial" w:hAnsi="Arial" w:cs="Arial"/>
          <w:sz w:val="22"/>
          <w:szCs w:val="22"/>
          <w:lang w:val="en-GB"/>
        </w:rPr>
      </w:pPr>
    </w:p>
    <w:p w14:paraId="08AC7282" w14:textId="368A7F38"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Pr="00F579B0" w:rsidRDefault="008C6FAA" w:rsidP="00107795">
      <w:pPr>
        <w:pStyle w:val="ListParagraph"/>
        <w:numPr>
          <w:ilvl w:val="0"/>
          <w:numId w:val="14"/>
        </w:numPr>
        <w:ind w:left="426"/>
        <w:rPr>
          <w:rFonts w:ascii="Arial" w:hAnsi="Arial" w:cs="Arial"/>
          <w:sz w:val="22"/>
          <w:szCs w:val="22"/>
          <w:highlight w:val="yellow"/>
          <w:lang w:val="en-GB"/>
        </w:rPr>
      </w:pPr>
      <w:r w:rsidRPr="00F579B0">
        <w:rPr>
          <w:rFonts w:ascii="Arial" w:hAnsi="Arial" w:cs="Arial"/>
          <w:sz w:val="22"/>
          <w:szCs w:val="22"/>
          <w:highlight w:val="yellow"/>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5B79F4" w:rsidRPr="00D80DC2" w:rsidRDefault="00617C2B"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617C2B"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617C2B" w:rsidP="00EE28C9">
      <w:pPr>
        <w:ind w:left="720" w:hanging="720"/>
        <w:rPr>
          <w:rFonts w:ascii="Arial" w:hAnsi="Arial" w:cs="Arial"/>
          <w:sz w:val="22"/>
          <w:szCs w:val="22"/>
          <w:lang w:val="en-GB"/>
        </w:rPr>
      </w:pPr>
    </w:p>
    <w:p w14:paraId="039154C6" w14:textId="0E23CC98"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Pr="00F579B0" w:rsidRDefault="008C6FAA" w:rsidP="009569A2">
      <w:pPr>
        <w:pStyle w:val="ListParagraph"/>
        <w:numPr>
          <w:ilvl w:val="0"/>
          <w:numId w:val="15"/>
        </w:numPr>
        <w:ind w:left="426"/>
        <w:rPr>
          <w:rFonts w:ascii="Arial" w:hAnsi="Arial" w:cs="Arial"/>
          <w:sz w:val="22"/>
          <w:szCs w:val="22"/>
          <w:highlight w:val="yellow"/>
          <w:lang w:val="en-GB"/>
        </w:rPr>
      </w:pPr>
      <w:r w:rsidRPr="00F579B0">
        <w:rPr>
          <w:rFonts w:ascii="Arial" w:hAnsi="Arial" w:cs="Arial"/>
          <w:sz w:val="22"/>
          <w:szCs w:val="22"/>
          <w:highlight w:val="yellow"/>
          <w:lang w:val="en-GB"/>
        </w:rPr>
        <w:t>The Office of the Superintendent of Bankruptcy (the OSB)</w:t>
      </w:r>
      <w:r w:rsidR="009569A2" w:rsidRPr="00F579B0">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617C2B">
      <w:pPr>
        <w:jc w:val="both"/>
        <w:rPr>
          <w:rFonts w:ascii="Arial" w:hAnsi="Arial" w:cs="Arial"/>
          <w:b/>
          <w:bCs/>
          <w:sz w:val="22"/>
          <w:szCs w:val="22"/>
          <w:lang w:val="en-GB"/>
        </w:rPr>
      </w:pPr>
    </w:p>
    <w:p w14:paraId="2FD9EDF4" w14:textId="77777777" w:rsidR="00EE28C9" w:rsidRPr="00D80DC2" w:rsidRDefault="00617C2B">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951B2" w:rsidRPr="00D80DC2" w:rsidRDefault="00617C2B"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617C2B" w:rsidP="00EE28C9">
      <w:pPr>
        <w:ind w:left="720" w:hanging="720"/>
        <w:rPr>
          <w:rFonts w:ascii="Arial" w:hAnsi="Arial" w:cs="Arial"/>
          <w:sz w:val="22"/>
          <w:szCs w:val="22"/>
          <w:lang w:val="en-GB"/>
        </w:rPr>
      </w:pPr>
    </w:p>
    <w:p w14:paraId="5BDF9F84" w14:textId="65E88877" w:rsidR="00EE28C9" w:rsidRPr="00F579B0" w:rsidRDefault="008C6FAA" w:rsidP="002A49B4">
      <w:pPr>
        <w:pStyle w:val="ListParagraph"/>
        <w:numPr>
          <w:ilvl w:val="0"/>
          <w:numId w:val="16"/>
        </w:numPr>
        <w:ind w:left="426"/>
        <w:rPr>
          <w:rFonts w:ascii="Arial" w:hAnsi="Arial" w:cs="Arial"/>
          <w:sz w:val="22"/>
          <w:szCs w:val="22"/>
          <w:highlight w:val="yellow"/>
          <w:lang w:val="en-GB"/>
        </w:rPr>
      </w:pPr>
      <w:r w:rsidRPr="00F579B0">
        <w:rPr>
          <w:rFonts w:ascii="Arial" w:hAnsi="Arial" w:cs="Arial"/>
          <w:sz w:val="22"/>
          <w:szCs w:val="22"/>
          <w:highlight w:val="yellow"/>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617C2B">
      <w:pPr>
        <w:keepNext/>
        <w:jc w:val="both"/>
        <w:rPr>
          <w:rFonts w:ascii="Arial" w:hAnsi="Arial" w:cs="Arial"/>
          <w:b/>
          <w:bCs/>
          <w:sz w:val="22"/>
          <w:szCs w:val="22"/>
          <w:lang w:val="en-GB"/>
        </w:rPr>
      </w:pPr>
    </w:p>
    <w:p w14:paraId="43B32DA6" w14:textId="77777777" w:rsidR="00EE28C9" w:rsidRPr="00D80DC2" w:rsidRDefault="00617C2B">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617C2B"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617C2B"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617C2B" w:rsidP="00EE28C9">
      <w:pPr>
        <w:ind w:left="720" w:hanging="720"/>
        <w:rPr>
          <w:rFonts w:ascii="Arial" w:hAnsi="Arial" w:cs="Arial"/>
          <w:sz w:val="22"/>
          <w:szCs w:val="22"/>
          <w:lang w:val="en-GB"/>
        </w:rPr>
      </w:pPr>
    </w:p>
    <w:p w14:paraId="59219D81" w14:textId="34AE0200"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CA1E7D" w:rsidRDefault="00F83D52" w:rsidP="001B0BDE">
      <w:pPr>
        <w:pStyle w:val="ListParagraph"/>
        <w:numPr>
          <w:ilvl w:val="0"/>
          <w:numId w:val="17"/>
        </w:numPr>
        <w:ind w:left="426"/>
        <w:rPr>
          <w:rFonts w:ascii="Arial" w:hAnsi="Arial" w:cs="Arial"/>
          <w:sz w:val="22"/>
          <w:szCs w:val="22"/>
          <w:highlight w:val="yellow"/>
          <w:lang w:val="en-GB"/>
        </w:rPr>
      </w:pPr>
      <w:r w:rsidRPr="00CA1E7D">
        <w:rPr>
          <w:rFonts w:ascii="Arial" w:hAnsi="Arial" w:cs="Arial"/>
          <w:sz w:val="22"/>
          <w:szCs w:val="22"/>
          <w:highlight w:val="yellow"/>
          <w:lang w:val="en-GB"/>
        </w:rPr>
        <w:t>a</w:t>
      </w:r>
      <w:r w:rsidR="008C6FAA" w:rsidRPr="00CA1E7D">
        <w:rPr>
          <w:rFonts w:ascii="Arial" w:hAnsi="Arial" w:cs="Arial"/>
          <w:sz w:val="22"/>
          <w:szCs w:val="22"/>
          <w:highlight w:val="yellow"/>
          <w:lang w:val="en-GB"/>
        </w:rPr>
        <w:t xml:space="preserve">ny or all of the above. </w:t>
      </w:r>
    </w:p>
    <w:p w14:paraId="381396E9" w14:textId="77777777" w:rsidR="00EE28C9" w:rsidRPr="00D80DC2" w:rsidRDefault="00617C2B">
      <w:pPr>
        <w:autoSpaceDE w:val="0"/>
        <w:autoSpaceDN w:val="0"/>
        <w:adjustRightInd w:val="0"/>
        <w:jc w:val="both"/>
        <w:rPr>
          <w:rFonts w:ascii="Arial" w:hAnsi="Arial" w:cs="Arial"/>
          <w:b/>
          <w:bCs/>
          <w:sz w:val="22"/>
          <w:szCs w:val="22"/>
          <w:lang w:val="en-GB"/>
        </w:rPr>
      </w:pPr>
    </w:p>
    <w:p w14:paraId="629131D9" w14:textId="77777777" w:rsidR="00EE28C9" w:rsidRPr="00D80DC2" w:rsidRDefault="00617C2B">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617C2B"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617C2B" w:rsidP="00EE28C9">
      <w:pPr>
        <w:ind w:left="426" w:hanging="284"/>
        <w:jc w:val="both"/>
        <w:rPr>
          <w:rFonts w:ascii="Arial" w:hAnsi="Arial" w:cs="Arial"/>
          <w:sz w:val="22"/>
          <w:szCs w:val="22"/>
          <w:lang w:val="en-GB"/>
        </w:rPr>
      </w:pPr>
    </w:p>
    <w:p w14:paraId="1C89F69D" w14:textId="36CF84A8"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CA1E7D" w:rsidRDefault="008C6FAA" w:rsidP="00513258">
      <w:pPr>
        <w:pStyle w:val="ListParagraph"/>
        <w:numPr>
          <w:ilvl w:val="0"/>
          <w:numId w:val="18"/>
        </w:numPr>
        <w:ind w:left="426"/>
        <w:jc w:val="both"/>
        <w:rPr>
          <w:rFonts w:ascii="Arial" w:hAnsi="Arial" w:cs="Arial"/>
          <w:sz w:val="22"/>
          <w:szCs w:val="22"/>
          <w:highlight w:val="yellow"/>
          <w:lang w:val="en-GB"/>
        </w:rPr>
      </w:pPr>
      <w:r w:rsidRPr="00CA1E7D">
        <w:rPr>
          <w:rFonts w:ascii="Arial" w:hAnsi="Arial" w:cs="Arial"/>
          <w:sz w:val="22"/>
          <w:szCs w:val="22"/>
          <w:highlight w:val="yellow"/>
          <w:lang w:val="en-GB"/>
        </w:rPr>
        <w:t>All of the above.</w:t>
      </w:r>
    </w:p>
    <w:p w14:paraId="0A75F239" w14:textId="77777777" w:rsidR="00EE28C9" w:rsidRPr="00D80DC2" w:rsidRDefault="00617C2B">
      <w:pPr>
        <w:jc w:val="both"/>
        <w:rPr>
          <w:rFonts w:ascii="Arial" w:hAnsi="Arial" w:cs="Arial"/>
          <w:b/>
          <w:bCs/>
          <w:sz w:val="22"/>
          <w:szCs w:val="22"/>
          <w:lang w:val="en-GB"/>
        </w:rPr>
      </w:pPr>
    </w:p>
    <w:p w14:paraId="69DA2841" w14:textId="77777777" w:rsidR="00EE28C9" w:rsidRPr="00D80DC2" w:rsidRDefault="00617C2B">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617C2B"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617C2B" w:rsidP="00EE28C9">
      <w:pPr>
        <w:jc w:val="both"/>
        <w:rPr>
          <w:rFonts w:ascii="Arial" w:hAnsi="Arial" w:cs="Arial"/>
          <w:sz w:val="22"/>
          <w:szCs w:val="22"/>
          <w:lang w:val="en-GB"/>
        </w:rPr>
      </w:pPr>
    </w:p>
    <w:p w14:paraId="75BAC333" w14:textId="5E15857F" w:rsidR="00EE28C9" w:rsidRPr="00CA1E7D" w:rsidRDefault="008C6FAA" w:rsidP="005625A0">
      <w:pPr>
        <w:pStyle w:val="ListParagraph"/>
        <w:numPr>
          <w:ilvl w:val="0"/>
          <w:numId w:val="19"/>
        </w:numPr>
        <w:ind w:left="426"/>
        <w:jc w:val="both"/>
        <w:rPr>
          <w:rFonts w:ascii="Arial" w:hAnsi="Arial" w:cs="Arial"/>
          <w:sz w:val="22"/>
          <w:szCs w:val="22"/>
          <w:highlight w:val="yellow"/>
          <w:lang w:val="en-GB"/>
        </w:rPr>
      </w:pPr>
      <w:r w:rsidRPr="00CA1E7D">
        <w:rPr>
          <w:rFonts w:ascii="Arial" w:hAnsi="Arial" w:cs="Arial"/>
          <w:sz w:val="22"/>
          <w:szCs w:val="22"/>
          <w:highlight w:val="yellow"/>
          <w:lang w:val="en-GB"/>
        </w:rPr>
        <w:t>True</w:t>
      </w:r>
      <w:r w:rsidR="00E0683B" w:rsidRPr="00CA1E7D">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617C2B"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617C2B" w:rsidP="00C91D6F">
      <w:pPr>
        <w:jc w:val="both"/>
        <w:rPr>
          <w:rFonts w:ascii="Arial" w:hAnsi="Arial" w:cs="Arial"/>
          <w:sz w:val="22"/>
          <w:szCs w:val="22"/>
          <w:lang w:val="en-GB"/>
        </w:rPr>
      </w:pPr>
    </w:p>
    <w:p w14:paraId="7EDA2BD3" w14:textId="1C6DC874" w:rsidR="00C91D6F" w:rsidRPr="00CA1E7D" w:rsidRDefault="008C6FAA" w:rsidP="00E0683B">
      <w:pPr>
        <w:pStyle w:val="ListParagraph"/>
        <w:numPr>
          <w:ilvl w:val="0"/>
          <w:numId w:val="20"/>
        </w:numPr>
        <w:ind w:left="426"/>
        <w:jc w:val="both"/>
        <w:rPr>
          <w:rFonts w:ascii="Arial" w:hAnsi="Arial" w:cs="Arial"/>
          <w:sz w:val="22"/>
          <w:szCs w:val="22"/>
          <w:highlight w:val="yellow"/>
          <w:lang w:val="en-GB"/>
        </w:rPr>
      </w:pPr>
      <w:r w:rsidRPr="00CA1E7D">
        <w:rPr>
          <w:rFonts w:ascii="Arial" w:hAnsi="Arial" w:cs="Arial"/>
          <w:sz w:val="22"/>
          <w:szCs w:val="22"/>
          <w:highlight w:val="yellow"/>
          <w:lang w:val="en-GB"/>
        </w:rPr>
        <w:t>True</w:t>
      </w:r>
      <w:r w:rsidR="00E0683B" w:rsidRPr="00CA1E7D">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617C2B"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617C2B"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617C2B" w:rsidP="00EE28C9">
      <w:pPr>
        <w:jc w:val="both"/>
        <w:rPr>
          <w:rFonts w:ascii="Arial" w:hAnsi="Arial" w:cs="Arial"/>
          <w:sz w:val="22"/>
          <w:szCs w:val="22"/>
          <w:lang w:val="en-GB"/>
        </w:rPr>
      </w:pPr>
    </w:p>
    <w:p w14:paraId="7B155A56" w14:textId="2CD3A8FA" w:rsidR="00EE28C9" w:rsidRPr="00CA1E7D" w:rsidRDefault="008C6FAA" w:rsidP="00E0683B">
      <w:pPr>
        <w:pStyle w:val="ListParagraph"/>
        <w:numPr>
          <w:ilvl w:val="0"/>
          <w:numId w:val="21"/>
        </w:numPr>
        <w:ind w:left="426"/>
        <w:jc w:val="both"/>
        <w:rPr>
          <w:rFonts w:ascii="Arial" w:hAnsi="Arial" w:cs="Arial"/>
          <w:sz w:val="22"/>
          <w:szCs w:val="22"/>
          <w:highlight w:val="yellow"/>
          <w:lang w:val="en-GB"/>
        </w:rPr>
      </w:pPr>
      <w:r w:rsidRPr="00CA1E7D">
        <w:rPr>
          <w:rFonts w:ascii="Arial" w:hAnsi="Arial" w:cs="Arial"/>
          <w:sz w:val="22"/>
          <w:szCs w:val="22"/>
          <w:highlight w:val="yellow"/>
          <w:lang w:val="en-GB"/>
        </w:rPr>
        <w:t>True</w:t>
      </w:r>
      <w:r w:rsidR="00E0683B" w:rsidRPr="00CA1E7D">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617C2B">
      <w:pPr>
        <w:rPr>
          <w:rFonts w:ascii="Arial" w:hAnsi="Arial" w:cs="Arial"/>
          <w:b/>
          <w:sz w:val="22"/>
          <w:szCs w:val="22"/>
          <w:lang w:val="en-GB"/>
        </w:rPr>
      </w:pPr>
    </w:p>
    <w:p w14:paraId="0720F8EE" w14:textId="77777777" w:rsidR="00EE28C9" w:rsidRPr="00D80DC2" w:rsidRDefault="00617C2B">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617C2B"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E28C9" w:rsidRPr="00D80DC2" w:rsidRDefault="00617C2B" w:rsidP="00EE28C9">
      <w:pPr>
        <w:rPr>
          <w:rFonts w:ascii="Arial" w:hAnsi="Arial" w:cs="Arial"/>
          <w:sz w:val="22"/>
          <w:szCs w:val="22"/>
          <w:lang w:val="en-GB"/>
        </w:rPr>
      </w:pPr>
    </w:p>
    <w:p w14:paraId="0047F34A" w14:textId="75B35152" w:rsidR="00EE28C9" w:rsidRPr="00CA1E7D" w:rsidRDefault="008C6FAA" w:rsidP="00A254C1">
      <w:pPr>
        <w:pStyle w:val="ListParagraph"/>
        <w:numPr>
          <w:ilvl w:val="0"/>
          <w:numId w:val="22"/>
        </w:numPr>
        <w:ind w:left="426"/>
        <w:jc w:val="both"/>
        <w:rPr>
          <w:rFonts w:ascii="Arial" w:hAnsi="Arial" w:cs="Arial"/>
          <w:sz w:val="22"/>
          <w:szCs w:val="22"/>
          <w:highlight w:val="yellow"/>
          <w:lang w:val="en-GB"/>
        </w:rPr>
      </w:pPr>
      <w:r w:rsidRPr="00CA1E7D">
        <w:rPr>
          <w:rFonts w:ascii="Arial" w:hAnsi="Arial" w:cs="Arial"/>
          <w:sz w:val="22"/>
          <w:szCs w:val="22"/>
          <w:highlight w:val="yellow"/>
          <w:lang w:val="en-GB"/>
        </w:rPr>
        <w:t>True</w:t>
      </w:r>
      <w:r w:rsidR="00A254C1" w:rsidRPr="00CA1E7D">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617C2B" w:rsidP="00EE28C9">
      <w:pPr>
        <w:rPr>
          <w:rFonts w:ascii="Arial" w:hAnsi="Arial" w:cs="Arial"/>
          <w:b/>
          <w:sz w:val="22"/>
          <w:szCs w:val="22"/>
          <w:lang w:val="en-GB"/>
        </w:rPr>
      </w:pPr>
    </w:p>
    <w:p w14:paraId="6949B42C" w14:textId="77777777" w:rsidR="00CA6FCA" w:rsidRDefault="00617C2B"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617C2B"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617C2B"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20090A" w:rsidRPr="00D80DC2" w:rsidRDefault="00617C2B" w:rsidP="002A37BB">
      <w:pPr>
        <w:ind w:left="720" w:hanging="720"/>
        <w:jc w:val="both"/>
        <w:rPr>
          <w:rFonts w:ascii="Arial" w:hAnsi="Arial" w:cs="Arial"/>
          <w:sz w:val="22"/>
          <w:szCs w:val="22"/>
          <w:lang w:val="en-GB"/>
        </w:rPr>
      </w:pPr>
    </w:p>
    <w:p w14:paraId="6E98346B" w14:textId="77777777" w:rsidR="006816E6" w:rsidRDefault="006816E6"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three methods for entering into bankruptcy:</w:t>
      </w:r>
    </w:p>
    <w:p w14:paraId="26C6D14F" w14:textId="77777777" w:rsidR="006816E6" w:rsidRPr="006816E6" w:rsidRDefault="006816E6" w:rsidP="006816E6">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Involuntary;</w:t>
      </w:r>
    </w:p>
    <w:p w14:paraId="4C60A7C8" w14:textId="77777777" w:rsidR="006816E6" w:rsidRPr="006816E6" w:rsidRDefault="006816E6" w:rsidP="006816E6">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Voluntary, and</w:t>
      </w:r>
    </w:p>
    <w:p w14:paraId="598F6FC0" w14:textId="77777777" w:rsidR="00F57D56" w:rsidRPr="00F57D56" w:rsidRDefault="006816E6" w:rsidP="006816E6">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On the failure of, or failure to perform the terms of, a BIA proposal.</w:t>
      </w:r>
    </w:p>
    <w:p w14:paraId="7F7A319D" w14:textId="77777777" w:rsidR="00BB28B7" w:rsidRDefault="00BB28B7" w:rsidP="00F57D56">
      <w:pPr>
        <w:jc w:val="both"/>
        <w:rPr>
          <w:rFonts w:ascii="Arial" w:hAnsi="Arial" w:cs="Arial"/>
          <w:color w:val="7B7B7B" w:themeColor="accent3" w:themeShade="BF"/>
          <w:sz w:val="22"/>
          <w:szCs w:val="22"/>
          <w:lang w:val="en-GB"/>
        </w:rPr>
      </w:pPr>
    </w:p>
    <w:p w14:paraId="31E9C5C3" w14:textId="6CDD43AD" w:rsidR="00BB28B7" w:rsidRDefault="00F57D56" w:rsidP="00F57D56">
      <w:pPr>
        <w:jc w:val="both"/>
        <w:rPr>
          <w:rFonts w:ascii="Arial" w:hAnsi="Arial" w:cs="Arial"/>
          <w:color w:val="7B7B7B" w:themeColor="accent3" w:themeShade="BF"/>
          <w:sz w:val="22"/>
          <w:szCs w:val="22"/>
          <w:lang w:val="en-GB"/>
        </w:rPr>
      </w:pPr>
      <w:r w:rsidRPr="00BB28B7">
        <w:rPr>
          <w:rFonts w:ascii="Arial" w:hAnsi="Arial" w:cs="Arial"/>
          <w:b/>
          <w:bCs/>
          <w:color w:val="7B7B7B" w:themeColor="accent3" w:themeShade="BF"/>
          <w:sz w:val="22"/>
          <w:szCs w:val="22"/>
          <w:lang w:val="en-GB"/>
        </w:rPr>
        <w:t>Involuntary bankruptcy</w:t>
      </w:r>
      <w:r>
        <w:rPr>
          <w:rFonts w:ascii="Arial" w:hAnsi="Arial" w:cs="Arial"/>
          <w:color w:val="7B7B7B" w:themeColor="accent3" w:themeShade="BF"/>
          <w:sz w:val="22"/>
          <w:szCs w:val="22"/>
          <w:lang w:val="en-GB"/>
        </w:rPr>
        <w:t xml:space="preserve"> order is passed on an application by a creditor owing in excess of CAD 1,000 of unsecured debt and providing evidence that the debtor has committed an act of bankruptcy </w:t>
      </w:r>
      <w:r w:rsidR="00BB28B7">
        <w:rPr>
          <w:rFonts w:ascii="Arial" w:hAnsi="Arial" w:cs="Arial"/>
          <w:color w:val="7B7B7B" w:themeColor="accent3" w:themeShade="BF"/>
          <w:sz w:val="22"/>
          <w:szCs w:val="22"/>
          <w:lang w:val="en-GB"/>
        </w:rPr>
        <w:t>within six months of the date of the filing of the application.</w:t>
      </w:r>
    </w:p>
    <w:p w14:paraId="7A689842" w14:textId="77777777" w:rsidR="00BB28B7" w:rsidRDefault="00BB28B7" w:rsidP="00F57D56">
      <w:pPr>
        <w:jc w:val="both"/>
        <w:rPr>
          <w:rFonts w:ascii="Arial" w:hAnsi="Arial" w:cs="Arial"/>
          <w:color w:val="7B7B7B" w:themeColor="accent3" w:themeShade="BF"/>
          <w:sz w:val="22"/>
          <w:szCs w:val="22"/>
          <w:lang w:val="en-GB"/>
        </w:rPr>
      </w:pPr>
    </w:p>
    <w:p w14:paraId="1A869BC6" w14:textId="77777777" w:rsidR="00BB28B7" w:rsidRDefault="00BB28B7" w:rsidP="00F57D56">
      <w:pPr>
        <w:jc w:val="both"/>
        <w:rPr>
          <w:rFonts w:ascii="Arial" w:hAnsi="Arial" w:cs="Arial"/>
          <w:color w:val="7B7B7B" w:themeColor="accent3" w:themeShade="BF"/>
          <w:sz w:val="22"/>
          <w:szCs w:val="22"/>
          <w:lang w:val="en-GB"/>
        </w:rPr>
      </w:pPr>
      <w:r w:rsidRPr="00BB28B7">
        <w:rPr>
          <w:rFonts w:ascii="Arial" w:hAnsi="Arial" w:cs="Arial"/>
          <w:b/>
          <w:bCs/>
          <w:color w:val="7B7B7B" w:themeColor="accent3" w:themeShade="BF"/>
          <w:sz w:val="22"/>
          <w:szCs w:val="22"/>
          <w:lang w:val="en-GB"/>
        </w:rPr>
        <w:t>Voluntary bankruptcy</w:t>
      </w:r>
      <w:r>
        <w:rPr>
          <w:rFonts w:ascii="Arial" w:hAnsi="Arial" w:cs="Arial"/>
          <w:color w:val="7B7B7B" w:themeColor="accent3" w:themeShade="BF"/>
          <w:sz w:val="22"/>
          <w:szCs w:val="22"/>
          <w:lang w:val="en-GB"/>
        </w:rPr>
        <w:t xml:space="preserve"> occurs when the debtor voluntarily makes an assignment into bankruptcy proceedings. This may be done for a number of reasons, including to stay legal actions by creditors, or, in the case of an individual, to obtain a fresh start once the proceedings have concluded.</w:t>
      </w:r>
    </w:p>
    <w:p w14:paraId="1BD0C7EE" w14:textId="77777777" w:rsidR="00BB28B7" w:rsidRDefault="00BB28B7" w:rsidP="00F57D56">
      <w:pPr>
        <w:jc w:val="both"/>
        <w:rPr>
          <w:rFonts w:ascii="Arial" w:hAnsi="Arial" w:cs="Arial"/>
          <w:color w:val="7B7B7B" w:themeColor="accent3" w:themeShade="BF"/>
          <w:sz w:val="22"/>
          <w:szCs w:val="22"/>
          <w:lang w:val="en-GB"/>
        </w:rPr>
      </w:pPr>
    </w:p>
    <w:p w14:paraId="13D997D2" w14:textId="3A29DC36" w:rsidR="00DE03AF" w:rsidRPr="00F57D56" w:rsidRDefault="00BB28B7" w:rsidP="00F57D56">
      <w:pPr>
        <w:jc w:val="both"/>
        <w:rPr>
          <w:rFonts w:ascii="Arial" w:hAnsi="Arial" w:cs="Arial"/>
          <w:color w:val="7B7B7B"/>
          <w:sz w:val="22"/>
          <w:szCs w:val="22"/>
          <w:lang w:val="en-GB"/>
        </w:rPr>
      </w:pPr>
      <w:r>
        <w:rPr>
          <w:rFonts w:ascii="Arial" w:hAnsi="Arial" w:cs="Arial"/>
          <w:color w:val="7B7B7B" w:themeColor="accent3" w:themeShade="BF"/>
          <w:sz w:val="22"/>
          <w:szCs w:val="22"/>
          <w:lang w:val="en-GB"/>
        </w:rPr>
        <w:lastRenderedPageBreak/>
        <w:t>The BIA contains provisions for both corporate and consumer proposals that allow debtors to reach compromise with their creditors. If a corporate proposal is rejected by a class of creditors voting on the proposal, the debtor is deemed to have made an assignment in bankruptcy. If the corporate proposal is not approved by the court, the debtor will be deemed to have made an assignment in bankruptcy.</w:t>
      </w:r>
      <w:r w:rsidR="00F57D5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Similarly, if the debtor fails to perform the terms of the proposal, the Court may by order annul the proposal and the debtor is automatically assigned into bankruptcy.</w:t>
      </w:r>
      <w:r w:rsidR="008C6FAA" w:rsidRPr="00F57D56">
        <w:rPr>
          <w:rFonts w:ascii="Arial" w:hAnsi="Arial" w:cs="Arial"/>
          <w:color w:val="7B7B7B" w:themeColor="accent3" w:themeShade="BF"/>
          <w:sz w:val="22"/>
          <w:szCs w:val="22"/>
          <w:lang w:val="en-GB"/>
        </w:rPr>
        <w:t>]</w:t>
      </w:r>
    </w:p>
    <w:p w14:paraId="1DA216F4" w14:textId="77777777" w:rsidR="00020557" w:rsidRPr="00D80DC2" w:rsidRDefault="00617C2B" w:rsidP="002A37BB">
      <w:pPr>
        <w:jc w:val="both"/>
        <w:rPr>
          <w:rFonts w:ascii="Arial" w:hAnsi="Arial" w:cs="Arial"/>
          <w:color w:val="7B7B7B"/>
          <w:sz w:val="22"/>
          <w:szCs w:val="22"/>
          <w:lang w:val="en-GB"/>
        </w:rPr>
      </w:pPr>
    </w:p>
    <w:p w14:paraId="6E5742F0" w14:textId="77777777" w:rsidR="000434FB" w:rsidRPr="00D80DC2" w:rsidRDefault="00617C2B"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617C2B"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9B07AD" w:rsidRPr="00D80DC2" w:rsidRDefault="00617C2B" w:rsidP="002A37BB">
      <w:pPr>
        <w:ind w:left="720" w:hanging="720"/>
        <w:jc w:val="both"/>
        <w:rPr>
          <w:rFonts w:ascii="Arial" w:hAnsi="Arial" w:cs="Arial"/>
          <w:sz w:val="22"/>
          <w:szCs w:val="22"/>
          <w:lang w:val="en-GB"/>
        </w:rPr>
      </w:pPr>
    </w:p>
    <w:p w14:paraId="46C762F4" w14:textId="373ECD4D" w:rsidR="009B07AD" w:rsidRPr="00D80DC2" w:rsidRDefault="006816E6" w:rsidP="006816E6">
      <w:pPr>
        <w:jc w:val="both"/>
        <w:rPr>
          <w:rFonts w:ascii="Arial" w:hAnsi="Arial" w:cs="Arial"/>
          <w:color w:val="7B7B7B"/>
          <w:sz w:val="22"/>
          <w:szCs w:val="22"/>
          <w:lang w:val="en-GB"/>
        </w:rPr>
      </w:pPr>
      <w:r>
        <w:rPr>
          <w:rFonts w:ascii="Arial" w:hAnsi="Arial" w:cs="Arial"/>
          <w:color w:val="7B7B7B" w:themeColor="accent3" w:themeShade="BF"/>
          <w:sz w:val="22"/>
          <w:szCs w:val="22"/>
          <w:lang w:val="en-GB"/>
        </w:rPr>
        <w:t>[To successfully make out an application for an involuntary bankruptcy order, the applying creditor must (i) be owed in excess of CAD 1,000 of unsecured debt and (ii) provide evidence that the debtor has committed an act of bankruptcy within six months of the date of the filing of the application.</w:t>
      </w:r>
      <w:r w:rsidR="00BB28B7">
        <w:rPr>
          <w:rFonts w:ascii="Arial" w:hAnsi="Arial" w:cs="Arial"/>
          <w:color w:val="7B7B7B" w:themeColor="accent3" w:themeShade="BF"/>
          <w:sz w:val="22"/>
          <w:szCs w:val="22"/>
          <w:lang w:val="en-GB"/>
        </w:rPr>
        <w:t xml:space="preserve"> An act of bankruptcy essentially involves one of two different types of conduct. One is conduct that shows that the debtor violated certain norms of commercial morality by attempting to frustrate the legitimate collection efforts of the creditor. The other is conduct that shows the debtor in insolvent.</w:t>
      </w:r>
      <w:r w:rsidR="008C6FAA" w:rsidRPr="00D80DC2">
        <w:rPr>
          <w:rFonts w:ascii="Arial" w:hAnsi="Arial" w:cs="Arial"/>
          <w:color w:val="7B7B7B" w:themeColor="accent3" w:themeShade="BF"/>
          <w:sz w:val="22"/>
          <w:szCs w:val="22"/>
          <w:lang w:val="en-GB"/>
        </w:rPr>
        <w:t>]</w:t>
      </w:r>
    </w:p>
    <w:p w14:paraId="33928CEE" w14:textId="77777777" w:rsidR="000434FB" w:rsidRPr="00D80DC2" w:rsidRDefault="00617C2B"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617C2B" w:rsidP="002A37BB">
      <w:pPr>
        <w:ind w:left="720" w:hanging="720"/>
        <w:jc w:val="both"/>
        <w:rPr>
          <w:rFonts w:ascii="Arial" w:hAnsi="Arial" w:cs="Arial"/>
          <w:b/>
          <w:bCs/>
          <w:sz w:val="22"/>
          <w:szCs w:val="22"/>
          <w:lang w:val="en-GB"/>
        </w:rPr>
      </w:pPr>
    </w:p>
    <w:p w14:paraId="6D919C01" w14:textId="47F36B48" w:rsidR="00EE28C9" w:rsidRPr="00956397" w:rsidRDefault="008C6FAA" w:rsidP="00EE28C9">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E28C9" w:rsidRPr="00D80DC2" w:rsidRDefault="00617C2B" w:rsidP="00EE28C9">
      <w:pPr>
        <w:ind w:left="720" w:hanging="720"/>
        <w:jc w:val="both"/>
        <w:rPr>
          <w:rFonts w:ascii="Arial" w:hAnsi="Arial" w:cs="Arial"/>
          <w:sz w:val="22"/>
          <w:szCs w:val="22"/>
          <w:lang w:val="en-GB"/>
        </w:rPr>
      </w:pPr>
    </w:p>
    <w:p w14:paraId="4C43CAE9" w14:textId="14542112" w:rsidR="00C72848" w:rsidRPr="00D80DC2" w:rsidRDefault="006816E6" w:rsidP="00CA49E5">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 [</w:t>
      </w:r>
      <w:r w:rsidR="005E2DF4">
        <w:rPr>
          <w:rFonts w:ascii="Arial" w:hAnsi="Arial" w:cs="Arial"/>
          <w:color w:val="7B7B7B" w:themeColor="accent3" w:themeShade="BF"/>
          <w:sz w:val="22"/>
          <w:szCs w:val="22"/>
          <w:lang w:val="en-GB"/>
        </w:rPr>
        <w:t xml:space="preserve">The Office of the Superintendent of Bankruptcy has a number of functions which include regulating the insolvency profession and ensuring compliance through maintenance and enforcement of the regulatory framework. This includes (i) licensing and supervising of trustees; (ii) inspecting or investigating estates; (iii) receiving and dealing with complaints from creditors against estate professionals during </w:t>
      </w:r>
      <w:r w:rsidR="00CA49E5">
        <w:rPr>
          <w:rFonts w:ascii="Arial" w:hAnsi="Arial" w:cs="Arial"/>
          <w:color w:val="7B7B7B" w:themeColor="accent3" w:themeShade="BF"/>
          <w:sz w:val="22"/>
          <w:szCs w:val="22"/>
          <w:lang w:val="en-GB"/>
        </w:rPr>
        <w:t>proceedings]</w:t>
      </w:r>
    </w:p>
    <w:p w14:paraId="5FCC291B" w14:textId="77777777" w:rsidR="0045683E" w:rsidRPr="00D80DC2" w:rsidRDefault="00617C2B" w:rsidP="002A37BB">
      <w:pPr>
        <w:jc w:val="both"/>
        <w:rPr>
          <w:rFonts w:ascii="Arial" w:hAnsi="Arial" w:cs="Arial"/>
          <w:bCs/>
          <w:color w:val="7B7B7B"/>
          <w:sz w:val="22"/>
          <w:szCs w:val="22"/>
          <w:lang w:val="en-GB"/>
        </w:rPr>
      </w:pPr>
    </w:p>
    <w:p w14:paraId="3651D031" w14:textId="77777777" w:rsidR="000434FB" w:rsidRPr="00D80DC2" w:rsidRDefault="00617C2B"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617C2B"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EE28C9" w:rsidRPr="00D80DC2" w:rsidRDefault="00617C2B">
      <w:pPr>
        <w:ind w:left="720" w:hanging="720"/>
        <w:jc w:val="both"/>
        <w:rPr>
          <w:rFonts w:ascii="Arial" w:hAnsi="Arial" w:cs="Arial"/>
          <w:sz w:val="22"/>
          <w:szCs w:val="22"/>
          <w:lang w:val="en-GB"/>
        </w:rPr>
      </w:pPr>
    </w:p>
    <w:p w14:paraId="769039A6" w14:textId="77777777" w:rsidR="00EE28C9" w:rsidRPr="00D80DC2" w:rsidRDefault="00617C2B">
      <w:pPr>
        <w:ind w:left="720" w:hanging="720"/>
        <w:jc w:val="both"/>
        <w:rPr>
          <w:rFonts w:ascii="Arial" w:hAnsi="Arial" w:cs="Arial"/>
          <w:sz w:val="22"/>
          <w:szCs w:val="22"/>
          <w:lang w:val="en-GB"/>
        </w:rPr>
      </w:pPr>
    </w:p>
    <w:p w14:paraId="2AB4B43C" w14:textId="77777777" w:rsidR="00442CDA" w:rsidRDefault="00442CDA"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individual bankrupt is automatically discharged nine months after the bankruptcy is filed if:</w:t>
      </w:r>
    </w:p>
    <w:p w14:paraId="469A22D7" w14:textId="77777777" w:rsidR="00442CDA" w:rsidRPr="00442CDA" w:rsidRDefault="00442CDA" w:rsidP="00442CDA">
      <w:pPr>
        <w:pStyle w:val="ListParagraph"/>
        <w:numPr>
          <w:ilvl w:val="0"/>
          <w:numId w:val="24"/>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It is a first bankruptcy;</w:t>
      </w:r>
    </w:p>
    <w:p w14:paraId="32066DCB" w14:textId="77777777" w:rsidR="00442CDA" w:rsidRPr="00442CDA" w:rsidRDefault="00442CDA" w:rsidP="00442CDA">
      <w:pPr>
        <w:pStyle w:val="ListParagraph"/>
        <w:numPr>
          <w:ilvl w:val="0"/>
          <w:numId w:val="24"/>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The bankrupt has attended two financial counselling sessions;</w:t>
      </w:r>
    </w:p>
    <w:p w14:paraId="3CEFB636" w14:textId="2793DA41" w:rsidR="00442CDA" w:rsidRPr="00442CDA" w:rsidRDefault="00442CDA" w:rsidP="00442CDA">
      <w:pPr>
        <w:pStyle w:val="ListParagraph"/>
        <w:numPr>
          <w:ilvl w:val="0"/>
          <w:numId w:val="24"/>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The bankrupt is not required to pay a portion of his income into the bankruptcy estate as per the standard established by the OSB; and</w:t>
      </w:r>
    </w:p>
    <w:p w14:paraId="16008E18" w14:textId="529BF792" w:rsidR="00A35877" w:rsidRPr="00442CDA" w:rsidRDefault="00442CDA" w:rsidP="00442CDA">
      <w:pPr>
        <w:pStyle w:val="ListParagraph"/>
        <w:numPr>
          <w:ilvl w:val="0"/>
          <w:numId w:val="24"/>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The discharge is not opposed by a creditor, the trustee or the OSB.</w:t>
      </w:r>
      <w:r w:rsidR="008C6FAA" w:rsidRPr="00442CDA">
        <w:rPr>
          <w:rFonts w:ascii="Arial" w:hAnsi="Arial" w:cs="Arial"/>
          <w:color w:val="7B7B7B" w:themeColor="accent3" w:themeShade="BF"/>
          <w:sz w:val="22"/>
          <w:szCs w:val="22"/>
          <w:lang w:val="en-GB"/>
        </w:rPr>
        <w:t>]</w:t>
      </w:r>
    </w:p>
    <w:p w14:paraId="2E57DAB4" w14:textId="77777777" w:rsidR="00A35877" w:rsidRPr="00D80DC2" w:rsidRDefault="00617C2B" w:rsidP="002A37BB">
      <w:pPr>
        <w:jc w:val="both"/>
        <w:rPr>
          <w:rFonts w:ascii="Arial" w:hAnsi="Arial" w:cs="Arial"/>
          <w:bCs/>
          <w:color w:val="7B7B7B"/>
          <w:sz w:val="22"/>
          <w:szCs w:val="22"/>
          <w:lang w:val="en-GB"/>
        </w:rPr>
      </w:pPr>
    </w:p>
    <w:p w14:paraId="7B6DF6C4" w14:textId="77777777" w:rsidR="000434FB" w:rsidRPr="00D80DC2" w:rsidRDefault="00617C2B"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617C2B"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617C2B"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E28C9" w:rsidRDefault="00617C2B"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241FA3" w:rsidRDefault="00617C2B" w:rsidP="002A37BB">
      <w:pPr>
        <w:jc w:val="both"/>
        <w:rPr>
          <w:rFonts w:ascii="Arial" w:hAnsi="Arial" w:cs="Arial"/>
          <w:sz w:val="22"/>
          <w:szCs w:val="22"/>
          <w:lang w:val="en-GB"/>
        </w:rPr>
      </w:pPr>
    </w:p>
    <w:p w14:paraId="2A2507C4" w14:textId="77777777" w:rsidR="00950086" w:rsidRPr="00D80DC2" w:rsidRDefault="00950086" w:rsidP="002A37BB">
      <w:pPr>
        <w:jc w:val="both"/>
        <w:rPr>
          <w:rFonts w:ascii="Arial" w:hAnsi="Arial" w:cs="Arial"/>
          <w:sz w:val="22"/>
          <w:szCs w:val="22"/>
          <w:lang w:val="en-GB"/>
        </w:rPr>
      </w:pPr>
    </w:p>
    <w:p w14:paraId="22D54A3F" w14:textId="77777777" w:rsidR="00D80C7C" w:rsidRDefault="008C6FAA" w:rsidP="002A37BB">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D80C7C">
        <w:rPr>
          <w:rFonts w:ascii="Arial" w:hAnsi="Arial" w:cs="Arial"/>
          <w:color w:val="7B7B7B" w:themeColor="accent3" w:themeShade="BF"/>
          <w:sz w:val="22"/>
          <w:szCs w:val="22"/>
          <w:lang w:val="en-GB"/>
        </w:rPr>
        <w:t xml:space="preserve">The overall regulation and management of insolvency proceedings is primarily done through the oversight of the court. The day to day process is largely overseen by court appointed representative such as trustees, receivers or CCAA monitor, who owe broad duties to the court and all stakeholders and periodically report to creditors and the court. </w:t>
      </w:r>
    </w:p>
    <w:p w14:paraId="3F9069B2" w14:textId="77777777" w:rsidR="00BB28B7" w:rsidRDefault="00BB28B7" w:rsidP="002A37BB">
      <w:pPr>
        <w:jc w:val="both"/>
        <w:rPr>
          <w:rFonts w:ascii="Arial" w:hAnsi="Arial" w:cs="Arial"/>
          <w:color w:val="7B7B7B" w:themeColor="accent3" w:themeShade="BF"/>
          <w:sz w:val="22"/>
          <w:szCs w:val="22"/>
          <w:lang w:val="en-GB"/>
        </w:rPr>
      </w:pPr>
    </w:p>
    <w:p w14:paraId="39B00E54" w14:textId="7F56CA00" w:rsidR="00D80C7C" w:rsidRDefault="00D80C7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BIA liquidation bankruptcy proceedings are managed by a trustee. The trustee must seek court approval when taking certain steps, such as selling the debtor’s property and finalising its discharge. BIA proposal proceedings are debtor in possession, but a proposal trustee manages the process. Any proposal approved by the debtor’s creditors must also be approved by the court.</w:t>
      </w:r>
    </w:p>
    <w:p w14:paraId="6825C7D8" w14:textId="77777777" w:rsidR="0011247D" w:rsidRDefault="0011247D" w:rsidP="002A37BB">
      <w:pPr>
        <w:jc w:val="both"/>
        <w:rPr>
          <w:rFonts w:ascii="Arial" w:hAnsi="Arial" w:cs="Arial"/>
          <w:color w:val="7B7B7B" w:themeColor="accent3" w:themeShade="BF"/>
          <w:sz w:val="22"/>
          <w:szCs w:val="22"/>
          <w:lang w:val="en-GB"/>
        </w:rPr>
      </w:pPr>
    </w:p>
    <w:p w14:paraId="13FFF16E" w14:textId="08E93E57" w:rsidR="004361E8" w:rsidRDefault="00A4048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CCAA proceedings are also debtor in </w:t>
      </w:r>
      <w:r w:rsidR="007A5687">
        <w:rPr>
          <w:rFonts w:ascii="Arial" w:hAnsi="Arial" w:cs="Arial"/>
          <w:color w:val="7B7B7B" w:themeColor="accent3" w:themeShade="BF"/>
          <w:sz w:val="22"/>
          <w:szCs w:val="22"/>
          <w:lang w:val="en-GB"/>
        </w:rPr>
        <w:t>possession but</w:t>
      </w:r>
      <w:r>
        <w:rPr>
          <w:rFonts w:ascii="Arial" w:hAnsi="Arial" w:cs="Arial"/>
          <w:color w:val="7B7B7B" w:themeColor="accent3" w:themeShade="BF"/>
          <w:sz w:val="22"/>
          <w:szCs w:val="22"/>
          <w:lang w:val="en-GB"/>
        </w:rPr>
        <w:t xml:space="preserve"> are predominantly </w:t>
      </w:r>
      <w:r w:rsidR="00991A4F">
        <w:rPr>
          <w:rFonts w:ascii="Arial" w:hAnsi="Arial" w:cs="Arial"/>
          <w:color w:val="7B7B7B" w:themeColor="accent3" w:themeShade="BF"/>
          <w:sz w:val="22"/>
          <w:szCs w:val="22"/>
          <w:lang w:val="en-GB"/>
        </w:rPr>
        <w:t>court driven. A monitor is appointed by the court to oversee the process on its behalf and any plan of arrangement approved by the creditors of the debtor must also be approved by the court.</w:t>
      </w:r>
    </w:p>
    <w:p w14:paraId="43AF4E0C" w14:textId="0431571C" w:rsidR="004361E8" w:rsidRDefault="004361E8" w:rsidP="002A37BB">
      <w:pPr>
        <w:jc w:val="both"/>
        <w:rPr>
          <w:rFonts w:ascii="Arial" w:hAnsi="Arial" w:cs="Arial"/>
          <w:color w:val="7B7B7B" w:themeColor="accent3" w:themeShade="BF"/>
          <w:sz w:val="22"/>
          <w:szCs w:val="22"/>
          <w:lang w:val="en-GB"/>
        </w:rPr>
      </w:pPr>
    </w:p>
    <w:p w14:paraId="73E78943" w14:textId="01A5222C" w:rsidR="00470986" w:rsidRPr="0011247D" w:rsidRDefault="00470986" w:rsidP="002A37BB">
      <w:pPr>
        <w:jc w:val="both"/>
        <w:rPr>
          <w:rFonts w:ascii="Arial" w:hAnsi="Arial" w:cs="Arial"/>
          <w:b/>
          <w:bCs/>
          <w:color w:val="7B7B7B" w:themeColor="accent3" w:themeShade="BF"/>
          <w:sz w:val="22"/>
          <w:szCs w:val="22"/>
          <w:u w:val="single"/>
          <w:lang w:val="en-GB"/>
        </w:rPr>
      </w:pPr>
      <w:r w:rsidRPr="0011247D">
        <w:rPr>
          <w:rFonts w:ascii="Arial" w:hAnsi="Arial" w:cs="Arial"/>
          <w:b/>
          <w:bCs/>
          <w:color w:val="7B7B7B" w:themeColor="accent3" w:themeShade="BF"/>
          <w:sz w:val="22"/>
          <w:szCs w:val="22"/>
          <w:u w:val="single"/>
          <w:lang w:val="en-GB"/>
        </w:rPr>
        <w:t xml:space="preserve">The Monitor in CCAA proceedings: </w:t>
      </w:r>
    </w:p>
    <w:p w14:paraId="371C92BB" w14:textId="77777777" w:rsidR="00470986" w:rsidRDefault="00470986" w:rsidP="002A37BB">
      <w:pPr>
        <w:jc w:val="both"/>
        <w:rPr>
          <w:rFonts w:ascii="Arial" w:hAnsi="Arial" w:cs="Arial"/>
          <w:color w:val="7B7B7B" w:themeColor="accent3" w:themeShade="BF"/>
          <w:sz w:val="22"/>
          <w:szCs w:val="22"/>
          <w:lang w:val="en-GB"/>
        </w:rPr>
      </w:pPr>
    </w:p>
    <w:p w14:paraId="51C13752" w14:textId="10A7A4EF" w:rsidR="00470986" w:rsidRDefault="00470986" w:rsidP="002A37BB">
      <w:pPr>
        <w:jc w:val="both"/>
        <w:rPr>
          <w:rFonts w:ascii="Arial" w:hAnsi="Arial" w:cs="Arial"/>
          <w:color w:val="7B7B7B" w:themeColor="accent3" w:themeShade="BF"/>
          <w:sz w:val="22"/>
          <w:szCs w:val="22"/>
          <w:lang w:val="en-GB"/>
        </w:rPr>
      </w:pPr>
      <w:r w:rsidRPr="00470986">
        <w:rPr>
          <w:rFonts w:ascii="Arial" w:hAnsi="Arial" w:cs="Arial"/>
          <w:color w:val="7B7B7B" w:themeColor="accent3" w:themeShade="BF"/>
          <w:sz w:val="22"/>
          <w:szCs w:val="22"/>
          <w:lang w:val="en-GB"/>
        </w:rPr>
        <w:t>All CCAA orders appoint a Monitor, who is a licensed insolvency professional and an officer of the court</w:t>
      </w:r>
      <w:r>
        <w:rPr>
          <w:rFonts w:ascii="Arial" w:hAnsi="Arial" w:cs="Arial"/>
          <w:color w:val="7B7B7B" w:themeColor="accent3" w:themeShade="BF"/>
          <w:sz w:val="22"/>
          <w:szCs w:val="22"/>
          <w:lang w:val="en-GB"/>
        </w:rPr>
        <w:t>, generally selected by the debtor. The Monitor plays a supervisory and advisory role in the proceeding. In its supervisory role, the Monitor oversees the steps taken by the company while in CCAA proceedings as an officer of the court and on behalf of all stakeholders. The Monitor assists with the preparation of the cash flow statements as well as the negotiation of the plan between the company and its stakeholders. The Monitor also files periodic reports with the court and creditors, including reports setting out the views of the Monitor in connection with any proposed disposition of assets or in connection with any proposed DIP financing. The minimum powers of the monitor are set out in the CCAA, however in appropriate circumstances the monitor’s powers may be augmented to exercise more control over the debtor company.</w:t>
      </w:r>
    </w:p>
    <w:p w14:paraId="3004DFC9" w14:textId="4609E0CF" w:rsidR="00470986" w:rsidRDefault="00470986" w:rsidP="002A37BB">
      <w:pPr>
        <w:jc w:val="both"/>
        <w:rPr>
          <w:rFonts w:ascii="Arial" w:hAnsi="Arial" w:cs="Arial"/>
          <w:color w:val="7B7B7B" w:themeColor="accent3" w:themeShade="BF"/>
          <w:sz w:val="22"/>
          <w:szCs w:val="22"/>
          <w:lang w:val="en-GB"/>
        </w:rPr>
      </w:pPr>
    </w:p>
    <w:p w14:paraId="04024749" w14:textId="39E7901C" w:rsidR="00470986" w:rsidRDefault="0047098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w:t>
      </w:r>
      <w:r w:rsidR="007A5687">
        <w:rPr>
          <w:rFonts w:ascii="Arial" w:hAnsi="Arial" w:cs="Arial"/>
          <w:color w:val="7B7B7B" w:themeColor="accent3" w:themeShade="BF"/>
          <w:sz w:val="22"/>
          <w:szCs w:val="22"/>
          <w:lang w:val="en-GB"/>
        </w:rPr>
        <w:t>instance,</w:t>
      </w:r>
      <w:r>
        <w:rPr>
          <w:rFonts w:ascii="Arial" w:hAnsi="Arial" w:cs="Arial"/>
          <w:color w:val="7B7B7B" w:themeColor="accent3" w:themeShade="BF"/>
          <w:sz w:val="22"/>
          <w:szCs w:val="22"/>
          <w:lang w:val="en-GB"/>
        </w:rPr>
        <w:t xml:space="preserve"> where the board of directors have resigned or creditors have lost confidence in management, the Monitor’s powers can be expanded by the court to allow the Monitor to effectively manage the company during the restructuring. The Monitor can be authorised to sell assets, subject to court approval, and can be authorised to direct certain corporate functions or engage in litigation on behalf of the company. Monitors assuming this role are colloquially referred to as “super monitors”. </w:t>
      </w:r>
    </w:p>
    <w:p w14:paraId="66DB276A" w14:textId="367CD737" w:rsidR="00470986" w:rsidRDefault="00470986" w:rsidP="002A37BB">
      <w:pPr>
        <w:jc w:val="both"/>
        <w:rPr>
          <w:rFonts w:ascii="Arial" w:hAnsi="Arial" w:cs="Arial"/>
          <w:color w:val="7B7B7B" w:themeColor="accent3" w:themeShade="BF"/>
          <w:sz w:val="22"/>
          <w:szCs w:val="22"/>
          <w:lang w:val="en-GB"/>
        </w:rPr>
      </w:pPr>
    </w:p>
    <w:p w14:paraId="6E592900" w14:textId="07C5942E" w:rsidR="003E3BAE" w:rsidRPr="003E3BAE" w:rsidRDefault="003E3BAE" w:rsidP="002A37BB">
      <w:pPr>
        <w:jc w:val="both"/>
        <w:rPr>
          <w:rFonts w:ascii="Arial" w:hAnsi="Arial" w:cs="Arial"/>
          <w:color w:val="7B7B7B" w:themeColor="accent3" w:themeShade="BF"/>
          <w:sz w:val="22"/>
          <w:szCs w:val="22"/>
          <w:u w:val="single"/>
          <w:lang w:val="en-GB"/>
        </w:rPr>
      </w:pPr>
      <w:r w:rsidRPr="003E3BAE">
        <w:rPr>
          <w:rFonts w:ascii="Arial" w:hAnsi="Arial" w:cs="Arial"/>
          <w:color w:val="7B7B7B" w:themeColor="accent3" w:themeShade="BF"/>
          <w:sz w:val="22"/>
          <w:szCs w:val="22"/>
          <w:u w:val="single"/>
          <w:lang w:val="en-GB"/>
        </w:rPr>
        <w:t>The Proposal Trustee:</w:t>
      </w:r>
    </w:p>
    <w:p w14:paraId="41D26EB2" w14:textId="40ED6F2B" w:rsidR="003E3BAE" w:rsidRDefault="003E3BAE" w:rsidP="002A37BB">
      <w:pPr>
        <w:jc w:val="both"/>
        <w:rPr>
          <w:rFonts w:ascii="Arial" w:hAnsi="Arial" w:cs="Arial"/>
          <w:color w:val="7B7B7B" w:themeColor="accent3" w:themeShade="BF"/>
          <w:sz w:val="22"/>
          <w:szCs w:val="22"/>
          <w:lang w:val="en-GB"/>
        </w:rPr>
      </w:pPr>
    </w:p>
    <w:p w14:paraId="6F2EE884" w14:textId="1CF536A5" w:rsidR="00630951" w:rsidRDefault="003E3BA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Proposal Trustee is selected by the debtor. Much like the Monitor, the proposal trustee plays a supervisory and advisory role and assist the debtor in the development </w:t>
      </w:r>
      <w:r w:rsidR="00630951">
        <w:rPr>
          <w:rFonts w:ascii="Arial" w:hAnsi="Arial" w:cs="Arial"/>
          <w:color w:val="7B7B7B" w:themeColor="accent3" w:themeShade="BF"/>
          <w:sz w:val="22"/>
          <w:szCs w:val="22"/>
          <w:lang w:val="en-GB"/>
        </w:rPr>
        <w:t xml:space="preserve">of the proposal and its negotiations with creditors and other key stakeholders. Under the BIA proposal provisions, a receiver may be appointed in order to take control of management of the company if </w:t>
      </w:r>
      <w:r w:rsidR="007A5687">
        <w:rPr>
          <w:rFonts w:ascii="Arial" w:hAnsi="Arial" w:cs="Arial"/>
          <w:color w:val="7B7B7B" w:themeColor="accent3" w:themeShade="BF"/>
          <w:sz w:val="22"/>
          <w:szCs w:val="22"/>
          <w:lang w:val="en-GB"/>
        </w:rPr>
        <w:t>management</w:t>
      </w:r>
      <w:r w:rsidR="00630951">
        <w:rPr>
          <w:rFonts w:ascii="Arial" w:hAnsi="Arial" w:cs="Arial"/>
          <w:color w:val="7B7B7B" w:themeColor="accent3" w:themeShade="BF"/>
          <w:sz w:val="22"/>
          <w:szCs w:val="22"/>
          <w:lang w:val="en-GB"/>
        </w:rPr>
        <w:t xml:space="preserve"> is no longer acting or capable of acting in the best interest of the company or its stakeholders.</w:t>
      </w:r>
    </w:p>
    <w:p w14:paraId="57F8A997" w14:textId="798EDC18" w:rsidR="00630951" w:rsidRDefault="00630951" w:rsidP="002A37BB">
      <w:pPr>
        <w:jc w:val="both"/>
        <w:rPr>
          <w:rFonts w:ascii="Arial" w:hAnsi="Arial" w:cs="Arial"/>
          <w:color w:val="7B7B7B" w:themeColor="accent3" w:themeShade="BF"/>
          <w:sz w:val="22"/>
          <w:szCs w:val="22"/>
          <w:lang w:val="en-GB"/>
        </w:rPr>
      </w:pPr>
    </w:p>
    <w:p w14:paraId="664E43DC" w14:textId="59329CC4" w:rsidR="00544127" w:rsidRPr="00A62D5A" w:rsidRDefault="0063095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Proposal Trustee has a number of statutory duties, including giving notice of the filing o</w:t>
      </w:r>
      <w:r w:rsidR="0011247D">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the NOI or the proposal to all known creditors, filing a projected cash flow statement </w:t>
      </w:r>
      <w:r>
        <w:rPr>
          <w:rFonts w:ascii="Arial" w:hAnsi="Arial" w:cs="Arial"/>
          <w:color w:val="7B7B7B" w:themeColor="accent3" w:themeShade="BF"/>
          <w:sz w:val="22"/>
          <w:szCs w:val="22"/>
          <w:lang w:val="en-GB"/>
        </w:rPr>
        <w:lastRenderedPageBreak/>
        <w:t>accompanies by a report from he trustee or its reasonableness, and calling a meeting of the creditor to consider and vote on the proposal. At the creditor meeting the trustee is required to report on the financial situation of the debtor and the cause of its financial difficulties. The proposal trustee must also make the final application to the bankruptcy court for approval of the proposal if it is accepted by creditors.</w:t>
      </w:r>
      <w:r w:rsidR="008C6FAA" w:rsidRPr="00D80DC2">
        <w:rPr>
          <w:rFonts w:ascii="Arial" w:hAnsi="Arial" w:cs="Arial"/>
          <w:color w:val="7B7B7B" w:themeColor="accent3" w:themeShade="BF"/>
          <w:sz w:val="22"/>
          <w:szCs w:val="22"/>
          <w:lang w:val="en-GB"/>
        </w:rPr>
        <w:t>]</w:t>
      </w:r>
    </w:p>
    <w:p w14:paraId="638E4262" w14:textId="77777777" w:rsidR="00D17FDC" w:rsidRDefault="00617C2B" w:rsidP="002A37BB">
      <w:pPr>
        <w:jc w:val="both"/>
        <w:rPr>
          <w:rFonts w:ascii="Arial" w:hAnsi="Arial" w:cs="Arial"/>
          <w:color w:val="7B7B7B"/>
          <w:sz w:val="22"/>
          <w:szCs w:val="22"/>
          <w:lang w:val="en-GB"/>
        </w:rPr>
      </w:pPr>
    </w:p>
    <w:p w14:paraId="6395A648" w14:textId="77777777" w:rsidR="00AE184B" w:rsidRPr="00D80DC2" w:rsidRDefault="00617C2B"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617C2B"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EE28C9" w:rsidRPr="00D80DC2" w:rsidRDefault="00617C2B" w:rsidP="00EE28C9">
      <w:pPr>
        <w:jc w:val="both"/>
        <w:rPr>
          <w:rFonts w:ascii="Arial" w:hAnsi="Arial" w:cs="Arial"/>
          <w:sz w:val="22"/>
          <w:szCs w:val="22"/>
          <w:shd w:val="clear" w:color="auto" w:fill="FFFFFF"/>
          <w:lang w:val="en-GB"/>
        </w:rPr>
      </w:pPr>
    </w:p>
    <w:p w14:paraId="16023DE6" w14:textId="05B4FE99" w:rsidR="005016E6" w:rsidRDefault="008C6FAA" w:rsidP="00EE28C9">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9B504E">
        <w:rPr>
          <w:rFonts w:ascii="Arial" w:hAnsi="Arial" w:cs="Arial"/>
          <w:color w:val="7B7B7B" w:themeColor="accent3" w:themeShade="BF"/>
          <w:sz w:val="22"/>
          <w:szCs w:val="22"/>
          <w:lang w:val="en-GB"/>
        </w:rPr>
        <w:t xml:space="preserve">Modern Canadian Insolvency Law is fragmented in that it does not issue from a single statutory source. The Constitution Act confers exclusive power to the federal government to make laws in relation to bankruptcy and insolvency. Nevertheless, the provincial legislatures also exert influence over bankruptcy and insolvency through their authority in the realms of securities laws and property and civil rights subject to the doctrine of paramountcy. </w:t>
      </w:r>
    </w:p>
    <w:p w14:paraId="6DD64325" w14:textId="77777777" w:rsidR="005016E6" w:rsidRDefault="005016E6" w:rsidP="00EE28C9">
      <w:pPr>
        <w:jc w:val="both"/>
        <w:rPr>
          <w:rFonts w:ascii="Arial" w:hAnsi="Arial" w:cs="Arial"/>
          <w:color w:val="7B7B7B" w:themeColor="accent3" w:themeShade="BF"/>
          <w:sz w:val="22"/>
          <w:szCs w:val="22"/>
          <w:lang w:val="en-GB"/>
        </w:rPr>
      </w:pPr>
    </w:p>
    <w:p w14:paraId="7F777B39" w14:textId="77777777" w:rsidR="009425F7" w:rsidRDefault="005016E6"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important distinction to keep in mind is that in Canada bankruptcy is a legal status that can be applied to both individuals and legal entities, while insolvency </w:t>
      </w:r>
      <w:r w:rsidR="009425F7">
        <w:rPr>
          <w:rFonts w:ascii="Arial" w:hAnsi="Arial" w:cs="Arial"/>
          <w:color w:val="7B7B7B" w:themeColor="accent3" w:themeShade="BF"/>
          <w:sz w:val="22"/>
          <w:szCs w:val="22"/>
          <w:lang w:val="en-GB"/>
        </w:rPr>
        <w:t>is a financial condition. In bankruptcy an entity’s assets vest in a trustee, meaning they lose legal entitlement to deal with them, and the trustee liquidates the assets and distributes the proceeds to creditors in accordance with the priority of claims. Insolvency, on the other hand, is the financial state of being unable to meet one’s debts as they fall due (cash flow test) or having liabilities that exceed the value of the assets (balance sheet test).</w:t>
      </w:r>
    </w:p>
    <w:p w14:paraId="30DEB6D8" w14:textId="77777777" w:rsidR="009425F7" w:rsidRDefault="009425F7" w:rsidP="00EE28C9">
      <w:pPr>
        <w:jc w:val="both"/>
        <w:rPr>
          <w:rFonts w:ascii="Arial" w:hAnsi="Arial" w:cs="Arial"/>
          <w:color w:val="7B7B7B" w:themeColor="accent3" w:themeShade="BF"/>
          <w:sz w:val="22"/>
          <w:szCs w:val="22"/>
          <w:lang w:val="en-GB"/>
        </w:rPr>
      </w:pPr>
    </w:p>
    <w:p w14:paraId="1D6B2304" w14:textId="00B9C3F7" w:rsidR="009425F7" w:rsidRDefault="009425F7"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Insolvent parties may become subject to </w:t>
      </w:r>
      <w:r w:rsidR="007A5687">
        <w:rPr>
          <w:rFonts w:ascii="Arial" w:hAnsi="Arial" w:cs="Arial"/>
          <w:color w:val="7B7B7B" w:themeColor="accent3" w:themeShade="BF"/>
          <w:sz w:val="22"/>
          <w:szCs w:val="22"/>
          <w:lang w:val="en-GB"/>
        </w:rPr>
        <w:t>several</w:t>
      </w:r>
      <w:r>
        <w:rPr>
          <w:rFonts w:ascii="Arial" w:hAnsi="Arial" w:cs="Arial"/>
          <w:color w:val="7B7B7B" w:themeColor="accent3" w:themeShade="BF"/>
          <w:sz w:val="22"/>
          <w:szCs w:val="22"/>
          <w:lang w:val="en-GB"/>
        </w:rPr>
        <w:t xml:space="preserve"> different formal and informal proceedings, bankruptcy proceedings being only one such form. The most common forms of insolvency proceedings are: (i) BIA liquidations; (ii) BIA reorganisations; (iii) CCAA reorganisations and (iv) court appointed or private receiverships.</w:t>
      </w:r>
    </w:p>
    <w:p w14:paraId="382B68A8" w14:textId="77777777" w:rsidR="009425F7" w:rsidRDefault="009425F7" w:rsidP="00EE28C9">
      <w:pPr>
        <w:jc w:val="both"/>
        <w:rPr>
          <w:rFonts w:ascii="Arial" w:hAnsi="Arial" w:cs="Arial"/>
          <w:color w:val="7B7B7B" w:themeColor="accent3" w:themeShade="BF"/>
          <w:sz w:val="22"/>
          <w:szCs w:val="22"/>
          <w:lang w:val="en-GB"/>
        </w:rPr>
      </w:pPr>
    </w:p>
    <w:p w14:paraId="528B9713" w14:textId="1E2F99D7" w:rsidR="00D63509" w:rsidRDefault="009425F7"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features common to all formal insolvency proceedings in Canada: (i) they follow the single proceeding model, and (ii) they take a universalist approach in that they purport to affect a debtor’s assets wherever located. </w:t>
      </w:r>
      <w:r w:rsidR="00843648">
        <w:rPr>
          <w:rFonts w:ascii="Arial" w:hAnsi="Arial" w:cs="Arial"/>
          <w:color w:val="7B7B7B" w:themeColor="accent3" w:themeShade="BF"/>
          <w:sz w:val="22"/>
          <w:szCs w:val="22"/>
          <w:lang w:val="en-GB"/>
        </w:rPr>
        <w:t xml:space="preserve">It is reciprocal in that it permits foreign creditors to participate in Canadian insolvency proceedings with the same rights and priorities as similarly situated domestic creditors. </w:t>
      </w:r>
      <w:r>
        <w:rPr>
          <w:rFonts w:ascii="Arial" w:hAnsi="Arial" w:cs="Arial"/>
          <w:color w:val="7B7B7B" w:themeColor="accent3" w:themeShade="BF"/>
          <w:sz w:val="22"/>
          <w:szCs w:val="22"/>
          <w:lang w:val="en-GB"/>
        </w:rPr>
        <w:t xml:space="preserve">Canada has embraced modified universalism in its approach to cross border insolvency issues. </w:t>
      </w:r>
    </w:p>
    <w:p w14:paraId="4299AAC3" w14:textId="77777777" w:rsidR="008B5650" w:rsidRDefault="008B5650" w:rsidP="00EE28C9">
      <w:pPr>
        <w:jc w:val="both"/>
        <w:rPr>
          <w:rFonts w:ascii="Arial" w:hAnsi="Arial" w:cs="Arial"/>
          <w:color w:val="7B7B7B" w:themeColor="accent3" w:themeShade="BF"/>
          <w:sz w:val="22"/>
          <w:szCs w:val="22"/>
          <w:u w:val="single"/>
          <w:lang w:val="en-GB"/>
        </w:rPr>
      </w:pPr>
    </w:p>
    <w:p w14:paraId="4BE77D7D" w14:textId="6354ADBA" w:rsidR="00D63509" w:rsidRPr="0011247D" w:rsidRDefault="008B5650" w:rsidP="00EE28C9">
      <w:pPr>
        <w:jc w:val="both"/>
        <w:rPr>
          <w:rFonts w:ascii="Arial" w:hAnsi="Arial" w:cs="Arial"/>
          <w:b/>
          <w:bCs/>
          <w:color w:val="7B7B7B" w:themeColor="accent3" w:themeShade="BF"/>
          <w:sz w:val="22"/>
          <w:szCs w:val="22"/>
          <w:u w:val="single"/>
          <w:lang w:val="en-GB"/>
        </w:rPr>
      </w:pPr>
      <w:r w:rsidRPr="0011247D">
        <w:rPr>
          <w:rFonts w:ascii="Arial" w:hAnsi="Arial" w:cs="Arial"/>
          <w:b/>
          <w:bCs/>
          <w:color w:val="7B7B7B" w:themeColor="accent3" w:themeShade="BF"/>
          <w:sz w:val="22"/>
          <w:szCs w:val="22"/>
          <w:u w:val="single"/>
          <w:lang w:val="en-GB"/>
        </w:rPr>
        <w:t>Policy Goals</w:t>
      </w:r>
    </w:p>
    <w:p w14:paraId="6F63AE66" w14:textId="77777777" w:rsidR="00363C44" w:rsidRDefault="00363C44" w:rsidP="00EE28C9">
      <w:pPr>
        <w:jc w:val="both"/>
        <w:rPr>
          <w:rFonts w:ascii="Arial" w:hAnsi="Arial" w:cs="Arial"/>
          <w:color w:val="7B7B7B" w:themeColor="accent3" w:themeShade="BF"/>
          <w:sz w:val="22"/>
          <w:szCs w:val="22"/>
          <w:lang w:val="en-GB"/>
        </w:rPr>
      </w:pPr>
    </w:p>
    <w:p w14:paraId="4A3B74C8" w14:textId="121F2D6C" w:rsidR="008B5650" w:rsidRDefault="008B5650"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Canada’s insolvency regime aspires to strike a balance between reorganisation and liquidation. The policy rationales that underlie the Canadian insolvency system focus on certainty, transparency, asset preservation, value maximisation and rehabilitation. Where appropriate, the Canadian insolvency system provides for, and favours, debtor rehabilitation because of the perceived social benefits that flow from the rehabilitation of debtors. These include increased recoveries for creditors, the maintenance of supplier relationships and loca</w:t>
      </w:r>
      <w:r w:rsidR="00BA4B17">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 economic activity and the preservation of jobs. At the same time, Canada’s insolvency framework recognizes existing creditor rights and establishes clear rules for the ranking of priority claims and the equitable </w:t>
      </w:r>
      <w:r w:rsidR="00BA4B17">
        <w:rPr>
          <w:rFonts w:ascii="Arial" w:hAnsi="Arial" w:cs="Arial"/>
          <w:color w:val="7B7B7B" w:themeColor="accent3" w:themeShade="BF"/>
          <w:sz w:val="22"/>
          <w:szCs w:val="22"/>
          <w:lang w:val="en-GB"/>
        </w:rPr>
        <w:t xml:space="preserve">treatment of similarly situated creditors. This balanced approach flows from the recognition that certain and reliable rules provide security for investor and lenders that in turn, influences the cost and availability of credit in the Canadian </w:t>
      </w:r>
      <w:r w:rsidR="007A5687">
        <w:rPr>
          <w:rFonts w:ascii="Arial" w:hAnsi="Arial" w:cs="Arial"/>
          <w:color w:val="7B7B7B" w:themeColor="accent3" w:themeShade="BF"/>
          <w:sz w:val="22"/>
          <w:szCs w:val="22"/>
          <w:lang w:val="en-GB"/>
        </w:rPr>
        <w:t>marketplace</w:t>
      </w:r>
      <w:r w:rsidR="00BA4B17">
        <w:rPr>
          <w:rFonts w:ascii="Arial" w:hAnsi="Arial" w:cs="Arial"/>
          <w:color w:val="7B7B7B" w:themeColor="accent3" w:themeShade="BF"/>
          <w:sz w:val="22"/>
          <w:szCs w:val="22"/>
          <w:lang w:val="en-GB"/>
        </w:rPr>
        <w:t>.</w:t>
      </w:r>
    </w:p>
    <w:p w14:paraId="0D6E8059" w14:textId="77777777" w:rsidR="008B5650" w:rsidRDefault="008B5650" w:rsidP="00EE28C9">
      <w:pPr>
        <w:jc w:val="both"/>
        <w:rPr>
          <w:rFonts w:ascii="Arial" w:hAnsi="Arial" w:cs="Arial"/>
          <w:color w:val="7B7B7B" w:themeColor="accent3" w:themeShade="BF"/>
          <w:sz w:val="22"/>
          <w:szCs w:val="22"/>
          <w:lang w:val="en-GB"/>
        </w:rPr>
      </w:pPr>
    </w:p>
    <w:p w14:paraId="71AC96B2" w14:textId="5B5579FC" w:rsidR="008B5650" w:rsidRPr="0011247D" w:rsidRDefault="00BA4B17" w:rsidP="00EE28C9">
      <w:pPr>
        <w:jc w:val="both"/>
        <w:rPr>
          <w:rFonts w:ascii="Arial" w:hAnsi="Arial" w:cs="Arial"/>
          <w:b/>
          <w:bCs/>
          <w:color w:val="7B7B7B" w:themeColor="accent3" w:themeShade="BF"/>
          <w:sz w:val="22"/>
          <w:szCs w:val="22"/>
          <w:u w:val="single"/>
          <w:lang w:val="en-GB"/>
        </w:rPr>
      </w:pPr>
      <w:r w:rsidRPr="0011247D">
        <w:rPr>
          <w:rFonts w:ascii="Arial" w:hAnsi="Arial" w:cs="Arial"/>
          <w:b/>
          <w:bCs/>
          <w:color w:val="7B7B7B" w:themeColor="accent3" w:themeShade="BF"/>
          <w:sz w:val="22"/>
          <w:szCs w:val="22"/>
          <w:u w:val="single"/>
          <w:lang w:val="en-GB"/>
        </w:rPr>
        <w:t>Management of Proceedings:</w:t>
      </w:r>
    </w:p>
    <w:p w14:paraId="7935A74A" w14:textId="1A5FAD8F" w:rsidR="00BA4B17" w:rsidRDefault="00BA4B17" w:rsidP="00EE28C9">
      <w:pPr>
        <w:jc w:val="both"/>
        <w:rPr>
          <w:rFonts w:ascii="Arial" w:hAnsi="Arial" w:cs="Arial"/>
          <w:color w:val="7B7B7B" w:themeColor="accent3" w:themeShade="BF"/>
          <w:sz w:val="22"/>
          <w:szCs w:val="22"/>
          <w:u w:val="single"/>
          <w:lang w:val="en-GB"/>
        </w:rPr>
      </w:pPr>
    </w:p>
    <w:p w14:paraId="6391FB2C" w14:textId="3D827291" w:rsidR="00BA4B17" w:rsidRDefault="00BA4B17" w:rsidP="00EE28C9">
      <w:pPr>
        <w:jc w:val="both"/>
        <w:rPr>
          <w:rFonts w:ascii="Arial" w:hAnsi="Arial" w:cs="Arial"/>
          <w:color w:val="7B7B7B" w:themeColor="accent3" w:themeShade="BF"/>
          <w:sz w:val="22"/>
          <w:szCs w:val="22"/>
          <w:lang w:val="en-GB"/>
        </w:rPr>
      </w:pPr>
      <w:r w:rsidRPr="00BA4B17">
        <w:rPr>
          <w:rFonts w:ascii="Arial" w:hAnsi="Arial" w:cs="Arial"/>
          <w:color w:val="7B7B7B" w:themeColor="accent3" w:themeShade="BF"/>
          <w:sz w:val="22"/>
          <w:szCs w:val="22"/>
          <w:lang w:val="en-GB"/>
        </w:rPr>
        <w:t>These policy concerns are reflected in the way insolvency proceedings are managed through a combination of creditor control</w:t>
      </w:r>
      <w:r>
        <w:rPr>
          <w:rFonts w:ascii="Arial" w:hAnsi="Arial" w:cs="Arial"/>
          <w:color w:val="7B7B7B" w:themeColor="accent3" w:themeShade="BF"/>
          <w:sz w:val="22"/>
          <w:szCs w:val="22"/>
          <w:lang w:val="en-GB"/>
        </w:rPr>
        <w:t>, estate professional management and court supervision that includes consideration of the interest of the debtor and other stakeholders (i</w:t>
      </w:r>
      <w:r w:rsidR="00932D1C">
        <w:rPr>
          <w:rFonts w:ascii="Arial" w:hAnsi="Arial" w:cs="Arial"/>
          <w:color w:val="7B7B7B" w:themeColor="accent3" w:themeShade="BF"/>
          <w:sz w:val="22"/>
          <w:szCs w:val="22"/>
          <w:lang w:val="en-GB"/>
        </w:rPr>
        <w:t xml:space="preserve">ncluding employees, the community, customers etc.). The overall regulation and management of insolvency proceedings is primarily done through the oversight of the court. The day to day process is largely overseen by court appointed representatives such as trustees, receivers or the CCAA monitor, who owe broad duties to the court and all stakeholders and periodically report to the creditors and the court. Creditors are provided a degree of control over insolvency proceedings through voting mechanisms and other powers in both bankruptcy and restructuring situations and may seek to replace estate professional </w:t>
      </w:r>
      <w:r w:rsidR="00DF3CB5">
        <w:rPr>
          <w:rFonts w:ascii="Arial" w:hAnsi="Arial" w:cs="Arial"/>
          <w:color w:val="7B7B7B" w:themeColor="accent3" w:themeShade="BF"/>
          <w:sz w:val="22"/>
          <w:szCs w:val="22"/>
          <w:lang w:val="en-GB"/>
        </w:rPr>
        <w:t>in certain circumstances. Creditors also have the right to information and to be heard by the court overseeing the insolvency proceedings.</w:t>
      </w:r>
    </w:p>
    <w:p w14:paraId="5072088E" w14:textId="41BF0E4C" w:rsidR="00DF3CB5" w:rsidRDefault="00DF3CB5" w:rsidP="00EE28C9">
      <w:pPr>
        <w:jc w:val="both"/>
        <w:rPr>
          <w:rFonts w:ascii="Arial" w:hAnsi="Arial" w:cs="Arial"/>
          <w:color w:val="7B7B7B" w:themeColor="accent3" w:themeShade="BF"/>
          <w:sz w:val="22"/>
          <w:szCs w:val="22"/>
          <w:lang w:val="en-GB"/>
        </w:rPr>
      </w:pPr>
    </w:p>
    <w:p w14:paraId="416ADBC4" w14:textId="0E58D8A4" w:rsidR="000434FB" w:rsidRPr="001014EB" w:rsidRDefault="00DF3CB5"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BIA liquidating bankruptcy proceedings are managed by a trustee. The trustee must seek court approval when taking certain steps, such as selling the debtor’s property and finalising its discharge. BIA proposal proceedings are debtor in possession, but a proposal trustee manages the process. Any proposal approved by the debtor’s creditors must also be approved by the court. CCAA proceedings are also debtor in </w:t>
      </w:r>
      <w:r w:rsidR="007A5687">
        <w:rPr>
          <w:rFonts w:ascii="Arial" w:hAnsi="Arial" w:cs="Arial"/>
          <w:color w:val="7B7B7B" w:themeColor="accent3" w:themeShade="BF"/>
          <w:sz w:val="22"/>
          <w:szCs w:val="22"/>
          <w:lang w:val="en-GB"/>
        </w:rPr>
        <w:t>possession but</w:t>
      </w:r>
      <w:r>
        <w:rPr>
          <w:rFonts w:ascii="Arial" w:hAnsi="Arial" w:cs="Arial"/>
          <w:color w:val="7B7B7B" w:themeColor="accent3" w:themeShade="BF"/>
          <w:sz w:val="22"/>
          <w:szCs w:val="22"/>
          <w:lang w:val="en-GB"/>
        </w:rPr>
        <w:t xml:space="preserve"> are predominantly court driven. A monitor is appointed by the court to oversee the process on its behalf and any plan of arrangement approved by the creditors of the debtor must also be approved by the court. A restructuring under a corporate statute such as the CBCA is managed by the corporation, but the court typically establishes the process for presenting the arrangement to the company’s stakeholders and, once approved by the stakeholders, the arrangement must be approved by the court. In a court ordered receivership the receiver obtains its powers from the appointing order and periodically reports to the court to seek approval of its activities, including the approval of sales processes, the acceptance of bids and approval of major asset sales, as well as distributions to creditors.</w:t>
      </w:r>
      <w:r w:rsidR="00D63509">
        <w:rPr>
          <w:rFonts w:ascii="Arial" w:hAnsi="Arial" w:cs="Arial"/>
          <w:color w:val="7B7B7B" w:themeColor="accent3" w:themeShade="BF"/>
          <w:sz w:val="22"/>
          <w:szCs w:val="22"/>
          <w:lang w:val="en-GB"/>
        </w:rPr>
        <w:t>]</w:t>
      </w:r>
    </w:p>
    <w:p w14:paraId="3B7DC066" w14:textId="77777777" w:rsidR="000434FB" w:rsidRDefault="00617C2B" w:rsidP="002A37BB">
      <w:pPr>
        <w:jc w:val="both"/>
        <w:rPr>
          <w:rFonts w:ascii="Arial" w:hAnsi="Arial" w:cs="Arial"/>
          <w:color w:val="7B7B7B"/>
          <w:sz w:val="22"/>
          <w:szCs w:val="22"/>
          <w:lang w:val="en-GB"/>
        </w:rPr>
      </w:pPr>
    </w:p>
    <w:p w14:paraId="624AECDB" w14:textId="77777777" w:rsidR="00EB17D0" w:rsidRPr="00D80DC2" w:rsidRDefault="00617C2B"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617C2B"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617C2B"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617C2B"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lastRenderedPageBreak/>
        <w:t>Using the facts above, answer the questions that follow</w:t>
      </w:r>
      <w:r w:rsidRPr="00AE184B">
        <w:rPr>
          <w:rFonts w:ascii="Arial" w:hAnsi="Arial" w:cs="Arial"/>
          <w:b/>
          <w:bCs/>
          <w:sz w:val="22"/>
          <w:szCs w:val="22"/>
          <w:lang w:val="en-GB"/>
        </w:rPr>
        <w:t>.</w:t>
      </w:r>
    </w:p>
    <w:p w14:paraId="44419771" w14:textId="77777777" w:rsidR="0050004A" w:rsidRPr="0050004A" w:rsidRDefault="00617C2B"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617C2B"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617C2B" w:rsidP="000400E0">
      <w:pPr>
        <w:jc w:val="both"/>
        <w:rPr>
          <w:rFonts w:ascii="Arial" w:hAnsi="Arial" w:cs="Arial"/>
          <w:sz w:val="22"/>
          <w:szCs w:val="22"/>
          <w:lang w:val="en-GB"/>
        </w:rPr>
      </w:pPr>
    </w:p>
    <w:p w14:paraId="7AF70938" w14:textId="77777777" w:rsidR="00843648" w:rsidRDefault="008C6FAA" w:rsidP="000400E0">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843648">
        <w:rPr>
          <w:rFonts w:ascii="Arial" w:hAnsi="Arial" w:cs="Arial"/>
          <w:color w:val="7B7B7B" w:themeColor="accent3" w:themeShade="BF"/>
          <w:sz w:val="22"/>
          <w:szCs w:val="22"/>
          <w:lang w:val="en-GB"/>
        </w:rPr>
        <w:t>The provisions of the BIA and CCAA on the recognition of foreign insolvency proceedings require Canadian Courts to recognise foreign proceedings on formal proof of three main requirements:</w:t>
      </w:r>
    </w:p>
    <w:p w14:paraId="5EDD2A23" w14:textId="77777777" w:rsidR="00843648" w:rsidRPr="00843648" w:rsidRDefault="00843648" w:rsidP="00843648">
      <w:pPr>
        <w:pStyle w:val="ListParagraph"/>
        <w:numPr>
          <w:ilvl w:val="0"/>
          <w:numId w:val="25"/>
        </w:numPr>
        <w:jc w:val="both"/>
        <w:rPr>
          <w:rFonts w:ascii="Arial" w:hAnsi="Arial" w:cs="Arial"/>
          <w:b/>
          <w:color w:val="7B7B7B"/>
          <w:sz w:val="22"/>
          <w:szCs w:val="22"/>
          <w:lang w:val="en-GB"/>
        </w:rPr>
      </w:pPr>
      <w:r>
        <w:rPr>
          <w:rFonts w:ascii="Arial" w:hAnsi="Arial" w:cs="Arial"/>
          <w:color w:val="7B7B7B" w:themeColor="accent3" w:themeShade="BF"/>
          <w:sz w:val="22"/>
          <w:szCs w:val="22"/>
          <w:lang w:val="en-GB"/>
        </w:rPr>
        <w:t>That the proceeding is a foreign proceeding in accordance with the statutory definition;</w:t>
      </w:r>
    </w:p>
    <w:p w14:paraId="39A5FB90" w14:textId="77777777" w:rsidR="00843648" w:rsidRPr="00843648" w:rsidRDefault="00843648" w:rsidP="00843648">
      <w:pPr>
        <w:pStyle w:val="ListParagraph"/>
        <w:numPr>
          <w:ilvl w:val="0"/>
          <w:numId w:val="25"/>
        </w:numPr>
        <w:jc w:val="both"/>
        <w:rPr>
          <w:rFonts w:ascii="Arial" w:hAnsi="Arial" w:cs="Arial"/>
          <w:b/>
          <w:color w:val="7B7B7B"/>
          <w:sz w:val="22"/>
          <w:szCs w:val="22"/>
          <w:lang w:val="en-GB"/>
        </w:rPr>
      </w:pPr>
      <w:r>
        <w:rPr>
          <w:rFonts w:ascii="Arial" w:hAnsi="Arial" w:cs="Arial"/>
          <w:color w:val="7B7B7B" w:themeColor="accent3" w:themeShade="BF"/>
          <w:sz w:val="22"/>
          <w:szCs w:val="22"/>
          <w:lang w:val="en-GB"/>
        </w:rPr>
        <w:t>That the applicant is a foreign representative in accordance with the statutory definition; and</w:t>
      </w:r>
    </w:p>
    <w:p w14:paraId="5BF58E3A" w14:textId="2C556053" w:rsidR="0011247D" w:rsidRPr="0011247D" w:rsidRDefault="00843648" w:rsidP="00843648">
      <w:pPr>
        <w:pStyle w:val="ListParagraph"/>
        <w:numPr>
          <w:ilvl w:val="0"/>
          <w:numId w:val="25"/>
        </w:numPr>
        <w:jc w:val="both"/>
        <w:rPr>
          <w:rFonts w:ascii="Arial" w:hAnsi="Arial" w:cs="Arial"/>
          <w:b/>
          <w:color w:val="7B7B7B"/>
          <w:sz w:val="22"/>
          <w:szCs w:val="22"/>
          <w:lang w:val="en-GB"/>
        </w:rPr>
      </w:pPr>
      <w:r>
        <w:rPr>
          <w:rFonts w:ascii="Arial" w:hAnsi="Arial" w:cs="Arial"/>
          <w:color w:val="7B7B7B" w:themeColor="accent3" w:themeShade="BF"/>
          <w:sz w:val="22"/>
          <w:szCs w:val="22"/>
          <w:lang w:val="en-GB"/>
        </w:rPr>
        <w:t>Whether the fo</w:t>
      </w:r>
      <w:r w:rsidR="005E3DA3">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eign proceeding is a foreign main </w:t>
      </w:r>
      <w:r w:rsidR="0011247D">
        <w:rPr>
          <w:rFonts w:ascii="Arial" w:hAnsi="Arial" w:cs="Arial"/>
          <w:color w:val="7B7B7B" w:themeColor="accent3" w:themeShade="BF"/>
          <w:sz w:val="22"/>
          <w:szCs w:val="22"/>
          <w:lang w:val="en-GB"/>
        </w:rPr>
        <w:t>proceeding,</w:t>
      </w:r>
      <w:r>
        <w:rPr>
          <w:rFonts w:ascii="Arial" w:hAnsi="Arial" w:cs="Arial"/>
          <w:color w:val="7B7B7B" w:themeColor="accent3" w:themeShade="BF"/>
          <w:sz w:val="22"/>
          <w:szCs w:val="22"/>
          <w:lang w:val="en-GB"/>
        </w:rPr>
        <w:t xml:space="preserve"> or a foreign non-main proceeding based on a centre of main interest analysis.</w:t>
      </w:r>
    </w:p>
    <w:p w14:paraId="5E927882" w14:textId="77777777" w:rsidR="0011247D" w:rsidRDefault="0011247D" w:rsidP="0011247D">
      <w:pPr>
        <w:ind w:left="360"/>
        <w:jc w:val="both"/>
        <w:rPr>
          <w:rFonts w:ascii="Arial" w:hAnsi="Arial" w:cs="Arial"/>
          <w:color w:val="7B7B7B" w:themeColor="accent3" w:themeShade="BF"/>
          <w:sz w:val="22"/>
          <w:szCs w:val="22"/>
          <w:lang w:val="en-GB"/>
        </w:rPr>
      </w:pPr>
    </w:p>
    <w:p w14:paraId="031329D8" w14:textId="625D2053" w:rsidR="00AE184B" w:rsidRPr="0011247D" w:rsidRDefault="0011247D" w:rsidP="0011247D">
      <w:pPr>
        <w:ind w:left="360"/>
        <w:jc w:val="both"/>
        <w:rPr>
          <w:rFonts w:ascii="Arial" w:hAnsi="Arial" w:cs="Arial"/>
          <w:b/>
          <w:color w:val="7B7B7B"/>
          <w:sz w:val="22"/>
          <w:szCs w:val="22"/>
          <w:lang w:val="en-GB"/>
        </w:rPr>
      </w:pPr>
      <w:r>
        <w:rPr>
          <w:rFonts w:ascii="Arial" w:hAnsi="Arial" w:cs="Arial"/>
          <w:color w:val="7B7B7B" w:themeColor="accent3" w:themeShade="BF"/>
          <w:sz w:val="22"/>
          <w:szCs w:val="22"/>
          <w:lang w:val="en-GB"/>
        </w:rPr>
        <w:t>If we apply these principles to the facts of the case, no doubt the proceeding is a foreign proceeding originating in a foreign jurisdiction and the applicant is a foreign representative further since the head office and senior management i.e. nerve centre is based out of the foreign jurisdiction, the COMI analysis suggest that the proceedings should be held to be foreign main proceedings. Accordingly, the foreign agent satisfies the formal proof requirements to obtain the recognition of foreign proceedings in Canada.</w:t>
      </w:r>
      <w:r w:rsidR="008C6FAA" w:rsidRPr="0011247D">
        <w:rPr>
          <w:rFonts w:ascii="Arial" w:hAnsi="Arial" w:cs="Arial"/>
          <w:color w:val="7B7B7B" w:themeColor="accent3" w:themeShade="BF"/>
          <w:sz w:val="22"/>
          <w:szCs w:val="22"/>
          <w:lang w:val="en-GB"/>
        </w:rPr>
        <w:t>]</w:t>
      </w:r>
      <w:bookmarkStart w:id="1" w:name="_GoBack"/>
      <w:bookmarkEnd w:id="1"/>
    </w:p>
    <w:p w14:paraId="1138FE97" w14:textId="77777777" w:rsidR="009B0723" w:rsidRDefault="00617C2B"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617C2B"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617C2B"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617C2B" w:rsidP="00087F21">
      <w:pPr>
        <w:autoSpaceDE w:val="0"/>
        <w:autoSpaceDN w:val="0"/>
        <w:adjustRightInd w:val="0"/>
        <w:jc w:val="both"/>
        <w:rPr>
          <w:rFonts w:ascii="Arial" w:hAnsi="Arial" w:cs="Arial"/>
          <w:sz w:val="22"/>
          <w:szCs w:val="22"/>
          <w:lang w:val="en-GB"/>
        </w:rPr>
      </w:pPr>
    </w:p>
    <w:p w14:paraId="42A3C5F7" w14:textId="49C279E9" w:rsidR="005E3DA3" w:rsidRDefault="008C6FAA" w:rsidP="00087F21">
      <w:pPr>
        <w:autoSpaceDE w:val="0"/>
        <w:autoSpaceDN w:val="0"/>
        <w:adjustRightInd w:val="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5E3DA3">
        <w:rPr>
          <w:rFonts w:ascii="Arial" w:hAnsi="Arial" w:cs="Arial"/>
          <w:color w:val="7B7B7B" w:themeColor="accent3" w:themeShade="BF"/>
          <w:sz w:val="22"/>
          <w:szCs w:val="22"/>
          <w:lang w:val="en-GB"/>
        </w:rPr>
        <w:t xml:space="preserve">Once the requirement for recognition are met, the recognition is automatic and </w:t>
      </w:r>
      <w:r w:rsidR="0011247D">
        <w:rPr>
          <w:rFonts w:ascii="Arial" w:hAnsi="Arial" w:cs="Arial"/>
          <w:color w:val="7B7B7B" w:themeColor="accent3" w:themeShade="BF"/>
          <w:sz w:val="22"/>
          <w:szCs w:val="22"/>
          <w:lang w:val="en-GB"/>
        </w:rPr>
        <w:t>compulsory,</w:t>
      </w:r>
      <w:r w:rsidR="005E3DA3">
        <w:rPr>
          <w:rFonts w:ascii="Arial" w:hAnsi="Arial" w:cs="Arial"/>
          <w:color w:val="7B7B7B" w:themeColor="accent3" w:themeShade="BF"/>
          <w:sz w:val="22"/>
          <w:szCs w:val="22"/>
          <w:lang w:val="en-GB"/>
        </w:rPr>
        <w:t xml:space="preserve"> and the court must make an order recognising the foreign proceeding. If the court determines the foreign proceeding is a foreign main proceeding, the court will automatically issue a stay of proceedings. If it determines that the proceeding is a foreign non-main </w:t>
      </w:r>
      <w:r w:rsidR="0011247D">
        <w:rPr>
          <w:rFonts w:ascii="Arial" w:hAnsi="Arial" w:cs="Arial"/>
          <w:color w:val="7B7B7B" w:themeColor="accent3" w:themeShade="BF"/>
          <w:sz w:val="22"/>
          <w:szCs w:val="22"/>
          <w:lang w:val="en-GB"/>
        </w:rPr>
        <w:t>proceeding a</w:t>
      </w:r>
      <w:r w:rsidR="005E3DA3">
        <w:rPr>
          <w:rFonts w:ascii="Arial" w:hAnsi="Arial" w:cs="Arial"/>
          <w:color w:val="7B7B7B" w:themeColor="accent3" w:themeShade="BF"/>
          <w:sz w:val="22"/>
          <w:szCs w:val="22"/>
          <w:lang w:val="en-GB"/>
        </w:rPr>
        <w:t xml:space="preserve"> stay may be requested, but the court exercises discretion to make any order necessary for the protection of the debtor’s property or the interest of creditor.</w:t>
      </w:r>
    </w:p>
    <w:p w14:paraId="185F90DC" w14:textId="77777777" w:rsidR="005E3DA3" w:rsidRDefault="005E3DA3" w:rsidP="00087F21">
      <w:pPr>
        <w:autoSpaceDE w:val="0"/>
        <w:autoSpaceDN w:val="0"/>
        <w:adjustRightInd w:val="0"/>
        <w:jc w:val="both"/>
        <w:rPr>
          <w:rFonts w:ascii="Arial" w:hAnsi="Arial" w:cs="Arial"/>
          <w:color w:val="7B7B7B" w:themeColor="accent3" w:themeShade="BF"/>
          <w:sz w:val="22"/>
          <w:szCs w:val="22"/>
          <w:lang w:val="en-GB"/>
        </w:rPr>
      </w:pPr>
    </w:p>
    <w:p w14:paraId="43E89BEA" w14:textId="1B6EB75B" w:rsidR="00AE184B" w:rsidRPr="00A57E0B" w:rsidRDefault="005E3DA3"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given facts, </w:t>
      </w:r>
      <w:r w:rsidR="00A57E0B">
        <w:rPr>
          <w:rFonts w:ascii="Arial" w:hAnsi="Arial" w:cs="Arial"/>
          <w:color w:val="7B7B7B" w:themeColor="accent3" w:themeShade="BF"/>
          <w:sz w:val="22"/>
          <w:szCs w:val="22"/>
          <w:lang w:val="en-GB"/>
        </w:rPr>
        <w:t>since the</w:t>
      </w:r>
      <w:r w:rsidRPr="00A57E0B">
        <w:rPr>
          <w:rFonts w:ascii="Arial" w:hAnsi="Arial" w:cs="Arial"/>
          <w:color w:val="7B7B7B" w:themeColor="accent3" w:themeShade="BF"/>
          <w:sz w:val="22"/>
          <w:szCs w:val="22"/>
          <w:lang w:val="en-GB"/>
        </w:rPr>
        <w:t xml:space="preserve"> head office</w:t>
      </w:r>
      <w:r w:rsidR="00A57E0B">
        <w:rPr>
          <w:rFonts w:ascii="Arial" w:hAnsi="Arial" w:cs="Arial"/>
          <w:color w:val="7B7B7B" w:themeColor="accent3" w:themeShade="BF"/>
          <w:sz w:val="22"/>
          <w:szCs w:val="22"/>
          <w:lang w:val="en-GB"/>
        </w:rPr>
        <w:t xml:space="preserve"> of the corporate debtor</w:t>
      </w:r>
      <w:r w:rsidRPr="00A57E0B">
        <w:rPr>
          <w:rFonts w:ascii="Arial" w:hAnsi="Arial" w:cs="Arial"/>
          <w:color w:val="7B7B7B" w:themeColor="accent3" w:themeShade="BF"/>
          <w:sz w:val="22"/>
          <w:szCs w:val="22"/>
          <w:lang w:val="en-GB"/>
        </w:rPr>
        <w:t xml:space="preserve"> is registered in the foreign jurisdiction where senior management of the company have their offices</w:t>
      </w:r>
      <w:r w:rsidR="00A57E0B">
        <w:rPr>
          <w:rFonts w:ascii="Arial" w:hAnsi="Arial" w:cs="Arial"/>
          <w:color w:val="7B7B7B" w:themeColor="accent3" w:themeShade="BF"/>
          <w:sz w:val="22"/>
          <w:szCs w:val="22"/>
          <w:lang w:val="en-GB"/>
        </w:rPr>
        <w:t xml:space="preserve"> meaning thereby the Centre of Main Interest </w:t>
      </w:r>
      <w:r w:rsidR="0011247D">
        <w:rPr>
          <w:rFonts w:ascii="Arial" w:hAnsi="Arial" w:cs="Arial"/>
          <w:color w:val="7B7B7B" w:themeColor="accent3" w:themeShade="BF"/>
          <w:sz w:val="22"/>
          <w:szCs w:val="22"/>
          <w:lang w:val="en-GB"/>
        </w:rPr>
        <w:t>is in</w:t>
      </w:r>
      <w:r w:rsidR="00A57E0B">
        <w:rPr>
          <w:rFonts w:ascii="Arial" w:hAnsi="Arial" w:cs="Arial"/>
          <w:color w:val="7B7B7B" w:themeColor="accent3" w:themeShade="BF"/>
          <w:sz w:val="22"/>
          <w:szCs w:val="22"/>
          <w:lang w:val="en-GB"/>
        </w:rPr>
        <w:t xml:space="preserve"> the foreign </w:t>
      </w:r>
      <w:r w:rsidR="0011247D">
        <w:rPr>
          <w:rFonts w:ascii="Arial" w:hAnsi="Arial" w:cs="Arial"/>
          <w:color w:val="7B7B7B" w:themeColor="accent3" w:themeShade="BF"/>
          <w:sz w:val="22"/>
          <w:szCs w:val="22"/>
          <w:lang w:val="en-GB"/>
        </w:rPr>
        <w:t>jurisdiction</w:t>
      </w:r>
      <w:r w:rsidRPr="00A57E0B">
        <w:rPr>
          <w:rFonts w:ascii="Arial" w:hAnsi="Arial" w:cs="Arial"/>
          <w:color w:val="7B7B7B" w:themeColor="accent3" w:themeShade="BF"/>
          <w:sz w:val="22"/>
          <w:szCs w:val="22"/>
          <w:lang w:val="en-GB"/>
        </w:rPr>
        <w:t>.</w:t>
      </w:r>
      <w:r w:rsidR="00A57E0B">
        <w:rPr>
          <w:rFonts w:ascii="Arial" w:hAnsi="Arial" w:cs="Arial"/>
          <w:color w:val="7B7B7B" w:themeColor="accent3" w:themeShade="BF"/>
          <w:sz w:val="22"/>
          <w:szCs w:val="22"/>
          <w:lang w:val="en-GB"/>
        </w:rPr>
        <w:t xml:space="preserve"> Thus, the proceeding would be recognised as a foreign main proceeding and the foreign agent can obtain a</w:t>
      </w:r>
      <w:r w:rsidR="0011247D">
        <w:rPr>
          <w:rFonts w:ascii="Arial" w:hAnsi="Arial" w:cs="Arial"/>
          <w:color w:val="7B7B7B" w:themeColor="accent3" w:themeShade="BF"/>
          <w:sz w:val="22"/>
          <w:szCs w:val="22"/>
          <w:lang w:val="en-GB"/>
        </w:rPr>
        <w:t>n automatic</w:t>
      </w:r>
      <w:r w:rsidR="00A57E0B">
        <w:rPr>
          <w:rFonts w:ascii="Arial" w:hAnsi="Arial" w:cs="Arial"/>
          <w:color w:val="7B7B7B" w:themeColor="accent3" w:themeShade="BF"/>
          <w:sz w:val="22"/>
          <w:szCs w:val="22"/>
          <w:lang w:val="en-GB"/>
        </w:rPr>
        <w:t xml:space="preserve"> stay of the Canadian litigation</w:t>
      </w:r>
      <w:r w:rsidR="007A5687">
        <w:rPr>
          <w:rFonts w:ascii="Arial" w:hAnsi="Arial" w:cs="Arial"/>
          <w:color w:val="7B7B7B" w:themeColor="accent3" w:themeShade="BF"/>
          <w:sz w:val="22"/>
          <w:szCs w:val="22"/>
          <w:lang w:val="en-GB"/>
        </w:rPr>
        <w:t>.]</w:t>
      </w:r>
    </w:p>
    <w:p w14:paraId="4DB23FB1" w14:textId="77777777" w:rsidR="001F631D" w:rsidRPr="00A57E0B" w:rsidRDefault="00617C2B" w:rsidP="00087F21">
      <w:pPr>
        <w:autoSpaceDE w:val="0"/>
        <w:autoSpaceDN w:val="0"/>
        <w:adjustRightInd w:val="0"/>
        <w:jc w:val="both"/>
        <w:rPr>
          <w:rFonts w:ascii="Arial" w:hAnsi="Arial" w:cs="Arial"/>
          <w:color w:val="7B7B7B" w:themeColor="accent3" w:themeShade="BF"/>
          <w:sz w:val="22"/>
          <w:szCs w:val="22"/>
          <w:lang w:val="en-GB"/>
        </w:rPr>
      </w:pPr>
    </w:p>
    <w:p w14:paraId="4A42416B" w14:textId="77777777" w:rsidR="00AE184B" w:rsidRDefault="00617C2B"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617C2B" w:rsidP="00087F21">
      <w:pPr>
        <w:autoSpaceDE w:val="0"/>
        <w:autoSpaceDN w:val="0"/>
        <w:adjustRightInd w:val="0"/>
        <w:jc w:val="both"/>
        <w:rPr>
          <w:rFonts w:ascii="Arial" w:hAnsi="Arial" w:cs="Arial"/>
          <w:sz w:val="22"/>
          <w:szCs w:val="22"/>
          <w:lang w:val="en-GB"/>
        </w:rPr>
      </w:pPr>
    </w:p>
    <w:bookmarkEnd w:id="0"/>
    <w:p w14:paraId="0C3D4112" w14:textId="77777777"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AE184B" w:rsidRDefault="00617C2B" w:rsidP="00087F21">
      <w:pPr>
        <w:jc w:val="both"/>
        <w:rPr>
          <w:rFonts w:ascii="Arial" w:hAnsi="Arial" w:cs="Arial"/>
          <w:color w:val="000000"/>
          <w:sz w:val="22"/>
          <w:szCs w:val="22"/>
          <w:lang w:val="en-GB"/>
        </w:rPr>
      </w:pPr>
    </w:p>
    <w:p w14:paraId="39BD6E10" w14:textId="77777777" w:rsidR="0011247D" w:rsidRDefault="008C6FAA" w:rsidP="00087F21">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A57E0B">
        <w:rPr>
          <w:rFonts w:ascii="Arial" w:hAnsi="Arial" w:cs="Arial"/>
          <w:color w:val="7B7B7B" w:themeColor="accent3" w:themeShade="BF"/>
          <w:sz w:val="22"/>
          <w:szCs w:val="22"/>
          <w:lang w:val="en-GB"/>
        </w:rPr>
        <w:t>Both the BIA and the CCAA contain broadly worded, discretionary provisions that provide that where an order recognising a foreign proceeding has been made the court may, on application by the foreign representative, if it is satisfied that it is necessary for the protection of t</w:t>
      </w:r>
      <w:r w:rsidR="005A0BC6">
        <w:rPr>
          <w:rFonts w:ascii="Arial" w:hAnsi="Arial" w:cs="Arial"/>
          <w:color w:val="7B7B7B" w:themeColor="accent3" w:themeShade="BF"/>
          <w:sz w:val="22"/>
          <w:szCs w:val="22"/>
          <w:lang w:val="en-GB"/>
        </w:rPr>
        <w:t>h</w:t>
      </w:r>
      <w:r w:rsidR="00A57E0B">
        <w:rPr>
          <w:rFonts w:ascii="Arial" w:hAnsi="Arial" w:cs="Arial"/>
          <w:color w:val="7B7B7B" w:themeColor="accent3" w:themeShade="BF"/>
          <w:sz w:val="22"/>
          <w:szCs w:val="22"/>
          <w:lang w:val="en-GB"/>
        </w:rPr>
        <w:t xml:space="preserve">e debtor companies property or the interest of creditors, make any order that it considers appropriate. </w:t>
      </w:r>
      <w:r w:rsidR="00A57E0B">
        <w:rPr>
          <w:rFonts w:ascii="Arial" w:hAnsi="Arial" w:cs="Arial"/>
          <w:color w:val="7B7B7B" w:themeColor="accent3" w:themeShade="BF"/>
          <w:sz w:val="22"/>
          <w:szCs w:val="22"/>
          <w:lang w:val="en-GB"/>
        </w:rPr>
        <w:lastRenderedPageBreak/>
        <w:t xml:space="preserve">This includes, but not limited to orders respecting the examination of </w:t>
      </w:r>
      <w:r w:rsidR="00E47764">
        <w:rPr>
          <w:rFonts w:ascii="Arial" w:hAnsi="Arial" w:cs="Arial"/>
          <w:color w:val="7B7B7B" w:themeColor="accent3" w:themeShade="BF"/>
          <w:sz w:val="22"/>
          <w:szCs w:val="22"/>
          <w:lang w:val="en-GB"/>
        </w:rPr>
        <w:t>witnesses and the taking of evidence, and provision of information on the debtor’s property and affairs.</w:t>
      </w:r>
    </w:p>
    <w:p w14:paraId="7673A865" w14:textId="77777777" w:rsidR="0011247D" w:rsidRDefault="0011247D" w:rsidP="00087F21">
      <w:pPr>
        <w:jc w:val="both"/>
        <w:rPr>
          <w:rFonts w:ascii="Arial" w:hAnsi="Arial" w:cs="Arial"/>
          <w:color w:val="7B7B7B" w:themeColor="accent3" w:themeShade="BF"/>
          <w:sz w:val="22"/>
          <w:szCs w:val="22"/>
          <w:lang w:val="en-GB"/>
        </w:rPr>
      </w:pPr>
    </w:p>
    <w:p w14:paraId="2A8B9CCA" w14:textId="47AE7155" w:rsidR="00FD6F3D" w:rsidRDefault="005A0BC6"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Nishiyama (2020 BCSC 224), the Court held that the order making powers under section 272(2) grant the Court jurisdiction to make the enumerated kinds of orders</w:t>
      </w:r>
      <w:r w:rsidR="00FD6F3D">
        <w:rPr>
          <w:rFonts w:ascii="Arial" w:hAnsi="Arial" w:cs="Arial"/>
          <w:color w:val="7B7B7B" w:themeColor="accent3" w:themeShade="BF"/>
          <w:sz w:val="22"/>
          <w:szCs w:val="22"/>
          <w:lang w:val="en-GB"/>
        </w:rPr>
        <w:t xml:space="preserve"> in the jurisdiction of the foreign main proceedings where necessary and appropriate to do so once a foreign proceeding is recognised. This is novel because the statute does not specify the jurisdiction in which these orders may apply. The Court noted that section 272(1) of the BIA had not been judicially considered prior to this case. However, the necessity element was clearly made out in this case, as the target of the examination order was legally prohibited from leaving Japan a</w:t>
      </w:r>
      <w:r w:rsidR="007A5687">
        <w:rPr>
          <w:rFonts w:ascii="Arial" w:hAnsi="Arial" w:cs="Arial"/>
          <w:color w:val="7B7B7B" w:themeColor="accent3" w:themeShade="BF"/>
          <w:sz w:val="22"/>
          <w:szCs w:val="22"/>
          <w:lang w:val="en-GB"/>
        </w:rPr>
        <w:t>n</w:t>
      </w:r>
      <w:r w:rsidR="00FD6F3D">
        <w:rPr>
          <w:rFonts w:ascii="Arial" w:hAnsi="Arial" w:cs="Arial"/>
          <w:color w:val="7B7B7B" w:themeColor="accent3" w:themeShade="BF"/>
          <w:sz w:val="22"/>
          <w:szCs w:val="22"/>
          <w:lang w:val="en-GB"/>
        </w:rPr>
        <w:t>d therefore could only be examined there.</w:t>
      </w:r>
    </w:p>
    <w:p w14:paraId="3A0CCA74" w14:textId="77777777" w:rsidR="00FD6F3D" w:rsidRDefault="00FD6F3D" w:rsidP="00087F21">
      <w:pPr>
        <w:jc w:val="both"/>
        <w:rPr>
          <w:rFonts w:ascii="Arial" w:hAnsi="Arial" w:cs="Arial"/>
          <w:color w:val="7B7B7B" w:themeColor="accent3" w:themeShade="BF"/>
          <w:sz w:val="22"/>
          <w:szCs w:val="22"/>
          <w:lang w:val="en-GB"/>
        </w:rPr>
      </w:pPr>
    </w:p>
    <w:p w14:paraId="0FB2E18A" w14:textId="2F92E302" w:rsidR="00AE184B" w:rsidRDefault="00FD6F3D" w:rsidP="00087F21">
      <w:pPr>
        <w:jc w:val="both"/>
        <w:rPr>
          <w:rFonts w:ascii="Arial" w:hAnsi="Arial" w:cs="Arial"/>
          <w:color w:val="7B7B7B"/>
          <w:sz w:val="22"/>
          <w:szCs w:val="22"/>
          <w:lang w:val="en-GB"/>
        </w:rPr>
      </w:pPr>
      <w:r>
        <w:rPr>
          <w:rFonts w:ascii="Arial" w:hAnsi="Arial" w:cs="Arial"/>
          <w:color w:val="7B7B7B" w:themeColor="accent3" w:themeShade="BF"/>
          <w:sz w:val="22"/>
          <w:szCs w:val="22"/>
          <w:lang w:val="en-GB"/>
        </w:rPr>
        <w:t>Thus, only in exceptional circumstances such order may be made</w:t>
      </w:r>
      <w:r w:rsidR="00E47764">
        <w:rPr>
          <w:rFonts w:ascii="Arial" w:hAnsi="Arial" w:cs="Arial"/>
          <w:color w:val="7B7B7B" w:themeColor="accent3" w:themeShade="BF"/>
          <w:sz w:val="22"/>
          <w:szCs w:val="22"/>
          <w:lang w:val="en-GB"/>
        </w:rPr>
        <w:t xml:space="preserve"> </w:t>
      </w:r>
      <w:r w:rsidR="007A5687">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the facts of the case, there is no exceptional circumstances in which the Court may allow examination under the foreign jurisdiction’s procedure rather than Canadian procedure.</w:t>
      </w:r>
      <w:r w:rsidR="008C6FAA" w:rsidRPr="00D80DC2">
        <w:rPr>
          <w:rFonts w:ascii="Arial" w:hAnsi="Arial" w:cs="Arial"/>
          <w:color w:val="7B7B7B" w:themeColor="accent3" w:themeShade="BF"/>
          <w:sz w:val="22"/>
          <w:szCs w:val="22"/>
          <w:lang w:val="en-GB"/>
        </w:rPr>
        <w:t>]</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617C2B" w:rsidP="00087F21">
      <w:pPr>
        <w:jc w:val="both"/>
        <w:rPr>
          <w:rFonts w:ascii="Arial" w:hAnsi="Arial" w:cs="Arial"/>
          <w:color w:val="000000"/>
          <w:sz w:val="22"/>
          <w:szCs w:val="22"/>
          <w:lang w:val="en-GB"/>
        </w:rPr>
      </w:pPr>
    </w:p>
    <w:p w14:paraId="113761F4" w14:textId="77777777" w:rsidR="00AE184B" w:rsidRPr="00D80DC2" w:rsidRDefault="00617C2B"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451C1" w14:textId="77777777" w:rsidR="00617C2B" w:rsidRDefault="00617C2B">
      <w:r>
        <w:separator/>
      </w:r>
    </w:p>
  </w:endnote>
  <w:endnote w:type="continuationSeparator" w:id="0">
    <w:p w14:paraId="565A5014" w14:textId="77777777" w:rsidR="00617C2B" w:rsidRDefault="0061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F306" w14:textId="3473DDC7" w:rsidR="009B4976" w:rsidRPr="009B4976" w:rsidRDefault="00617C2B"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442CDA">
          <w:rPr>
            <w:rStyle w:val="PageNumber"/>
            <w:rFonts w:ascii="Arial" w:hAnsi="Arial" w:cs="Arial"/>
            <w:b/>
            <w:bCs/>
            <w:noProof/>
            <w:sz w:val="18"/>
            <w:szCs w:val="18"/>
          </w:rPr>
          <w:t>7</w:t>
        </w:r>
        <w:r w:rsidR="008C6FAA" w:rsidRPr="0010593A">
          <w:rPr>
            <w:rStyle w:val="PageNumber"/>
            <w:rFonts w:ascii="Arial" w:hAnsi="Arial" w:cs="Arial"/>
            <w:b/>
            <w:bCs/>
            <w:sz w:val="18"/>
            <w:szCs w:val="18"/>
          </w:rPr>
          <w:fldChar w:fldCharType="end"/>
        </w:r>
      </w:sdtContent>
    </w:sdt>
  </w:p>
  <w:p w14:paraId="296E07EB" w14:textId="3755C490" w:rsidR="00241FA3" w:rsidRPr="009B4976" w:rsidRDefault="00B342CD" w:rsidP="009B4976">
    <w:pPr>
      <w:pStyle w:val="Footer"/>
      <w:ind w:right="360"/>
      <w:rPr>
        <w:rFonts w:ascii="Arial" w:hAnsi="Arial" w:cs="Arial"/>
        <w:sz w:val="18"/>
        <w:szCs w:val="18"/>
        <w:lang w:val="en-GB"/>
      </w:rPr>
    </w:pPr>
    <w:r w:rsidRPr="00B342CD">
      <w:rPr>
        <w:rFonts w:ascii="Arial" w:hAnsi="Arial" w:cs="Arial"/>
        <w:sz w:val="18"/>
        <w:szCs w:val="18"/>
        <w:lang w:val="en-GB"/>
      </w:rPr>
      <w:t>202021IFU-366.assessment4C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6516C" w14:textId="77777777" w:rsidR="00617C2B" w:rsidRDefault="00617C2B">
      <w:r>
        <w:separator/>
      </w:r>
    </w:p>
  </w:footnote>
  <w:footnote w:type="continuationSeparator" w:id="0">
    <w:p w14:paraId="3ADE92EC" w14:textId="77777777" w:rsidR="00617C2B" w:rsidRDefault="0061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E4D"/>
    <w:multiLevelType w:val="hybridMultilevel"/>
    <w:tmpl w:val="3860492A"/>
    <w:lvl w:ilvl="0" w:tplc="E982AE6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98B652A"/>
    <w:multiLevelType w:val="hybridMultilevel"/>
    <w:tmpl w:val="E08863D0"/>
    <w:lvl w:ilvl="0" w:tplc="20722DF8">
      <w:start w:val="1"/>
      <w:numFmt w:val="decimal"/>
      <w:lvlText w:val="(%1)"/>
      <w:lvlJc w:val="left"/>
      <w:pPr>
        <w:ind w:left="720" w:hanging="360"/>
      </w:pPr>
      <w:rPr>
        <w:rFonts w:hint="default"/>
        <w:b w:val="0"/>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1" w15:restartNumberingAfterBreak="0">
    <w:nsid w:val="399A78A5"/>
    <w:multiLevelType w:val="hybridMultilevel"/>
    <w:tmpl w:val="EE9462DC"/>
    <w:lvl w:ilvl="0" w:tplc="4736542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3"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4"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9"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0"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1"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2"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3"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8"/>
  </w:num>
  <w:num w:numId="2">
    <w:abstractNumId w:val="22"/>
  </w:num>
  <w:num w:numId="3">
    <w:abstractNumId w:val="3"/>
  </w:num>
  <w:num w:numId="4">
    <w:abstractNumId w:val="20"/>
  </w:num>
  <w:num w:numId="5">
    <w:abstractNumId w:val="24"/>
  </w:num>
  <w:num w:numId="6">
    <w:abstractNumId w:val="19"/>
  </w:num>
  <w:num w:numId="7">
    <w:abstractNumId w:val="1"/>
  </w:num>
  <w:num w:numId="8">
    <w:abstractNumId w:val="21"/>
  </w:num>
  <w:num w:numId="9">
    <w:abstractNumId w:val="4"/>
  </w:num>
  <w:num w:numId="10">
    <w:abstractNumId w:val="10"/>
  </w:num>
  <w:num w:numId="11">
    <w:abstractNumId w:val="12"/>
  </w:num>
  <w:num w:numId="12">
    <w:abstractNumId w:val="13"/>
  </w:num>
  <w:num w:numId="13">
    <w:abstractNumId w:val="17"/>
  </w:num>
  <w:num w:numId="14">
    <w:abstractNumId w:val="6"/>
  </w:num>
  <w:num w:numId="15">
    <w:abstractNumId w:val="9"/>
  </w:num>
  <w:num w:numId="16">
    <w:abstractNumId w:val="5"/>
  </w:num>
  <w:num w:numId="17">
    <w:abstractNumId w:val="2"/>
  </w:num>
  <w:num w:numId="18">
    <w:abstractNumId w:val="16"/>
  </w:num>
  <w:num w:numId="19">
    <w:abstractNumId w:val="23"/>
  </w:num>
  <w:num w:numId="20">
    <w:abstractNumId w:val="14"/>
  </w:num>
  <w:num w:numId="21">
    <w:abstractNumId w:val="8"/>
  </w:num>
  <w:num w:numId="22">
    <w:abstractNumId w:val="15"/>
  </w:num>
  <w:num w:numId="23">
    <w:abstractNumId w:val="11"/>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35DCA"/>
    <w:rsid w:val="00055CC5"/>
    <w:rsid w:val="00055DA7"/>
    <w:rsid w:val="000630C3"/>
    <w:rsid w:val="000957FB"/>
    <w:rsid w:val="001014EB"/>
    <w:rsid w:val="00107795"/>
    <w:rsid w:val="001103B7"/>
    <w:rsid w:val="0011247D"/>
    <w:rsid w:val="0019721F"/>
    <w:rsid w:val="001B0BDE"/>
    <w:rsid w:val="00266441"/>
    <w:rsid w:val="002A49B4"/>
    <w:rsid w:val="002E21BB"/>
    <w:rsid w:val="00363C44"/>
    <w:rsid w:val="003A5728"/>
    <w:rsid w:val="003E3BAE"/>
    <w:rsid w:val="004106D0"/>
    <w:rsid w:val="00410C9A"/>
    <w:rsid w:val="004361E8"/>
    <w:rsid w:val="00442CDA"/>
    <w:rsid w:val="00470986"/>
    <w:rsid w:val="005016E6"/>
    <w:rsid w:val="00513258"/>
    <w:rsid w:val="00554069"/>
    <w:rsid w:val="005625A0"/>
    <w:rsid w:val="005A0BC6"/>
    <w:rsid w:val="005E2DF4"/>
    <w:rsid w:val="005E3DA3"/>
    <w:rsid w:val="00617C2B"/>
    <w:rsid w:val="00630951"/>
    <w:rsid w:val="006816E6"/>
    <w:rsid w:val="00764A50"/>
    <w:rsid w:val="007A5687"/>
    <w:rsid w:val="00843648"/>
    <w:rsid w:val="008A71C9"/>
    <w:rsid w:val="008B5650"/>
    <w:rsid w:val="008C6FAA"/>
    <w:rsid w:val="008F5F63"/>
    <w:rsid w:val="00932D1C"/>
    <w:rsid w:val="009425F7"/>
    <w:rsid w:val="00950086"/>
    <w:rsid w:val="009569A2"/>
    <w:rsid w:val="00991A4F"/>
    <w:rsid w:val="009B504E"/>
    <w:rsid w:val="009B72C9"/>
    <w:rsid w:val="009D6DD4"/>
    <w:rsid w:val="00A13E9B"/>
    <w:rsid w:val="00A254C1"/>
    <w:rsid w:val="00A40488"/>
    <w:rsid w:val="00A57E0B"/>
    <w:rsid w:val="00A62D5A"/>
    <w:rsid w:val="00A70963"/>
    <w:rsid w:val="00B342CD"/>
    <w:rsid w:val="00BA4B17"/>
    <w:rsid w:val="00BB28B7"/>
    <w:rsid w:val="00C158CC"/>
    <w:rsid w:val="00C9484E"/>
    <w:rsid w:val="00CA1E7D"/>
    <w:rsid w:val="00CA49E5"/>
    <w:rsid w:val="00D5441E"/>
    <w:rsid w:val="00D63509"/>
    <w:rsid w:val="00D80C7C"/>
    <w:rsid w:val="00DF3CB5"/>
    <w:rsid w:val="00E0683B"/>
    <w:rsid w:val="00E47764"/>
    <w:rsid w:val="00E6512E"/>
    <w:rsid w:val="00F218CC"/>
    <w:rsid w:val="00F579B0"/>
    <w:rsid w:val="00F57D56"/>
    <w:rsid w:val="00F83D52"/>
    <w:rsid w:val="00FB5294"/>
    <w:rsid w:val="00FD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11</Pages>
  <Words>4147</Words>
  <Characters>21728</Characters>
  <Application>Microsoft Office Word</Application>
  <DocSecurity>0</DocSecurity>
  <Lines>546</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Ravi Prakash Sharma TPR (IN)</cp:lastModifiedBy>
  <cp:revision>15</cp:revision>
  <dcterms:created xsi:type="dcterms:W3CDTF">2021-07-16T10:04:00Z</dcterms:created>
  <dcterms:modified xsi:type="dcterms:W3CDTF">2021-07-17T17:46:00Z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