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6F25A73" w:rsidR="0011473D" w:rsidRDefault="00C56B6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w:t>
      </w:r>
      <w:r w:rsidR="002356EA">
        <w:rPr>
          <w:rFonts w:ascii="Arial" w:hAnsi="Arial" w:cs="Arial"/>
          <w:b/>
          <w:color w:val="000000" w:themeColor="text1"/>
          <w:sz w:val="28"/>
          <w:szCs w:val="28"/>
          <w:lang w:val="en-GB"/>
        </w:rPr>
        <w:t>B</w:t>
      </w:r>
    </w:p>
    <w:p w14:paraId="1DCE41A2" w14:textId="0CB8A9C3" w:rsidR="002638B0" w:rsidRDefault="002638B0"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7AF811C2" w:rsidR="002638B0" w:rsidRPr="00996691" w:rsidRDefault="0099669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 xml:space="preserve">INSOLVENCY SYSTEM OF THE UNITED </w:t>
      </w:r>
      <w:r w:rsidR="002356EA">
        <w:rPr>
          <w:rFonts w:ascii="Arial" w:hAnsi="Arial" w:cs="Arial"/>
          <w:b/>
          <w:color w:val="000000" w:themeColor="text1"/>
          <w:sz w:val="24"/>
          <w:lang w:val="en-GB"/>
        </w:rPr>
        <w:t>KINGDOM</w:t>
      </w:r>
      <w:r w:rsidR="007A5171">
        <w:rPr>
          <w:rFonts w:ascii="Arial" w:hAnsi="Arial" w:cs="Arial"/>
          <w:b/>
          <w:color w:val="000000" w:themeColor="text1"/>
          <w:sz w:val="24"/>
          <w:lang w:val="en-GB"/>
        </w:rPr>
        <w:t xml:space="preserve"> (ENGLAND AND WALES)</w:t>
      </w:r>
    </w:p>
    <w:p w14:paraId="5E119630" w14:textId="77777777" w:rsidR="00434A8C" w:rsidRPr="007C6201"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65F7EBF4"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 xml:space="preserve">[student </w:t>
      </w:r>
      <w:proofErr w:type="gramStart"/>
      <w:r w:rsidRPr="00BF1C6F">
        <w:rPr>
          <w:rFonts w:ascii="Arial" w:hAnsi="Arial" w:cs="Arial"/>
          <w:b/>
          <w:bCs/>
          <w:sz w:val="22"/>
          <w:szCs w:val="22"/>
          <w:lang w:val="en-GB" w:eastAsia="en-GB"/>
        </w:rPr>
        <w:t>number.assessment</w:t>
      </w:r>
      <w:proofErr w:type="gramEnd"/>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2508EF22"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407E800"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66D546CF" w14:textId="63151C75" w:rsidR="00867701" w:rsidRDefault="00FA12B9" w:rsidP="00C55824">
      <w:pPr>
        <w:jc w:val="both"/>
        <w:rPr>
          <w:rFonts w:ascii="Arial" w:hAnsi="Arial" w:cs="Arial"/>
          <w:sz w:val="22"/>
          <w:szCs w:val="22"/>
          <w:lang w:val="en-GB"/>
        </w:rPr>
      </w:pPr>
      <w:r>
        <w:rPr>
          <w:rFonts w:ascii="Arial" w:hAnsi="Arial" w:cs="Arial"/>
          <w:sz w:val="22"/>
          <w:szCs w:val="22"/>
          <w:lang w:val="en-GB"/>
        </w:rPr>
        <w:t xml:space="preserve">What is the </w:t>
      </w:r>
      <w:r w:rsidR="00474C2B">
        <w:rPr>
          <w:rFonts w:ascii="Arial" w:hAnsi="Arial" w:cs="Arial"/>
          <w:sz w:val="22"/>
          <w:szCs w:val="22"/>
          <w:lang w:val="en-GB"/>
        </w:rPr>
        <w:t xml:space="preserve">initial period for </w:t>
      </w:r>
      <w:r>
        <w:rPr>
          <w:rFonts w:ascii="Arial" w:hAnsi="Arial" w:cs="Arial"/>
          <w:sz w:val="22"/>
          <w:szCs w:val="22"/>
          <w:lang w:val="en-GB"/>
        </w:rPr>
        <w:t xml:space="preserve">a Moratorium under Part </w:t>
      </w:r>
      <w:r w:rsidR="006D282B">
        <w:rPr>
          <w:rFonts w:ascii="Arial" w:hAnsi="Arial" w:cs="Arial"/>
          <w:sz w:val="22"/>
          <w:szCs w:val="22"/>
          <w:lang w:val="en-GB"/>
        </w:rPr>
        <w:t>1A</w:t>
      </w:r>
      <w:r w:rsidR="00E443D7">
        <w:rPr>
          <w:rFonts w:ascii="Arial" w:hAnsi="Arial" w:cs="Arial"/>
          <w:sz w:val="22"/>
          <w:szCs w:val="22"/>
          <w:lang w:val="en-GB"/>
        </w:rPr>
        <w:t xml:space="preserve"> of the </w:t>
      </w:r>
      <w:r w:rsidR="00867701" w:rsidRPr="006D2BBF">
        <w:rPr>
          <w:rFonts w:ascii="Arial" w:hAnsi="Arial" w:cs="Arial"/>
          <w:sz w:val="22"/>
          <w:szCs w:val="22"/>
          <w:lang w:val="en-GB"/>
        </w:rPr>
        <w:t>Insolvency Act 1986</w:t>
      </w:r>
      <w:r w:rsidR="00474C2B">
        <w:rPr>
          <w:rFonts w:ascii="Arial" w:hAnsi="Arial" w:cs="Arial"/>
          <w:sz w:val="22"/>
          <w:szCs w:val="22"/>
          <w:lang w:val="en-GB"/>
        </w:rPr>
        <w:t xml:space="preserve"> where the directors file relevant documents at court</w:t>
      </w:r>
      <w:r w:rsidR="00867701" w:rsidRPr="006D2BBF">
        <w:rPr>
          <w:rFonts w:ascii="Arial" w:hAnsi="Arial" w:cs="Arial"/>
          <w:sz w:val="22"/>
          <w:szCs w:val="22"/>
          <w:lang w:val="en-GB"/>
        </w:rPr>
        <w:t>?</w:t>
      </w:r>
    </w:p>
    <w:p w14:paraId="2FEB1275" w14:textId="77777777" w:rsidR="00876F56" w:rsidRPr="006D2BBF" w:rsidRDefault="00876F56" w:rsidP="00C55824">
      <w:pPr>
        <w:jc w:val="both"/>
        <w:rPr>
          <w:rFonts w:ascii="Arial" w:hAnsi="Arial" w:cs="Arial"/>
          <w:sz w:val="22"/>
          <w:szCs w:val="22"/>
          <w:lang w:val="en-GB"/>
        </w:rPr>
      </w:pPr>
    </w:p>
    <w:p w14:paraId="1F0A6F95" w14:textId="53651EF2" w:rsidR="00867701"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20 days</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69610AB8" w:rsidR="00867701" w:rsidRPr="000F4858" w:rsidRDefault="00E443D7" w:rsidP="00B04033">
      <w:pPr>
        <w:pStyle w:val="ListParagraph"/>
        <w:numPr>
          <w:ilvl w:val="0"/>
          <w:numId w:val="1"/>
        </w:numPr>
        <w:ind w:left="426"/>
        <w:jc w:val="both"/>
        <w:rPr>
          <w:rFonts w:ascii="Arial" w:hAnsi="Arial" w:cs="Arial"/>
          <w:sz w:val="22"/>
          <w:szCs w:val="22"/>
          <w:highlight w:val="yellow"/>
          <w:lang w:val="en-GB"/>
        </w:rPr>
      </w:pPr>
      <w:r w:rsidRPr="000F4858">
        <w:rPr>
          <w:rFonts w:ascii="Arial" w:hAnsi="Arial" w:cs="Arial"/>
          <w:sz w:val="22"/>
          <w:szCs w:val="22"/>
          <w:highlight w:val="yellow"/>
          <w:lang w:val="en-GB"/>
        </w:rPr>
        <w:t>20 business days</w:t>
      </w:r>
      <w:r w:rsidR="00763348" w:rsidRPr="000F4858">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4AE528C2" w:rsidR="00867701"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40 days</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5459743D" w:rsidR="00867701" w:rsidRPr="00876F56"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at is the maximum length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Pr="00FE6C30" w:rsidRDefault="00E443D7" w:rsidP="00B04033">
      <w:pPr>
        <w:pStyle w:val="ListParagraph"/>
        <w:numPr>
          <w:ilvl w:val="0"/>
          <w:numId w:val="2"/>
        </w:numPr>
        <w:ind w:left="426"/>
        <w:jc w:val="both"/>
        <w:rPr>
          <w:rFonts w:ascii="Arial" w:hAnsi="Arial" w:cs="Arial"/>
          <w:sz w:val="22"/>
          <w:szCs w:val="22"/>
          <w:highlight w:val="yellow"/>
          <w:lang w:val="en-GB"/>
        </w:rPr>
      </w:pPr>
      <w:r w:rsidRPr="00FE6C30">
        <w:rPr>
          <w:rFonts w:ascii="Arial" w:hAnsi="Arial" w:cs="Arial"/>
          <w:sz w:val="22"/>
          <w:szCs w:val="22"/>
          <w:highlight w:val="yellow"/>
          <w:lang w:val="en-GB"/>
        </w:rPr>
        <w:t>One year and 20 business days</w:t>
      </w:r>
      <w:r w:rsidR="00763348" w:rsidRPr="00FE6C30">
        <w:rPr>
          <w:rFonts w:ascii="Arial" w:hAnsi="Arial" w:cs="Arial"/>
          <w:sz w:val="22"/>
          <w:szCs w:val="22"/>
          <w:highlight w:val="yellow"/>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01D7D" w:rsidRDefault="00E443D7" w:rsidP="00B04033">
      <w:pPr>
        <w:pStyle w:val="ListParagraph"/>
        <w:numPr>
          <w:ilvl w:val="0"/>
          <w:numId w:val="2"/>
        </w:numPr>
        <w:ind w:left="426"/>
        <w:jc w:val="both"/>
        <w:rPr>
          <w:rFonts w:ascii="Arial" w:hAnsi="Arial" w:cs="Arial"/>
          <w:sz w:val="22"/>
          <w:szCs w:val="22"/>
          <w:lang w:val="en-GB"/>
        </w:rPr>
      </w:pPr>
      <w:r w:rsidRPr="00F01D7D">
        <w:rPr>
          <w:rFonts w:ascii="Arial" w:hAnsi="Arial" w:cs="Arial"/>
          <w:sz w:val="22"/>
          <w:szCs w:val="22"/>
          <w:lang w:val="en-GB"/>
        </w:rPr>
        <w:t>One year</w:t>
      </w:r>
      <w:r w:rsidR="00763348">
        <w:rPr>
          <w:rFonts w:ascii="Arial" w:hAnsi="Arial" w:cs="Arial"/>
          <w:sz w:val="22"/>
          <w:szCs w:val="22"/>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15AB8B35" w:rsidR="00867701" w:rsidRDefault="008D1616" w:rsidP="00C55824">
      <w:pPr>
        <w:jc w:val="both"/>
        <w:rPr>
          <w:rFonts w:ascii="Arial" w:hAnsi="Arial" w:cs="Arial"/>
          <w:sz w:val="22"/>
          <w:szCs w:val="22"/>
          <w:lang w:val="en-GB"/>
        </w:rPr>
      </w:pPr>
      <w:r w:rsidRPr="008D1616">
        <w:rPr>
          <w:rFonts w:ascii="Arial" w:hAnsi="Arial" w:cs="Arial"/>
          <w:sz w:val="22"/>
          <w:szCs w:val="22"/>
          <w:lang w:val="en-GB"/>
        </w:rPr>
        <w:t>Which of the following is not a requirement for a company which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B33FFC3"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48742750"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a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77777777" w:rsidR="00763348" w:rsidRPr="00763348" w:rsidRDefault="00763348" w:rsidP="00763348">
      <w:pPr>
        <w:ind w:left="66"/>
        <w:jc w:val="both"/>
        <w:rPr>
          <w:rFonts w:ascii="Arial" w:hAnsi="Arial" w:cs="Arial"/>
          <w:sz w:val="22"/>
          <w:szCs w:val="22"/>
          <w:lang w:val="en-GB"/>
        </w:rPr>
      </w:pPr>
    </w:p>
    <w:p w14:paraId="6B1A98EB" w14:textId="64897C98"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39056059" w:rsidR="00867701" w:rsidRPr="00C5211F" w:rsidRDefault="008D1616" w:rsidP="00B04033">
      <w:pPr>
        <w:pStyle w:val="ListParagraph"/>
        <w:numPr>
          <w:ilvl w:val="0"/>
          <w:numId w:val="3"/>
        </w:numPr>
        <w:ind w:left="426"/>
        <w:jc w:val="both"/>
        <w:rPr>
          <w:rFonts w:ascii="Arial" w:hAnsi="Arial" w:cs="Arial"/>
          <w:sz w:val="22"/>
          <w:szCs w:val="22"/>
          <w:highlight w:val="yellow"/>
          <w:lang w:val="en-GB"/>
        </w:rPr>
      </w:pPr>
      <w:r w:rsidRPr="00C5211F">
        <w:rPr>
          <w:rFonts w:ascii="Arial" w:hAnsi="Arial" w:cs="Arial"/>
          <w:sz w:val="22"/>
          <w:szCs w:val="22"/>
          <w:highlight w:val="yellow"/>
          <w:lang w:val="en-GB"/>
        </w:rPr>
        <w:t>the company is, or is likely to become, unable to pay their debts, as defined under s</w:t>
      </w:r>
      <w:r w:rsidR="00E833F4" w:rsidRPr="00C5211F">
        <w:rPr>
          <w:rFonts w:ascii="Arial" w:hAnsi="Arial" w:cs="Arial"/>
          <w:sz w:val="22"/>
          <w:szCs w:val="22"/>
          <w:highlight w:val="yellow"/>
          <w:lang w:val="en-GB"/>
        </w:rPr>
        <w:t>ection</w:t>
      </w:r>
      <w:r w:rsidRPr="00C5211F">
        <w:rPr>
          <w:rFonts w:ascii="Arial" w:hAnsi="Arial" w:cs="Arial"/>
          <w:sz w:val="22"/>
          <w:szCs w:val="22"/>
          <w:highlight w:val="yellow"/>
          <w:lang w:val="en-GB"/>
        </w:rPr>
        <w:t xml:space="preserve"> 123 of the Insolvency Act 1986</w:t>
      </w:r>
      <w:r w:rsidR="00763348" w:rsidRPr="00C5211F">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4654197F" w:rsidR="00867701" w:rsidRDefault="00867701" w:rsidP="00C55824">
      <w:pPr>
        <w:jc w:val="both"/>
        <w:rPr>
          <w:rFonts w:ascii="Arial" w:hAnsi="Arial" w:cs="Arial"/>
          <w:sz w:val="22"/>
          <w:szCs w:val="22"/>
          <w:lang w:val="en-GB"/>
        </w:rPr>
      </w:pPr>
      <w:r w:rsidRPr="006D2BBF">
        <w:rPr>
          <w:rFonts w:ascii="Arial" w:hAnsi="Arial" w:cs="Arial"/>
          <w:sz w:val="22"/>
          <w:szCs w:val="22"/>
          <w:lang w:val="en-GB"/>
        </w:rPr>
        <w:t xml:space="preserve">What percentage of creditors must approve </w:t>
      </w:r>
      <w:r w:rsidR="008D1616">
        <w:rPr>
          <w:rFonts w:ascii="Arial" w:hAnsi="Arial" w:cs="Arial"/>
          <w:sz w:val="22"/>
          <w:szCs w:val="22"/>
          <w:lang w:val="en-GB"/>
        </w:rPr>
        <w:t>a Scheme of Arrangement under Part 26 of the Companies Act 2006</w:t>
      </w:r>
      <w:r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207D4739" w:rsidR="00867701" w:rsidRDefault="008D1616"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9A3AB7">
        <w:rPr>
          <w:rFonts w:ascii="Arial" w:hAnsi="Arial" w:cs="Arial"/>
          <w:sz w:val="22"/>
          <w:szCs w:val="22"/>
          <w:lang w:val="en-GB"/>
        </w:rPr>
        <w:t>in value</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4405D76B" w:rsidR="00867701" w:rsidRDefault="008D1616"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C55824">
        <w:rPr>
          <w:rFonts w:ascii="Arial" w:hAnsi="Arial" w:cs="Arial"/>
          <w:sz w:val="22"/>
          <w:szCs w:val="22"/>
          <w:lang w:val="en-GB"/>
        </w:rPr>
        <w:t xml:space="preserve">50% </w:t>
      </w:r>
      <w:r w:rsidR="00FA417D">
        <w:rPr>
          <w:rFonts w:ascii="Arial" w:hAnsi="Arial" w:cs="Arial"/>
          <w:sz w:val="22"/>
          <w:szCs w:val="22"/>
          <w:lang w:val="en-GB"/>
        </w:rPr>
        <w:t xml:space="preserve">or more </w:t>
      </w:r>
      <w:r w:rsidR="00867701" w:rsidRPr="00C55824">
        <w:rPr>
          <w:rFonts w:ascii="Arial" w:hAnsi="Arial" w:cs="Arial"/>
          <w:sz w:val="22"/>
          <w:szCs w:val="22"/>
          <w:lang w:val="en-GB"/>
        </w:rPr>
        <w:t>in value</w:t>
      </w:r>
      <w:r w:rsidR="00763348">
        <w:rPr>
          <w:rFonts w:ascii="Arial" w:hAnsi="Arial" w:cs="Arial"/>
          <w:sz w:val="22"/>
          <w:szCs w:val="22"/>
          <w:lang w:val="en-GB"/>
        </w:rPr>
        <w:t>.</w:t>
      </w:r>
    </w:p>
    <w:p w14:paraId="2F2602FE" w14:textId="77777777" w:rsidR="00763348" w:rsidRPr="00763348" w:rsidRDefault="00763348" w:rsidP="00763348">
      <w:pPr>
        <w:ind w:left="66"/>
        <w:jc w:val="both"/>
        <w:rPr>
          <w:rFonts w:ascii="Arial" w:hAnsi="Arial" w:cs="Arial"/>
          <w:sz w:val="22"/>
          <w:szCs w:val="22"/>
          <w:lang w:val="en-GB"/>
        </w:rPr>
      </w:pPr>
    </w:p>
    <w:p w14:paraId="6B3DB13D" w14:textId="1E24D822" w:rsidR="00867701" w:rsidRPr="00C47253" w:rsidRDefault="008D1616" w:rsidP="00B04033">
      <w:pPr>
        <w:pStyle w:val="ListParagraph"/>
        <w:numPr>
          <w:ilvl w:val="0"/>
          <w:numId w:val="4"/>
        </w:numPr>
        <w:ind w:left="426"/>
        <w:jc w:val="both"/>
        <w:rPr>
          <w:rFonts w:ascii="Arial" w:hAnsi="Arial" w:cs="Arial"/>
          <w:sz w:val="22"/>
          <w:szCs w:val="22"/>
          <w:highlight w:val="yellow"/>
          <w:lang w:val="en-GB"/>
        </w:rPr>
      </w:pPr>
      <w:r w:rsidRPr="00C47253">
        <w:rPr>
          <w:rFonts w:ascii="Arial" w:hAnsi="Arial" w:cs="Arial"/>
          <w:sz w:val="22"/>
          <w:szCs w:val="22"/>
          <w:highlight w:val="yellow"/>
          <w:lang w:val="en-GB"/>
        </w:rPr>
        <w:t xml:space="preserve">A majority in number and </w:t>
      </w:r>
      <w:r w:rsidR="00867701" w:rsidRPr="00C47253">
        <w:rPr>
          <w:rFonts w:ascii="Arial" w:hAnsi="Arial" w:cs="Arial"/>
          <w:sz w:val="22"/>
          <w:szCs w:val="22"/>
          <w:highlight w:val="yellow"/>
          <w:lang w:val="en-GB"/>
        </w:rPr>
        <w:t xml:space="preserve">75% </w:t>
      </w:r>
      <w:r w:rsidRPr="00C47253">
        <w:rPr>
          <w:rFonts w:ascii="Arial" w:hAnsi="Arial" w:cs="Arial"/>
          <w:sz w:val="22"/>
          <w:szCs w:val="22"/>
          <w:highlight w:val="yellow"/>
          <w:lang w:val="en-GB"/>
        </w:rPr>
        <w:t xml:space="preserve">or more </w:t>
      </w:r>
      <w:r w:rsidR="00867701" w:rsidRPr="00C47253">
        <w:rPr>
          <w:rFonts w:ascii="Arial" w:hAnsi="Arial" w:cs="Arial"/>
          <w:sz w:val="22"/>
          <w:szCs w:val="22"/>
          <w:highlight w:val="yellow"/>
          <w:lang w:val="en-GB"/>
        </w:rPr>
        <w:t>in value</w:t>
      </w:r>
      <w:r w:rsidR="00763348" w:rsidRPr="00C47253">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1AD1D1B3" w:rsidR="00867701" w:rsidRPr="00C55824" w:rsidRDefault="00867701" w:rsidP="00B04033">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75% or more in value</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is not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Default="00BA1CFD" w:rsidP="00B04033">
      <w:pPr>
        <w:pStyle w:val="ListParagraph"/>
        <w:numPr>
          <w:ilvl w:val="0"/>
          <w:numId w:val="5"/>
        </w:numPr>
        <w:ind w:left="426"/>
        <w:jc w:val="both"/>
        <w:rPr>
          <w:rFonts w:ascii="Arial" w:hAnsi="Arial" w:cs="Arial"/>
          <w:sz w:val="22"/>
          <w:szCs w:val="22"/>
          <w:lang w:val="en-GB"/>
        </w:rPr>
      </w:pPr>
      <w:r w:rsidRPr="00F01D7D">
        <w:rPr>
          <w:rFonts w:ascii="Arial" w:hAnsi="Arial" w:cs="Arial"/>
          <w:sz w:val="22"/>
          <w:szCs w:val="22"/>
          <w:lang w:val="en-GB"/>
        </w:rPr>
        <w:t>Administration</w:t>
      </w:r>
      <w:r w:rsidR="00763348">
        <w:rPr>
          <w:rFonts w:ascii="Arial" w:hAnsi="Arial" w:cs="Arial"/>
          <w:sz w:val="22"/>
          <w:szCs w:val="22"/>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Pr="00C47253" w:rsidRDefault="00BA1CFD" w:rsidP="00B04033">
      <w:pPr>
        <w:pStyle w:val="ListParagraph"/>
        <w:numPr>
          <w:ilvl w:val="0"/>
          <w:numId w:val="5"/>
        </w:numPr>
        <w:ind w:left="426"/>
        <w:jc w:val="both"/>
        <w:rPr>
          <w:rFonts w:ascii="Arial" w:hAnsi="Arial" w:cs="Arial"/>
          <w:sz w:val="22"/>
          <w:szCs w:val="22"/>
          <w:lang w:val="en-GB"/>
        </w:rPr>
      </w:pPr>
      <w:r w:rsidRPr="00C47253">
        <w:rPr>
          <w:rFonts w:ascii="Arial" w:hAnsi="Arial" w:cs="Arial"/>
          <w:sz w:val="22"/>
          <w:szCs w:val="22"/>
          <w:lang w:val="en-GB"/>
        </w:rPr>
        <w:t>Restructuring Plan</w:t>
      </w:r>
      <w:r w:rsidR="00763348" w:rsidRPr="00C47253">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47253" w:rsidRDefault="00BA1CFD" w:rsidP="00B04033">
      <w:pPr>
        <w:pStyle w:val="ListParagraph"/>
        <w:numPr>
          <w:ilvl w:val="0"/>
          <w:numId w:val="5"/>
        </w:numPr>
        <w:ind w:left="426"/>
        <w:jc w:val="both"/>
        <w:rPr>
          <w:rFonts w:ascii="Arial" w:hAnsi="Arial" w:cs="Arial"/>
          <w:sz w:val="22"/>
          <w:szCs w:val="22"/>
          <w:highlight w:val="yellow"/>
          <w:lang w:val="en-GB"/>
        </w:rPr>
      </w:pPr>
      <w:r w:rsidRPr="00C47253">
        <w:rPr>
          <w:rFonts w:ascii="Arial" w:hAnsi="Arial" w:cs="Arial"/>
          <w:sz w:val="22"/>
          <w:szCs w:val="22"/>
          <w:highlight w:val="yellow"/>
          <w:lang w:val="en-GB"/>
        </w:rPr>
        <w:t>Company Voluntary Arrangement</w:t>
      </w:r>
      <w:r w:rsidR="00763348" w:rsidRPr="00C47253">
        <w:rPr>
          <w:rFonts w:ascii="Arial" w:hAnsi="Arial" w:cs="Arial"/>
          <w:sz w:val="22"/>
          <w:szCs w:val="22"/>
          <w:highlight w:val="yellow"/>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no greater than </w:t>
      </w:r>
      <w:r>
        <w:rPr>
          <w:rFonts w:ascii="Arial" w:hAnsi="Arial" w:cs="Arial"/>
          <w:sz w:val="22"/>
          <w:szCs w:val="22"/>
          <w:lang w:val="en-GB"/>
        </w:rPr>
        <w:t>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30480A" w:rsidRDefault="00BA1CFD" w:rsidP="00B04033">
      <w:pPr>
        <w:pStyle w:val="ListParagraph"/>
        <w:numPr>
          <w:ilvl w:val="0"/>
          <w:numId w:val="6"/>
        </w:numPr>
        <w:ind w:left="426"/>
        <w:jc w:val="both"/>
        <w:rPr>
          <w:rFonts w:ascii="Arial" w:hAnsi="Arial" w:cs="Arial"/>
          <w:sz w:val="22"/>
          <w:szCs w:val="22"/>
          <w:highlight w:val="yellow"/>
          <w:lang w:val="en-GB"/>
        </w:rPr>
      </w:pPr>
      <w:r w:rsidRPr="0030480A">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Which one of the following is not,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C47253" w:rsidRDefault="00BA1CFD" w:rsidP="00B04033">
      <w:pPr>
        <w:pStyle w:val="ListParagraph"/>
        <w:numPr>
          <w:ilvl w:val="0"/>
          <w:numId w:val="7"/>
        </w:numPr>
        <w:ind w:left="426"/>
        <w:jc w:val="both"/>
        <w:rPr>
          <w:rFonts w:ascii="Arial" w:hAnsi="Arial" w:cs="Arial"/>
          <w:sz w:val="22"/>
          <w:szCs w:val="22"/>
          <w:highlight w:val="yellow"/>
          <w:lang w:val="en-GB"/>
        </w:rPr>
      </w:pPr>
      <w:r w:rsidRPr="00C47253">
        <w:rPr>
          <w:rFonts w:ascii="Arial" w:hAnsi="Arial" w:cs="Arial"/>
          <w:sz w:val="22"/>
          <w:szCs w:val="22"/>
          <w:highlight w:val="yellow"/>
          <w:lang w:val="en-GB"/>
        </w:rPr>
        <w:t>Breach of fiduciary duty</w:t>
      </w:r>
      <w:r w:rsidR="00763348" w:rsidRPr="00C47253">
        <w:rPr>
          <w:rFonts w:ascii="Arial" w:hAnsi="Arial" w:cs="Arial"/>
          <w:sz w:val="22"/>
          <w:szCs w:val="22"/>
          <w:highlight w:val="yellow"/>
          <w:lang w:val="en-GB"/>
        </w:rPr>
        <w:t>.</w:t>
      </w:r>
    </w:p>
    <w:p w14:paraId="28A6DC8D" w14:textId="77777777" w:rsidR="00763348" w:rsidRPr="00763348" w:rsidRDefault="00763348" w:rsidP="00763348">
      <w:pPr>
        <w:ind w:left="66"/>
        <w:jc w:val="both"/>
        <w:rPr>
          <w:rFonts w:ascii="Arial" w:hAnsi="Arial" w:cs="Arial"/>
          <w:sz w:val="22"/>
          <w:szCs w:val="22"/>
          <w:lang w:val="en-GB"/>
        </w:rPr>
      </w:pP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C47253" w:rsidRDefault="00BA1CFD" w:rsidP="00B04033">
      <w:pPr>
        <w:pStyle w:val="ListParagraph"/>
        <w:numPr>
          <w:ilvl w:val="0"/>
          <w:numId w:val="7"/>
        </w:numPr>
        <w:ind w:left="426"/>
        <w:jc w:val="both"/>
        <w:rPr>
          <w:rFonts w:ascii="Arial" w:hAnsi="Arial" w:cs="Arial"/>
          <w:sz w:val="22"/>
          <w:szCs w:val="22"/>
          <w:lang w:val="en-GB"/>
        </w:rPr>
      </w:pPr>
      <w:r w:rsidRPr="00C47253">
        <w:rPr>
          <w:rFonts w:ascii="Arial" w:hAnsi="Arial" w:cs="Arial"/>
          <w:sz w:val="22"/>
          <w:szCs w:val="22"/>
          <w:lang w:val="en-GB"/>
        </w:rPr>
        <w:t>Being found guilty of an indictable offence overseas</w:t>
      </w:r>
      <w:r w:rsidR="00763348" w:rsidRPr="00C47253">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1B567EB0" w14:textId="6046EA45" w:rsidR="00763348" w:rsidRDefault="00763348" w:rsidP="00C55824">
      <w:pPr>
        <w:jc w:val="both"/>
        <w:rPr>
          <w:rFonts w:ascii="Arial" w:eastAsiaTheme="minorHAnsi" w:hAnsi="Arial" w:cs="Arial"/>
          <w:sz w:val="22"/>
          <w:szCs w:val="22"/>
          <w:lang w:val="en-GB"/>
        </w:rPr>
      </w:pPr>
    </w:p>
    <w:p w14:paraId="1B964C15" w14:textId="77777777" w:rsidR="00763348" w:rsidRDefault="00763348"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279AEA6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The administrator is under a general duty to make a statement 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send out the statement of proposals as soon as reasonably practicable, and in any event within </w:t>
      </w:r>
      <w:r>
        <w:rPr>
          <w:rFonts w:ascii="Arial" w:hAnsi="Arial" w:cs="Arial"/>
          <w:sz w:val="22"/>
          <w:szCs w:val="22"/>
          <w:lang w:val="en-GB"/>
        </w:rPr>
        <w:t xml:space="preserve">how many </w:t>
      </w:r>
      <w:r w:rsidRPr="00BA1CFD">
        <w:rPr>
          <w:rFonts w:ascii="Arial" w:hAnsi="Arial" w:cs="Arial"/>
          <w:sz w:val="22"/>
          <w:szCs w:val="22"/>
          <w:lang w:val="en-GB"/>
        </w:rPr>
        <w:t>weeks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C47253" w:rsidRDefault="00876F56" w:rsidP="00B04033">
      <w:pPr>
        <w:pStyle w:val="ListParagraph"/>
        <w:numPr>
          <w:ilvl w:val="0"/>
          <w:numId w:val="8"/>
        </w:numPr>
        <w:ind w:left="426"/>
        <w:jc w:val="both"/>
        <w:rPr>
          <w:rFonts w:ascii="Arial" w:hAnsi="Arial" w:cs="Arial"/>
          <w:sz w:val="22"/>
          <w:szCs w:val="22"/>
          <w:highlight w:val="yellow"/>
          <w:lang w:val="en-GB"/>
        </w:rPr>
      </w:pPr>
      <w:r w:rsidRPr="00C47253">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Default="00876F56" w:rsidP="00B04033">
      <w:pPr>
        <w:pStyle w:val="ListParagraph"/>
        <w:numPr>
          <w:ilvl w:val="0"/>
          <w:numId w:val="8"/>
        </w:numPr>
        <w:ind w:left="426"/>
        <w:jc w:val="both"/>
        <w:rPr>
          <w:rFonts w:ascii="Arial" w:hAnsi="Arial" w:cs="Arial"/>
          <w:sz w:val="22"/>
          <w:szCs w:val="22"/>
          <w:lang w:val="en-GB"/>
        </w:rPr>
      </w:pPr>
      <w:r w:rsidRPr="009A3AB7">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4683C003" w:rsidR="00876F56" w:rsidRDefault="00E833F4" w:rsidP="00C55824">
      <w:pPr>
        <w:jc w:val="both"/>
        <w:rPr>
          <w:rFonts w:ascii="Arial" w:hAnsi="Arial" w:cs="Arial"/>
          <w:sz w:val="22"/>
          <w:szCs w:val="22"/>
          <w:lang w:val="en-GB"/>
        </w:rPr>
      </w:pPr>
      <w:r>
        <w:rPr>
          <w:rFonts w:ascii="Arial" w:hAnsi="Arial" w:cs="Arial"/>
          <w:sz w:val="22"/>
          <w:szCs w:val="22"/>
          <w:lang w:val="en-GB"/>
        </w:rPr>
        <w:t>Which of the following has the power to bring an action for wrongful trading under the Insolvency Act 1986</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78C93992" w14:textId="16E3242B" w:rsidR="00876F56"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 monitor of a Moratorium</w:t>
      </w:r>
      <w:r w:rsidR="00763348">
        <w:rPr>
          <w:rFonts w:ascii="Arial" w:hAnsi="Arial" w:cs="Arial"/>
          <w:sz w:val="22"/>
          <w:szCs w:val="22"/>
          <w:lang w:val="en-GB"/>
        </w:rPr>
        <w:t>.</w:t>
      </w:r>
    </w:p>
    <w:p w14:paraId="22EF3C05" w14:textId="77777777" w:rsidR="00763348" w:rsidRPr="00763348" w:rsidRDefault="00763348" w:rsidP="00763348">
      <w:pPr>
        <w:ind w:left="66"/>
        <w:jc w:val="both"/>
        <w:rPr>
          <w:rFonts w:ascii="Arial" w:hAnsi="Arial" w:cs="Arial"/>
          <w:sz w:val="22"/>
          <w:szCs w:val="22"/>
          <w:lang w:val="en-GB"/>
        </w:rPr>
      </w:pPr>
    </w:p>
    <w:p w14:paraId="5AB28143" w14:textId="4430F83D" w:rsidR="00876F56"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 supervisor of a Company Voluntary Arrangement</w:t>
      </w:r>
      <w:r w:rsidR="00763348">
        <w:rPr>
          <w:rFonts w:ascii="Arial" w:hAnsi="Arial" w:cs="Arial"/>
          <w:sz w:val="22"/>
          <w:szCs w:val="22"/>
          <w:lang w:val="en-GB"/>
        </w:rPr>
        <w:t>.</w:t>
      </w:r>
    </w:p>
    <w:p w14:paraId="25B01900" w14:textId="77777777" w:rsidR="00763348" w:rsidRPr="00763348" w:rsidRDefault="00763348" w:rsidP="00763348">
      <w:pPr>
        <w:ind w:left="66"/>
        <w:jc w:val="both"/>
        <w:rPr>
          <w:rFonts w:ascii="Arial" w:hAnsi="Arial" w:cs="Arial"/>
          <w:sz w:val="22"/>
          <w:szCs w:val="22"/>
          <w:lang w:val="en-GB"/>
        </w:rPr>
      </w:pPr>
    </w:p>
    <w:p w14:paraId="0D15BE7C" w14:textId="49BA31C9" w:rsidR="00876F56" w:rsidRPr="00C47253" w:rsidRDefault="00E833F4" w:rsidP="00B04033">
      <w:pPr>
        <w:pStyle w:val="ListParagraph"/>
        <w:numPr>
          <w:ilvl w:val="0"/>
          <w:numId w:val="9"/>
        </w:numPr>
        <w:ind w:left="426"/>
        <w:jc w:val="both"/>
        <w:rPr>
          <w:rFonts w:ascii="Arial" w:hAnsi="Arial" w:cs="Arial"/>
          <w:sz w:val="22"/>
          <w:szCs w:val="22"/>
          <w:highlight w:val="yellow"/>
          <w:lang w:val="en-GB"/>
        </w:rPr>
      </w:pPr>
      <w:r w:rsidRPr="00C47253">
        <w:rPr>
          <w:rFonts w:ascii="Arial" w:hAnsi="Arial" w:cs="Arial"/>
          <w:sz w:val="22"/>
          <w:szCs w:val="22"/>
          <w:highlight w:val="yellow"/>
          <w:lang w:val="en-GB"/>
        </w:rPr>
        <w:t>An administrator</w:t>
      </w:r>
      <w:r w:rsidR="00763348" w:rsidRPr="00C47253">
        <w:rPr>
          <w:rFonts w:ascii="Arial" w:hAnsi="Arial" w:cs="Arial"/>
          <w:sz w:val="22"/>
          <w:szCs w:val="22"/>
          <w:highlight w:val="yellow"/>
          <w:lang w:val="en-GB"/>
        </w:rPr>
        <w:t>.</w:t>
      </w:r>
    </w:p>
    <w:p w14:paraId="0714CB55" w14:textId="77777777" w:rsidR="00763348" w:rsidRPr="00763348" w:rsidRDefault="00763348" w:rsidP="00763348">
      <w:pPr>
        <w:ind w:left="66"/>
        <w:jc w:val="both"/>
        <w:rPr>
          <w:rFonts w:ascii="Arial" w:hAnsi="Arial" w:cs="Arial"/>
          <w:sz w:val="22"/>
          <w:szCs w:val="22"/>
          <w:lang w:val="en-GB"/>
        </w:rPr>
      </w:pPr>
    </w:p>
    <w:p w14:paraId="1639580B" w14:textId="43C93127" w:rsidR="00876F56" w:rsidRPr="00C55824"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administrative receiver</w:t>
      </w:r>
      <w:r w:rsidR="00763348">
        <w:rPr>
          <w:rFonts w:ascii="Arial" w:hAnsi="Arial" w:cs="Arial"/>
          <w:sz w:val="22"/>
          <w:szCs w:val="22"/>
          <w:lang w:val="en-GB"/>
        </w:rPr>
        <w:t>.</w:t>
      </w:r>
    </w:p>
    <w:p w14:paraId="1BD8D6C0" w14:textId="68B33D5E" w:rsidR="00876F56" w:rsidRDefault="00876F56" w:rsidP="00C55824">
      <w:pPr>
        <w:jc w:val="both"/>
        <w:rPr>
          <w:rFonts w:ascii="Arial" w:hAnsi="Arial" w:cs="Arial"/>
          <w:sz w:val="22"/>
          <w:szCs w:val="22"/>
        </w:rPr>
      </w:pP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C9C6F23"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Under section 176A of the Insolvency Act 1986, the prescribed part deducted from floating charge assets in favour of unsecured creditors is calculated as follows:</w:t>
      </w:r>
    </w:p>
    <w:p w14:paraId="786079DD" w14:textId="77777777" w:rsidR="00C55824" w:rsidRPr="00C55824" w:rsidRDefault="00C55824" w:rsidP="0020090A">
      <w:pPr>
        <w:keepNext/>
        <w:jc w:val="both"/>
        <w:rPr>
          <w:rFonts w:ascii="Arial" w:hAnsi="Arial" w:cs="Arial"/>
          <w:sz w:val="22"/>
          <w:szCs w:val="22"/>
          <w:lang w:val="en-GB"/>
        </w:rPr>
      </w:pPr>
    </w:p>
    <w:p w14:paraId="3E7702F5" w14:textId="3AFD47A8" w:rsidR="00876F56" w:rsidRDefault="00876F56" w:rsidP="00B04033">
      <w:pPr>
        <w:pStyle w:val="ListParagraph"/>
        <w:keepNext/>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floating charge assets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4A4EA67F" w:rsidR="00876F56" w:rsidRDefault="00876F56" w:rsidP="00B04033">
      <w:pPr>
        <w:pStyle w:val="ListParagraph"/>
        <w:numPr>
          <w:ilvl w:val="0"/>
          <w:numId w:val="10"/>
        </w:numPr>
        <w:ind w:left="426"/>
        <w:jc w:val="both"/>
        <w:rPr>
          <w:rFonts w:ascii="Arial" w:hAnsi="Arial" w:cs="Arial"/>
          <w:sz w:val="22"/>
          <w:szCs w:val="22"/>
          <w:lang w:val="en-GB"/>
        </w:rPr>
      </w:pPr>
      <w:r w:rsidRPr="009A3AB7">
        <w:rPr>
          <w:rFonts w:ascii="Arial" w:hAnsi="Arial" w:cs="Arial"/>
          <w:sz w:val="22"/>
          <w:szCs w:val="22"/>
          <w:lang w:val="en-GB"/>
        </w:rPr>
        <w:t>50% of the first £10,000 in value plus 20% of the excess in value above the £10,000 subject to a maximum amount of the prescribed part of £600,000</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A9315C7" w:rsidR="00876F56" w:rsidRPr="00476DF4" w:rsidRDefault="00876F56" w:rsidP="00B04033">
      <w:pPr>
        <w:pStyle w:val="ListParagraph"/>
        <w:numPr>
          <w:ilvl w:val="0"/>
          <w:numId w:val="10"/>
        </w:numPr>
        <w:ind w:left="426"/>
        <w:jc w:val="both"/>
        <w:rPr>
          <w:rFonts w:ascii="Arial" w:hAnsi="Arial" w:cs="Arial"/>
          <w:sz w:val="22"/>
          <w:szCs w:val="22"/>
          <w:lang w:val="en-GB"/>
        </w:rPr>
      </w:pPr>
      <w:r w:rsidRPr="00476DF4">
        <w:rPr>
          <w:rFonts w:ascii="Arial" w:hAnsi="Arial" w:cs="Arial"/>
          <w:sz w:val="22"/>
          <w:szCs w:val="22"/>
          <w:lang w:val="en-GB"/>
        </w:rPr>
        <w:t>20% of the first £50,000 in value plus 50% of the excess in value above the £50,000 subject to a maximum amount of prescribed part of £</w:t>
      </w:r>
      <w:r w:rsidR="00BA1CFD" w:rsidRPr="00476DF4">
        <w:rPr>
          <w:rFonts w:ascii="Arial" w:hAnsi="Arial" w:cs="Arial"/>
          <w:sz w:val="22"/>
          <w:szCs w:val="22"/>
          <w:lang w:val="en-GB"/>
        </w:rPr>
        <w:t>8</w:t>
      </w:r>
      <w:r w:rsidRPr="00476DF4">
        <w:rPr>
          <w:rFonts w:ascii="Arial" w:hAnsi="Arial" w:cs="Arial"/>
          <w:sz w:val="22"/>
          <w:szCs w:val="22"/>
          <w:lang w:val="en-GB"/>
        </w:rPr>
        <w:t>00,000</w:t>
      </w:r>
      <w:r w:rsidR="00763348" w:rsidRPr="00476DF4">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1BEEFBDB" w:rsidR="00876F56" w:rsidRPr="00476DF4" w:rsidRDefault="00BA1CFD" w:rsidP="00B04033">
      <w:pPr>
        <w:pStyle w:val="ListParagraph"/>
        <w:numPr>
          <w:ilvl w:val="0"/>
          <w:numId w:val="10"/>
        </w:numPr>
        <w:ind w:left="426"/>
        <w:jc w:val="both"/>
        <w:rPr>
          <w:rFonts w:ascii="Arial" w:hAnsi="Arial" w:cs="Arial"/>
          <w:sz w:val="22"/>
          <w:szCs w:val="22"/>
          <w:highlight w:val="yellow"/>
          <w:lang w:val="en-GB"/>
        </w:rPr>
      </w:pPr>
      <w:r w:rsidRPr="00476DF4">
        <w:rPr>
          <w:rFonts w:ascii="Arial" w:hAnsi="Arial" w:cs="Arial"/>
          <w:sz w:val="22"/>
          <w:szCs w:val="22"/>
          <w:highlight w:val="yellow"/>
          <w:lang w:val="en-GB"/>
        </w:rPr>
        <w:t>5</w:t>
      </w:r>
      <w:r w:rsidR="00876F56" w:rsidRPr="00476DF4">
        <w:rPr>
          <w:rFonts w:ascii="Arial" w:hAnsi="Arial" w:cs="Arial"/>
          <w:sz w:val="22"/>
          <w:szCs w:val="22"/>
          <w:highlight w:val="yellow"/>
          <w:lang w:val="en-GB"/>
        </w:rPr>
        <w:t>0% of the first £</w:t>
      </w:r>
      <w:r w:rsidRPr="00476DF4">
        <w:rPr>
          <w:rFonts w:ascii="Arial" w:hAnsi="Arial" w:cs="Arial"/>
          <w:sz w:val="22"/>
          <w:szCs w:val="22"/>
          <w:highlight w:val="yellow"/>
          <w:lang w:val="en-GB"/>
        </w:rPr>
        <w:t>1</w:t>
      </w:r>
      <w:r w:rsidR="00876F56" w:rsidRPr="00476DF4">
        <w:rPr>
          <w:rFonts w:ascii="Arial" w:hAnsi="Arial" w:cs="Arial"/>
          <w:sz w:val="22"/>
          <w:szCs w:val="22"/>
          <w:highlight w:val="yellow"/>
          <w:lang w:val="en-GB"/>
        </w:rPr>
        <w:t xml:space="preserve">0,000 in value plus </w:t>
      </w:r>
      <w:r w:rsidRPr="00476DF4">
        <w:rPr>
          <w:rFonts w:ascii="Arial" w:hAnsi="Arial" w:cs="Arial"/>
          <w:sz w:val="22"/>
          <w:szCs w:val="22"/>
          <w:highlight w:val="yellow"/>
          <w:lang w:val="en-GB"/>
        </w:rPr>
        <w:t>2</w:t>
      </w:r>
      <w:r w:rsidR="00876F56" w:rsidRPr="00476DF4">
        <w:rPr>
          <w:rFonts w:ascii="Arial" w:hAnsi="Arial" w:cs="Arial"/>
          <w:sz w:val="22"/>
          <w:szCs w:val="22"/>
          <w:highlight w:val="yellow"/>
          <w:lang w:val="en-GB"/>
        </w:rPr>
        <w:t xml:space="preserve">0% of </w:t>
      </w:r>
      <w:r w:rsidRPr="00476DF4">
        <w:rPr>
          <w:rFonts w:ascii="Arial" w:hAnsi="Arial" w:cs="Arial"/>
          <w:sz w:val="22"/>
          <w:szCs w:val="22"/>
          <w:highlight w:val="yellow"/>
          <w:lang w:val="en-GB"/>
        </w:rPr>
        <w:t>the excess in value above the £1</w:t>
      </w:r>
      <w:r w:rsidR="00876F56" w:rsidRPr="00476DF4">
        <w:rPr>
          <w:rFonts w:ascii="Arial" w:hAnsi="Arial" w:cs="Arial"/>
          <w:sz w:val="22"/>
          <w:szCs w:val="22"/>
          <w:highlight w:val="yellow"/>
          <w:lang w:val="en-GB"/>
        </w:rPr>
        <w:t>0,000 subject to a maximum amount of prescribed part of £800,000</w:t>
      </w:r>
      <w:r w:rsidR="00763348" w:rsidRPr="00476DF4">
        <w:rPr>
          <w:rFonts w:ascii="Arial" w:hAnsi="Arial" w:cs="Arial"/>
          <w:sz w:val="22"/>
          <w:szCs w:val="22"/>
          <w:highlight w:val="yellow"/>
          <w:lang w:val="en-GB"/>
        </w:rPr>
        <w:t>.</w:t>
      </w:r>
    </w:p>
    <w:p w14:paraId="58395851" w14:textId="2DF23DF8" w:rsidR="005B79F4" w:rsidRDefault="005B79F4"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5E468BC"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E833F4">
        <w:rPr>
          <w:rFonts w:ascii="Arial" w:hAnsi="Arial" w:cs="Arial"/>
          <w:b/>
          <w:bCs/>
          <w:sz w:val="22"/>
          <w:szCs w:val="22"/>
          <w:lang w:val="en-GB"/>
        </w:rPr>
        <w:t>6</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1BE1746F" w:rsidR="00241FA3" w:rsidRDefault="0020090A" w:rsidP="002A37BB">
      <w:pPr>
        <w:ind w:left="720" w:hanging="720"/>
        <w:jc w:val="both"/>
        <w:rPr>
          <w:rFonts w:ascii="Arial" w:hAnsi="Arial" w:cs="Arial"/>
          <w:sz w:val="22"/>
          <w:szCs w:val="22"/>
          <w:lang w:val="en-GB"/>
        </w:rPr>
      </w:pPr>
      <w:r w:rsidRPr="006D2BBF">
        <w:rPr>
          <w:rFonts w:ascii="Arial" w:hAnsi="Arial" w:cs="Arial"/>
          <w:sz w:val="22"/>
          <w:szCs w:val="22"/>
          <w:lang w:val="en-GB"/>
        </w:rPr>
        <w:t xml:space="preserve">What is the difference between </w:t>
      </w:r>
      <w:r w:rsidR="00E833F4">
        <w:rPr>
          <w:rFonts w:ascii="Arial" w:hAnsi="Arial" w:cs="Arial"/>
          <w:sz w:val="22"/>
          <w:szCs w:val="22"/>
          <w:lang w:val="en-GB"/>
        </w:rPr>
        <w:t>cash flow insolvency and balance sheet insolvency</w:t>
      </w:r>
      <w:r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5D011B64" w14:textId="37085F03" w:rsidR="000B7916" w:rsidRDefault="000B7916" w:rsidP="000B791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Cash flow insolvency is very simply where a company cannot pay its debts as and when they fall due.  Conversely, balance sheet insolvency looks to the balance between a company’s assets and liabilities. Where a company is in a position where </w:t>
      </w:r>
      <w:proofErr w:type="gramStart"/>
      <w:r>
        <w:rPr>
          <w:rFonts w:ascii="Arial" w:hAnsi="Arial" w:cs="Arial"/>
          <w:color w:val="7B7B7B" w:themeColor="accent3" w:themeShade="BF"/>
          <w:sz w:val="22"/>
          <w:szCs w:val="22"/>
          <w:lang w:val="en-GB"/>
        </w:rPr>
        <w:t>it’s</w:t>
      </w:r>
      <w:proofErr w:type="gramEnd"/>
      <w:r>
        <w:rPr>
          <w:rFonts w:ascii="Arial" w:hAnsi="Arial" w:cs="Arial"/>
          <w:color w:val="7B7B7B" w:themeColor="accent3" w:themeShade="BF"/>
          <w:sz w:val="22"/>
          <w:szCs w:val="22"/>
          <w:lang w:val="en-GB"/>
        </w:rPr>
        <w:t xml:space="preserve"> assets are lower than it’s liabilities, it will be deemed to be insolvent purely from the balance sheet test. It is however </w:t>
      </w:r>
      <w:r>
        <w:rPr>
          <w:rFonts w:ascii="Arial" w:hAnsi="Arial" w:cs="Arial"/>
          <w:color w:val="7B7B7B" w:themeColor="accent3" w:themeShade="BF"/>
          <w:sz w:val="22"/>
          <w:szCs w:val="22"/>
          <w:lang w:val="en-GB"/>
        </w:rPr>
        <w:lastRenderedPageBreak/>
        <w:t xml:space="preserve">possible however, that a company that is solvent from a cash flow perspective, could be considered to be insolvent under the balance sheet test. </w:t>
      </w:r>
    </w:p>
    <w:p w14:paraId="5731CFA1" w14:textId="2CF72FA7" w:rsidR="000B7916" w:rsidRDefault="000B7916" w:rsidP="000B7916">
      <w:pPr>
        <w:jc w:val="both"/>
        <w:rPr>
          <w:rFonts w:ascii="Arial" w:hAnsi="Arial" w:cs="Arial"/>
          <w:color w:val="7B7B7B" w:themeColor="accent3" w:themeShade="BF"/>
          <w:sz w:val="22"/>
          <w:szCs w:val="22"/>
          <w:lang w:val="en-GB"/>
        </w:rPr>
      </w:pPr>
    </w:p>
    <w:p w14:paraId="22C610C9" w14:textId="6AE3151F" w:rsidR="00DE03AF" w:rsidRDefault="000B791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cash flow test, as set out in 123(1)(e) of the </w:t>
      </w:r>
      <w:r w:rsidR="003A3B0F" w:rsidRPr="003A3B0F">
        <w:rPr>
          <w:rFonts w:ascii="Arial" w:hAnsi="Arial" w:cs="Arial"/>
          <w:i/>
          <w:iCs/>
          <w:color w:val="7B7B7B" w:themeColor="accent3" w:themeShade="BF"/>
          <w:sz w:val="22"/>
          <w:szCs w:val="22"/>
          <w:lang w:val="en-GB"/>
        </w:rPr>
        <w:t xml:space="preserve">Insolvency </w:t>
      </w:r>
      <w:r w:rsidRPr="003A3B0F">
        <w:rPr>
          <w:rFonts w:ascii="Arial" w:hAnsi="Arial" w:cs="Arial"/>
          <w:i/>
          <w:iCs/>
          <w:color w:val="7B7B7B" w:themeColor="accent3" w:themeShade="BF"/>
          <w:sz w:val="22"/>
          <w:szCs w:val="22"/>
          <w:lang w:val="en-GB"/>
        </w:rPr>
        <w:t>Act</w:t>
      </w:r>
      <w:r>
        <w:rPr>
          <w:rFonts w:ascii="Arial" w:hAnsi="Arial" w:cs="Arial"/>
          <w:color w:val="7B7B7B" w:themeColor="accent3" w:themeShade="BF"/>
          <w:sz w:val="22"/>
          <w:szCs w:val="22"/>
          <w:lang w:val="en-GB"/>
        </w:rPr>
        <w:t xml:space="preserve"> requires the Court to be satisfied that the company will be unable to meet </w:t>
      </w:r>
      <w:r w:rsidR="00897A1C">
        <w:rPr>
          <w:rFonts w:ascii="Arial" w:hAnsi="Arial" w:cs="Arial"/>
          <w:color w:val="7B7B7B" w:themeColor="accent3" w:themeShade="BF"/>
          <w:sz w:val="22"/>
          <w:szCs w:val="22"/>
          <w:lang w:val="en-GB"/>
        </w:rPr>
        <w:t>its</w:t>
      </w:r>
      <w:r>
        <w:rPr>
          <w:rFonts w:ascii="Arial" w:hAnsi="Arial" w:cs="Arial"/>
          <w:color w:val="7B7B7B" w:themeColor="accent3" w:themeShade="BF"/>
          <w:sz w:val="22"/>
          <w:szCs w:val="22"/>
          <w:lang w:val="en-GB"/>
        </w:rPr>
        <w:t xml:space="preserve"> debts as they fall due, however, this definition does not provide any temporal perspective. That is, at what point are the debts deemed to be due and payable, and how far into the future will the Court look to determine this form of solvency.  As Lord Walker succinctly noted in </w:t>
      </w:r>
      <w:proofErr w:type="spellStart"/>
      <w:r>
        <w:rPr>
          <w:rFonts w:ascii="Arial" w:hAnsi="Arial" w:cs="Arial"/>
          <w:color w:val="7B7B7B" w:themeColor="accent3" w:themeShade="BF"/>
          <w:sz w:val="22"/>
          <w:szCs w:val="22"/>
          <w:lang w:val="en-GB"/>
        </w:rPr>
        <w:t>Eurosail</w:t>
      </w:r>
      <w:proofErr w:type="spellEnd"/>
      <w:r>
        <w:rPr>
          <w:rFonts w:ascii="Arial" w:hAnsi="Arial" w:cs="Arial"/>
          <w:color w:val="7B7B7B" w:themeColor="accent3" w:themeShade="BF"/>
          <w:sz w:val="22"/>
          <w:szCs w:val="22"/>
          <w:lang w:val="en-GB"/>
        </w:rPr>
        <w:t xml:space="preserve">, </w:t>
      </w:r>
      <w:r w:rsidR="00897A1C">
        <w:rPr>
          <w:rFonts w:ascii="Arial" w:hAnsi="Arial" w:cs="Arial"/>
          <w:color w:val="7B7B7B" w:themeColor="accent3" w:themeShade="BF"/>
          <w:sz w:val="22"/>
          <w:szCs w:val="22"/>
          <w:lang w:val="en-GB"/>
        </w:rPr>
        <w:t>the cash-flow test is not only concerned with the presently-due debt of the debtor, as well as presently due debt of the creditor (</w:t>
      </w:r>
      <w:proofErr w:type="spellStart"/>
      <w:r w:rsidR="00897A1C">
        <w:rPr>
          <w:rFonts w:ascii="Arial" w:hAnsi="Arial" w:cs="Arial"/>
          <w:color w:val="7B7B7B" w:themeColor="accent3" w:themeShade="BF"/>
          <w:sz w:val="22"/>
          <w:szCs w:val="22"/>
          <w:lang w:val="en-GB"/>
        </w:rPr>
        <w:t>i.e</w:t>
      </w:r>
      <w:proofErr w:type="spellEnd"/>
      <w:r w:rsidR="00897A1C">
        <w:rPr>
          <w:rFonts w:ascii="Arial" w:hAnsi="Arial" w:cs="Arial"/>
          <w:color w:val="7B7B7B" w:themeColor="accent3" w:themeShade="BF"/>
          <w:sz w:val="22"/>
          <w:szCs w:val="22"/>
          <w:lang w:val="en-GB"/>
        </w:rPr>
        <w:t xml:space="preserve"> what is owing to the creditor who has brought the petition) but also with the debts of the company that may fall due in the ‘reasonably near future’.</w:t>
      </w:r>
      <w:r w:rsidR="00897A1C">
        <w:rPr>
          <w:rStyle w:val="FootnoteReference"/>
          <w:rFonts w:ascii="Arial" w:hAnsi="Arial" w:cs="Arial"/>
          <w:color w:val="7B7B7B" w:themeColor="accent3" w:themeShade="BF"/>
          <w:sz w:val="22"/>
          <w:szCs w:val="22"/>
          <w:lang w:val="en-GB"/>
        </w:rPr>
        <w:footnoteReference w:id="1"/>
      </w:r>
      <w:r w:rsidR="00897A1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w:t>
      </w:r>
      <w:r w:rsidR="002C7B6F">
        <w:rPr>
          <w:rFonts w:ascii="Arial" w:hAnsi="Arial" w:cs="Arial"/>
          <w:color w:val="7B7B7B" w:themeColor="accent3" w:themeShade="BF"/>
          <w:sz w:val="22"/>
          <w:szCs w:val="22"/>
          <w:lang w:val="en-GB"/>
        </w:rPr>
        <w:t>The limitation of course of the cash-flow test was when a review of the company was required to extend beyond the reasonably near future (which is not defined and is arguably a particularly subjective timeframe) and it would only be prudent to determine solvency via the balance-sheet test.</w:t>
      </w:r>
      <w:r w:rsidR="002C7B6F">
        <w:rPr>
          <w:rStyle w:val="FootnoteReference"/>
          <w:rFonts w:ascii="Arial" w:hAnsi="Arial" w:cs="Arial"/>
          <w:color w:val="7B7B7B" w:themeColor="accent3" w:themeShade="BF"/>
          <w:sz w:val="22"/>
          <w:szCs w:val="22"/>
          <w:lang w:val="en-GB"/>
        </w:rPr>
        <w:footnoteReference w:id="2"/>
      </w:r>
      <w:r w:rsidR="002C7B6F">
        <w:rPr>
          <w:rFonts w:ascii="Arial" w:hAnsi="Arial" w:cs="Arial"/>
          <w:color w:val="7B7B7B" w:themeColor="accent3" w:themeShade="BF"/>
          <w:sz w:val="22"/>
          <w:szCs w:val="22"/>
          <w:lang w:val="en-GB"/>
        </w:rPr>
        <w:t xml:space="preserve"> </w:t>
      </w:r>
    </w:p>
    <w:p w14:paraId="53C6035B" w14:textId="6E7BA428" w:rsidR="002C7B6F" w:rsidRDefault="002C7B6F" w:rsidP="002A37BB">
      <w:pPr>
        <w:jc w:val="both"/>
        <w:rPr>
          <w:rFonts w:ascii="Arial" w:hAnsi="Arial" w:cs="Arial"/>
          <w:color w:val="7B7B7B" w:themeColor="accent3" w:themeShade="BF"/>
          <w:sz w:val="22"/>
          <w:szCs w:val="22"/>
          <w:lang w:val="en-GB"/>
        </w:rPr>
      </w:pPr>
    </w:p>
    <w:p w14:paraId="1855742A" w14:textId="6324D7E8" w:rsidR="002C7B6F" w:rsidRPr="00096001" w:rsidRDefault="002C7B6F" w:rsidP="002A37BB">
      <w:pPr>
        <w:jc w:val="both"/>
        <w:rPr>
          <w:lang w:val="en-GB"/>
        </w:rPr>
      </w:pPr>
      <w:r>
        <w:rPr>
          <w:rFonts w:ascii="Arial" w:hAnsi="Arial" w:cs="Arial"/>
          <w:color w:val="7B7B7B" w:themeColor="accent3" w:themeShade="BF"/>
          <w:sz w:val="22"/>
          <w:szCs w:val="22"/>
          <w:lang w:val="en-GB"/>
        </w:rPr>
        <w:t xml:space="preserve">The balance sheet-test is based purely off </w:t>
      </w:r>
      <w:r w:rsidR="00096001">
        <w:rPr>
          <w:rFonts w:ascii="Arial" w:hAnsi="Arial" w:cs="Arial"/>
          <w:color w:val="7B7B7B" w:themeColor="accent3" w:themeShade="BF"/>
          <w:sz w:val="22"/>
          <w:szCs w:val="22"/>
          <w:lang w:val="en-GB"/>
        </w:rPr>
        <w:t>an assessment of the</w:t>
      </w:r>
      <w:r w:rsidR="003A3B0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value of current assets as well as the value of present, </w:t>
      </w:r>
      <w:proofErr w:type="gramStart"/>
      <w:r>
        <w:rPr>
          <w:rFonts w:ascii="Arial" w:hAnsi="Arial" w:cs="Arial"/>
          <w:color w:val="7B7B7B" w:themeColor="accent3" w:themeShade="BF"/>
          <w:sz w:val="22"/>
          <w:szCs w:val="22"/>
          <w:lang w:val="en-GB"/>
        </w:rPr>
        <w:t>future</w:t>
      </w:r>
      <w:proofErr w:type="gramEnd"/>
      <w:r>
        <w:rPr>
          <w:rFonts w:ascii="Arial" w:hAnsi="Arial" w:cs="Arial"/>
          <w:color w:val="7B7B7B" w:themeColor="accent3" w:themeShade="BF"/>
          <w:sz w:val="22"/>
          <w:szCs w:val="22"/>
          <w:lang w:val="en-GB"/>
        </w:rPr>
        <w:t xml:space="preserve"> and contingent liabilities.  As the </w:t>
      </w:r>
      <w:proofErr w:type="spellStart"/>
      <w:r>
        <w:rPr>
          <w:rFonts w:ascii="Arial" w:hAnsi="Arial" w:cs="Arial"/>
          <w:color w:val="7B7B7B" w:themeColor="accent3" w:themeShade="BF"/>
          <w:sz w:val="22"/>
          <w:szCs w:val="22"/>
          <w:lang w:val="en-GB"/>
        </w:rPr>
        <w:t>Eurosail</w:t>
      </w:r>
      <w:proofErr w:type="spellEnd"/>
      <w:r>
        <w:rPr>
          <w:rFonts w:ascii="Arial" w:hAnsi="Arial" w:cs="Arial"/>
          <w:color w:val="7B7B7B" w:themeColor="accent3" w:themeShade="BF"/>
          <w:sz w:val="22"/>
          <w:szCs w:val="22"/>
          <w:lang w:val="en-GB"/>
        </w:rPr>
        <w:t xml:space="preserve"> decision highlights, the difficulty of the balance sheet test </w:t>
      </w:r>
      <w:r w:rsidR="00096001">
        <w:rPr>
          <w:rFonts w:ascii="Arial" w:hAnsi="Arial" w:cs="Arial"/>
          <w:color w:val="7B7B7B" w:themeColor="accent3" w:themeShade="BF"/>
          <w:sz w:val="22"/>
          <w:szCs w:val="22"/>
          <w:lang w:val="en-GB"/>
        </w:rPr>
        <w:t>is confidently assessing that a company will eventually face a deficiency and would thus be insolvent in a number of years, when at the time of the assessment the company may have a deficiency but may, in due course trade out of such deficiency and be solvent.</w:t>
      </w:r>
      <w:r w:rsidR="00096001">
        <w:rPr>
          <w:rStyle w:val="FootnoteReference"/>
          <w:rFonts w:ascii="Arial" w:hAnsi="Arial" w:cs="Arial"/>
          <w:color w:val="7B7B7B" w:themeColor="accent3" w:themeShade="BF"/>
          <w:sz w:val="22"/>
          <w:szCs w:val="22"/>
          <w:lang w:val="en-GB"/>
        </w:rPr>
        <w:footnoteReference w:id="3"/>
      </w:r>
      <w:r w:rsidR="00096001">
        <w:rPr>
          <w:rFonts w:ascii="Arial" w:hAnsi="Arial" w:cs="Arial"/>
          <w:color w:val="7B7B7B" w:themeColor="accent3" w:themeShade="BF"/>
          <w:sz w:val="22"/>
          <w:szCs w:val="22"/>
          <w:lang w:val="en-GB"/>
        </w:rPr>
        <w:t xml:space="preserve"> As such, any petitioner that is trying to rely on the balance sheet test to demonstrate an insolvent company would need to have considerably convincing evidence to demonstrate that the contingent liabilities or further future liabilities will be able to be enough to satisfy a court that the Company is insolvent at the time of the assessment, despite making an assessment whether there will be a reasonable expectation for the company to meet its future obligations.   </w:t>
      </w:r>
    </w:p>
    <w:p w14:paraId="5453A60D" w14:textId="77777777" w:rsidR="00763348" w:rsidRPr="002A37BB" w:rsidRDefault="00763348" w:rsidP="002A37BB">
      <w:pPr>
        <w:jc w:val="both"/>
        <w:rPr>
          <w:rFonts w:ascii="Arial" w:hAnsi="Arial" w:cs="Arial"/>
          <w:sz w:val="22"/>
          <w:szCs w:val="22"/>
        </w:rPr>
      </w:pPr>
    </w:p>
    <w:p w14:paraId="34516371" w14:textId="6FDF0571"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0D39386B"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Pr="00763348">
        <w:rPr>
          <w:rFonts w:ascii="Arial" w:hAnsi="Arial" w:cs="Arial"/>
          <w:b/>
          <w:bCs/>
          <w:sz w:val="22"/>
          <w:szCs w:val="22"/>
          <w:lang w:val="en-GB"/>
        </w:rPr>
        <w:t xml:space="preserve">four </w:t>
      </w:r>
      <w:r w:rsidR="00763348" w:rsidRPr="00763348">
        <w:rPr>
          <w:rFonts w:ascii="Arial" w:hAnsi="Arial" w:cs="Arial"/>
          <w:b/>
          <w:bCs/>
          <w:sz w:val="22"/>
          <w:szCs w:val="22"/>
          <w:lang w:val="en-GB"/>
        </w:rPr>
        <w:t>(4)</w:t>
      </w:r>
      <w:r w:rsidR="00763348">
        <w:rPr>
          <w:rFonts w:ascii="Arial" w:hAnsi="Arial" w:cs="Arial"/>
          <w:sz w:val="22"/>
          <w:szCs w:val="22"/>
          <w:lang w:val="en-GB"/>
        </w:rPr>
        <w:t xml:space="preserve"> </w:t>
      </w:r>
      <w:r>
        <w:rPr>
          <w:rFonts w:ascii="Arial" w:hAnsi="Arial" w:cs="Arial"/>
          <w:sz w:val="22"/>
          <w:szCs w:val="22"/>
          <w:lang w:val="en-GB"/>
        </w:rPr>
        <w:t>elements of the statutory moratorium imposed when a company enters administration.</w:t>
      </w:r>
    </w:p>
    <w:p w14:paraId="3C47960C" w14:textId="77777777" w:rsidR="00FA417D" w:rsidRPr="002A37BB" w:rsidRDefault="00FA417D" w:rsidP="002A37BB">
      <w:pPr>
        <w:ind w:left="720" w:hanging="720"/>
        <w:jc w:val="both"/>
        <w:rPr>
          <w:rFonts w:ascii="Arial" w:hAnsi="Arial" w:cs="Arial"/>
          <w:sz w:val="22"/>
          <w:szCs w:val="22"/>
          <w:lang w:val="en-GB"/>
        </w:rPr>
      </w:pPr>
    </w:p>
    <w:p w14:paraId="78DB9FD8" w14:textId="4F32854B" w:rsidR="00C72848" w:rsidRDefault="00E113B1"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 resolution may be passed </w:t>
      </w:r>
      <w:r w:rsidR="008E660C">
        <w:rPr>
          <w:rFonts w:ascii="Arial" w:hAnsi="Arial" w:cs="Arial"/>
          <w:color w:val="7B7B7B" w:themeColor="accent3" w:themeShade="BF"/>
          <w:sz w:val="22"/>
          <w:szCs w:val="22"/>
          <w:lang w:val="en-GB"/>
        </w:rPr>
        <w:t xml:space="preserve">for the winding up of the </w:t>
      </w:r>
      <w:proofErr w:type="gramStart"/>
      <w:r w:rsidR="008E660C">
        <w:rPr>
          <w:rFonts w:ascii="Arial" w:hAnsi="Arial" w:cs="Arial"/>
          <w:color w:val="7B7B7B" w:themeColor="accent3" w:themeShade="BF"/>
          <w:sz w:val="22"/>
          <w:szCs w:val="22"/>
          <w:lang w:val="en-GB"/>
        </w:rPr>
        <w:t>company;</w:t>
      </w:r>
      <w:proofErr w:type="gramEnd"/>
      <w:r w:rsidR="008E660C">
        <w:rPr>
          <w:rFonts w:ascii="Arial" w:hAnsi="Arial" w:cs="Arial"/>
          <w:color w:val="7B7B7B" w:themeColor="accent3" w:themeShade="BF"/>
          <w:sz w:val="22"/>
          <w:szCs w:val="22"/>
          <w:lang w:val="en-GB"/>
        </w:rPr>
        <w:t xml:space="preserve"> </w:t>
      </w:r>
    </w:p>
    <w:p w14:paraId="603072B9" w14:textId="26288C0F" w:rsidR="008E660C" w:rsidRDefault="008E660C" w:rsidP="008E660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 step may be taken to enforce security over the company’s property except with the consent of the administrator or the permission of the </w:t>
      </w:r>
      <w:proofErr w:type="gramStart"/>
      <w:r>
        <w:rPr>
          <w:rFonts w:ascii="Arial" w:hAnsi="Arial" w:cs="Arial"/>
          <w:color w:val="7B7B7B" w:themeColor="accent3" w:themeShade="BF"/>
          <w:sz w:val="22"/>
          <w:szCs w:val="22"/>
          <w:lang w:val="en-GB"/>
        </w:rPr>
        <w:t>Court;</w:t>
      </w:r>
      <w:proofErr w:type="gramEnd"/>
      <w:r>
        <w:rPr>
          <w:rFonts w:ascii="Arial" w:hAnsi="Arial" w:cs="Arial"/>
          <w:color w:val="7B7B7B" w:themeColor="accent3" w:themeShade="BF"/>
          <w:sz w:val="22"/>
          <w:szCs w:val="22"/>
          <w:lang w:val="en-GB"/>
        </w:rPr>
        <w:t xml:space="preserve"> </w:t>
      </w:r>
    </w:p>
    <w:p w14:paraId="7C91D36B" w14:textId="3D5E3F2F" w:rsidR="008E660C" w:rsidRDefault="008E660C" w:rsidP="008E660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 administrative receiver may be </w:t>
      </w:r>
      <w:proofErr w:type="gramStart"/>
      <w:r>
        <w:rPr>
          <w:rFonts w:ascii="Arial" w:hAnsi="Arial" w:cs="Arial"/>
          <w:color w:val="7B7B7B" w:themeColor="accent3" w:themeShade="BF"/>
          <w:sz w:val="22"/>
          <w:szCs w:val="22"/>
          <w:lang w:val="en-GB"/>
        </w:rPr>
        <w:t>appointed;  and</w:t>
      </w:r>
      <w:proofErr w:type="gramEnd"/>
    </w:p>
    <w:p w14:paraId="63AAB494" w14:textId="508CA836" w:rsidR="008E660C" w:rsidRPr="002A37BB" w:rsidRDefault="00634D2E" w:rsidP="008E660C">
      <w:pPr>
        <w:jc w:val="both"/>
        <w:rPr>
          <w:rFonts w:ascii="Arial" w:hAnsi="Arial" w:cs="Arial"/>
          <w:sz w:val="22"/>
          <w:szCs w:val="22"/>
          <w:lang w:val="en-GB"/>
        </w:rPr>
      </w:pPr>
      <w:r>
        <w:rPr>
          <w:rFonts w:ascii="Arial" w:hAnsi="Arial" w:cs="Arial"/>
          <w:color w:val="7B7B7B" w:themeColor="accent3" w:themeShade="BF"/>
          <w:sz w:val="22"/>
          <w:szCs w:val="22"/>
          <w:lang w:val="en-GB"/>
        </w:rPr>
        <w:t xml:space="preserve">No legal process (including commencing new </w:t>
      </w:r>
      <w:proofErr w:type="gramStart"/>
      <w:r>
        <w:rPr>
          <w:rFonts w:ascii="Arial" w:hAnsi="Arial" w:cs="Arial"/>
          <w:color w:val="7B7B7B" w:themeColor="accent3" w:themeShade="BF"/>
          <w:sz w:val="22"/>
          <w:szCs w:val="22"/>
          <w:lang w:val="en-GB"/>
        </w:rPr>
        <w:t>proceedings, or</w:t>
      </w:r>
      <w:proofErr w:type="gramEnd"/>
      <w:r>
        <w:rPr>
          <w:rFonts w:ascii="Arial" w:hAnsi="Arial" w:cs="Arial"/>
          <w:color w:val="7B7B7B" w:themeColor="accent3" w:themeShade="BF"/>
          <w:sz w:val="22"/>
          <w:szCs w:val="22"/>
          <w:lang w:val="en-GB"/>
        </w:rPr>
        <w:t xml:space="preserve"> executing previous judgments) may be instituted against the company (or company property) except wi</w:t>
      </w:r>
      <w:r w:rsidR="008E660C">
        <w:rPr>
          <w:rFonts w:ascii="Arial" w:hAnsi="Arial" w:cs="Arial"/>
          <w:color w:val="7B7B7B" w:themeColor="accent3" w:themeShade="BF"/>
          <w:sz w:val="22"/>
          <w:szCs w:val="22"/>
          <w:lang w:val="en-GB"/>
        </w:rPr>
        <w:t xml:space="preserve">th the consent of the administrator or the permission of the Court.  </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31686D2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0343CD65" w:rsidR="00FA417D" w:rsidRPr="002A37BB" w:rsidRDefault="00FA417D" w:rsidP="00FA417D">
      <w:pPr>
        <w:jc w:val="both"/>
        <w:rPr>
          <w:rFonts w:ascii="Arial" w:hAnsi="Arial" w:cs="Arial"/>
          <w:sz w:val="22"/>
          <w:szCs w:val="22"/>
          <w:lang w:val="en-GB"/>
        </w:rPr>
      </w:pPr>
      <w:r>
        <w:rPr>
          <w:rFonts w:ascii="Arial" w:hAnsi="Arial" w:cs="Arial"/>
          <w:sz w:val="22"/>
          <w:szCs w:val="22"/>
          <w:lang w:val="en-GB"/>
        </w:rPr>
        <w:t>Explain the main differences between a Part 26 Scheme of Arrangement and a Part 26A Restructuring Plan</w:t>
      </w:r>
      <w:r w:rsidR="00763348">
        <w:rPr>
          <w:rFonts w:ascii="Arial" w:hAnsi="Arial" w:cs="Arial"/>
          <w:sz w:val="22"/>
          <w:szCs w:val="22"/>
          <w:lang w:val="en-GB"/>
        </w:rPr>
        <w:t>.</w:t>
      </w:r>
    </w:p>
    <w:p w14:paraId="15004191" w14:textId="45E01C29" w:rsidR="00634D2E" w:rsidRDefault="00634D2E" w:rsidP="002A37BB">
      <w:pPr>
        <w:jc w:val="both"/>
        <w:rPr>
          <w:rFonts w:ascii="Arial" w:hAnsi="Arial" w:cs="Arial"/>
          <w:sz w:val="22"/>
          <w:szCs w:val="22"/>
        </w:rPr>
      </w:pPr>
    </w:p>
    <w:p w14:paraId="0C43BBAB" w14:textId="15F88DE6" w:rsidR="00436F3B" w:rsidRPr="00680250" w:rsidRDefault="00436F3B" w:rsidP="002A37BB">
      <w:pPr>
        <w:jc w:val="both"/>
        <w:rPr>
          <w:rFonts w:ascii="Arial" w:hAnsi="Arial" w:cs="Arial"/>
          <w:color w:val="7B7B7B" w:themeColor="accent3" w:themeShade="BF"/>
          <w:sz w:val="22"/>
          <w:szCs w:val="22"/>
          <w:lang w:val="en-GB"/>
        </w:rPr>
      </w:pPr>
      <w:r w:rsidRPr="00680250">
        <w:rPr>
          <w:rFonts w:ascii="Arial" w:hAnsi="Arial" w:cs="Arial"/>
          <w:color w:val="7B7B7B" w:themeColor="accent3" w:themeShade="BF"/>
          <w:sz w:val="22"/>
          <w:szCs w:val="22"/>
          <w:lang w:val="en-GB"/>
        </w:rPr>
        <w:t xml:space="preserve">There are a number of main differences between a Part 26 Scheme of Arrangement and a part 26A Restructuring Plan, leading to of course different circumstances where each option </w:t>
      </w:r>
      <w:r w:rsidRPr="00680250">
        <w:rPr>
          <w:rFonts w:ascii="Arial" w:hAnsi="Arial" w:cs="Arial"/>
          <w:color w:val="7B7B7B" w:themeColor="accent3" w:themeShade="BF"/>
          <w:sz w:val="22"/>
          <w:szCs w:val="22"/>
          <w:lang w:val="en-GB"/>
        </w:rPr>
        <w:lastRenderedPageBreak/>
        <w:t xml:space="preserve">may be a better solution for a particular company, including based on the outcomes required from the process, and how the creditors or other stakeholders are going to act with respect to the process.  </w:t>
      </w:r>
    </w:p>
    <w:p w14:paraId="4FE975E4" w14:textId="03E5FF23" w:rsidR="00436F3B" w:rsidRPr="00680250" w:rsidRDefault="00436F3B" w:rsidP="002A37BB">
      <w:pPr>
        <w:jc w:val="both"/>
        <w:rPr>
          <w:rFonts w:ascii="Arial" w:hAnsi="Arial" w:cs="Arial"/>
          <w:color w:val="7B7B7B" w:themeColor="accent3" w:themeShade="BF"/>
          <w:sz w:val="22"/>
          <w:szCs w:val="22"/>
          <w:lang w:val="en-GB"/>
        </w:rPr>
      </w:pPr>
    </w:p>
    <w:p w14:paraId="297992E8" w14:textId="001504B7" w:rsidR="00817A2B" w:rsidRPr="00680250" w:rsidRDefault="00817A2B" w:rsidP="002A37BB">
      <w:pPr>
        <w:jc w:val="both"/>
        <w:rPr>
          <w:rFonts w:ascii="Arial" w:hAnsi="Arial" w:cs="Arial"/>
          <w:b/>
          <w:bCs/>
          <w:color w:val="7B7B7B" w:themeColor="accent3" w:themeShade="BF"/>
          <w:sz w:val="22"/>
          <w:szCs w:val="22"/>
          <w:lang w:val="en-GB"/>
        </w:rPr>
      </w:pPr>
      <w:r w:rsidRPr="00680250">
        <w:rPr>
          <w:rFonts w:ascii="Arial" w:hAnsi="Arial" w:cs="Arial"/>
          <w:b/>
          <w:bCs/>
          <w:color w:val="7B7B7B" w:themeColor="accent3" w:themeShade="BF"/>
          <w:sz w:val="22"/>
          <w:szCs w:val="22"/>
          <w:lang w:val="en-GB"/>
        </w:rPr>
        <w:t>Eligibility</w:t>
      </w:r>
    </w:p>
    <w:p w14:paraId="17A3D9C4" w14:textId="77777777" w:rsidR="00817A2B" w:rsidRPr="00680250" w:rsidRDefault="00817A2B" w:rsidP="002A37BB">
      <w:pPr>
        <w:jc w:val="both"/>
        <w:rPr>
          <w:rFonts w:ascii="Arial" w:hAnsi="Arial" w:cs="Arial"/>
          <w:color w:val="7B7B7B" w:themeColor="accent3" w:themeShade="BF"/>
          <w:sz w:val="22"/>
          <w:szCs w:val="22"/>
          <w:lang w:val="en-GB"/>
        </w:rPr>
      </w:pPr>
    </w:p>
    <w:p w14:paraId="4465E808" w14:textId="6060BBE0" w:rsidR="00817A2B" w:rsidRPr="00680250" w:rsidRDefault="00634D2E" w:rsidP="002A37BB">
      <w:pPr>
        <w:jc w:val="both"/>
        <w:rPr>
          <w:rFonts w:ascii="Arial" w:hAnsi="Arial" w:cs="Arial"/>
          <w:color w:val="7B7B7B" w:themeColor="accent3" w:themeShade="BF"/>
          <w:sz w:val="22"/>
          <w:szCs w:val="22"/>
          <w:lang w:val="en-GB"/>
        </w:rPr>
      </w:pPr>
      <w:r w:rsidRPr="00680250">
        <w:rPr>
          <w:rFonts w:ascii="Arial" w:hAnsi="Arial" w:cs="Arial"/>
          <w:color w:val="7B7B7B" w:themeColor="accent3" w:themeShade="BF"/>
          <w:sz w:val="22"/>
          <w:szCs w:val="22"/>
          <w:lang w:val="en-GB"/>
        </w:rPr>
        <w:t xml:space="preserve">The first difference is the eligibility of companies to enter into a Part 26 or Part 26A.  Unlike the Part 26, Part 26A is only </w:t>
      </w:r>
      <w:r w:rsidR="00684CDA" w:rsidRPr="00680250">
        <w:rPr>
          <w:rFonts w:ascii="Arial" w:hAnsi="Arial" w:cs="Arial"/>
          <w:color w:val="7B7B7B" w:themeColor="accent3" w:themeShade="BF"/>
          <w:sz w:val="22"/>
          <w:szCs w:val="22"/>
          <w:lang w:val="en-GB"/>
        </w:rPr>
        <w:t>available</w:t>
      </w:r>
      <w:r w:rsidRPr="00680250">
        <w:rPr>
          <w:rFonts w:ascii="Arial" w:hAnsi="Arial" w:cs="Arial"/>
          <w:color w:val="7B7B7B" w:themeColor="accent3" w:themeShade="BF"/>
          <w:sz w:val="22"/>
          <w:szCs w:val="22"/>
          <w:lang w:val="en-GB"/>
        </w:rPr>
        <w:t xml:space="preserve"> to a company which has </w:t>
      </w:r>
      <w:r w:rsidR="00A16BE5" w:rsidRPr="00680250">
        <w:rPr>
          <w:rFonts w:ascii="Arial" w:hAnsi="Arial" w:cs="Arial"/>
          <w:color w:val="7B7B7B" w:themeColor="accent3" w:themeShade="BF"/>
          <w:sz w:val="22"/>
          <w:szCs w:val="22"/>
          <w:lang w:val="en-GB"/>
        </w:rPr>
        <w:t>encountered or</w:t>
      </w:r>
      <w:r w:rsidRPr="00680250">
        <w:rPr>
          <w:rFonts w:ascii="Arial" w:hAnsi="Arial" w:cs="Arial"/>
          <w:color w:val="7B7B7B" w:themeColor="accent3" w:themeShade="BF"/>
          <w:sz w:val="22"/>
          <w:szCs w:val="22"/>
          <w:lang w:val="en-GB"/>
        </w:rPr>
        <w:t xml:space="preserve"> is likely to encounter financial difficulties that will either </w:t>
      </w:r>
      <w:proofErr w:type="gramStart"/>
      <w:r w:rsidRPr="00680250">
        <w:rPr>
          <w:rFonts w:ascii="Arial" w:hAnsi="Arial" w:cs="Arial"/>
          <w:color w:val="7B7B7B" w:themeColor="accent3" w:themeShade="BF"/>
          <w:sz w:val="22"/>
          <w:szCs w:val="22"/>
          <w:lang w:val="en-GB"/>
        </w:rPr>
        <w:t>affect, or</w:t>
      </w:r>
      <w:proofErr w:type="gramEnd"/>
      <w:r w:rsidRPr="00680250">
        <w:rPr>
          <w:rFonts w:ascii="Arial" w:hAnsi="Arial" w:cs="Arial"/>
          <w:color w:val="7B7B7B" w:themeColor="accent3" w:themeShade="BF"/>
          <w:sz w:val="22"/>
          <w:szCs w:val="22"/>
          <w:lang w:val="en-GB"/>
        </w:rPr>
        <w:t xml:space="preserve"> are currently affecting the ability for the business to continue trading as a going concern. </w:t>
      </w:r>
      <w:r w:rsidR="00817A2B" w:rsidRPr="00680250">
        <w:rPr>
          <w:rFonts w:ascii="Arial" w:hAnsi="Arial" w:cs="Arial"/>
          <w:color w:val="7B7B7B" w:themeColor="accent3" w:themeShade="BF"/>
          <w:sz w:val="22"/>
          <w:szCs w:val="22"/>
          <w:lang w:val="en-GB"/>
        </w:rPr>
        <w:t xml:space="preserve">Further, it must be proven that the compromise or </w:t>
      </w:r>
      <w:r w:rsidR="00E0556F" w:rsidRPr="00680250">
        <w:rPr>
          <w:rFonts w:ascii="Arial" w:hAnsi="Arial" w:cs="Arial"/>
          <w:color w:val="7B7B7B" w:themeColor="accent3" w:themeShade="BF"/>
          <w:sz w:val="22"/>
          <w:szCs w:val="22"/>
          <w:lang w:val="en-GB"/>
        </w:rPr>
        <w:t>arrangement</w:t>
      </w:r>
      <w:r w:rsidR="00817A2B" w:rsidRPr="00680250">
        <w:rPr>
          <w:rFonts w:ascii="Arial" w:hAnsi="Arial" w:cs="Arial"/>
          <w:color w:val="7B7B7B" w:themeColor="accent3" w:themeShade="BF"/>
          <w:sz w:val="22"/>
          <w:szCs w:val="22"/>
          <w:lang w:val="en-GB"/>
        </w:rPr>
        <w:t xml:space="preserve"> arising from the Part 26A process is between the and either it’s </w:t>
      </w:r>
      <w:r w:rsidR="00E0556F" w:rsidRPr="00680250">
        <w:rPr>
          <w:rFonts w:ascii="Arial" w:hAnsi="Arial" w:cs="Arial"/>
          <w:color w:val="7B7B7B" w:themeColor="accent3" w:themeShade="BF"/>
          <w:sz w:val="22"/>
          <w:szCs w:val="22"/>
          <w:lang w:val="en-GB"/>
        </w:rPr>
        <w:t>creditors</w:t>
      </w:r>
      <w:r w:rsidR="00817A2B" w:rsidRPr="00680250">
        <w:rPr>
          <w:rFonts w:ascii="Arial" w:hAnsi="Arial" w:cs="Arial"/>
          <w:color w:val="7B7B7B" w:themeColor="accent3" w:themeShade="BF"/>
          <w:sz w:val="22"/>
          <w:szCs w:val="22"/>
          <w:lang w:val="en-GB"/>
        </w:rPr>
        <w:t xml:space="preserve"> (or a class of creditors therein), or its members (or again, a class therein); and that the purpose of the compromise or arrangement is to either eliminate, reduce, </w:t>
      </w:r>
      <w:proofErr w:type="gramStart"/>
      <w:r w:rsidR="00817A2B" w:rsidRPr="00680250">
        <w:rPr>
          <w:rFonts w:ascii="Arial" w:hAnsi="Arial" w:cs="Arial"/>
          <w:color w:val="7B7B7B" w:themeColor="accent3" w:themeShade="BF"/>
          <w:sz w:val="22"/>
          <w:szCs w:val="22"/>
          <w:lang w:val="en-GB"/>
        </w:rPr>
        <w:t>prevent</w:t>
      </w:r>
      <w:proofErr w:type="gramEnd"/>
      <w:r w:rsidR="00817A2B" w:rsidRPr="00680250">
        <w:rPr>
          <w:rFonts w:ascii="Arial" w:hAnsi="Arial" w:cs="Arial"/>
          <w:color w:val="7B7B7B" w:themeColor="accent3" w:themeShade="BF"/>
          <w:sz w:val="22"/>
          <w:szCs w:val="22"/>
          <w:lang w:val="en-GB"/>
        </w:rPr>
        <w:t xml:space="preserve"> or mitigate part of the effect, of any of the said financial difficulties currently being encountered.  </w:t>
      </w:r>
    </w:p>
    <w:p w14:paraId="0FE93772" w14:textId="77777777" w:rsidR="00817A2B" w:rsidRPr="00680250" w:rsidRDefault="00817A2B" w:rsidP="002A37BB">
      <w:pPr>
        <w:jc w:val="both"/>
        <w:rPr>
          <w:rFonts w:ascii="Arial" w:hAnsi="Arial" w:cs="Arial"/>
          <w:color w:val="7B7B7B" w:themeColor="accent3" w:themeShade="BF"/>
          <w:sz w:val="22"/>
          <w:szCs w:val="22"/>
          <w:lang w:val="en-GB"/>
        </w:rPr>
      </w:pPr>
    </w:p>
    <w:p w14:paraId="41A52B7C" w14:textId="4D1DCF5C" w:rsidR="00634D2E" w:rsidRPr="00680250" w:rsidRDefault="00817A2B" w:rsidP="002A37BB">
      <w:pPr>
        <w:jc w:val="both"/>
        <w:rPr>
          <w:rFonts w:ascii="Arial" w:hAnsi="Arial" w:cs="Arial"/>
          <w:color w:val="7B7B7B" w:themeColor="accent3" w:themeShade="BF"/>
          <w:sz w:val="22"/>
          <w:szCs w:val="22"/>
          <w:lang w:val="en-GB"/>
        </w:rPr>
      </w:pPr>
      <w:r w:rsidRPr="00680250">
        <w:rPr>
          <w:rFonts w:ascii="Arial" w:hAnsi="Arial" w:cs="Arial"/>
          <w:color w:val="7B7B7B" w:themeColor="accent3" w:themeShade="BF"/>
          <w:sz w:val="22"/>
          <w:szCs w:val="22"/>
          <w:lang w:val="en-GB"/>
        </w:rPr>
        <w:t xml:space="preserve">Conversely, a Part 26 is applicable to companies that are either solvent or insolvent, as the scheme is for creditors. Effectively, </w:t>
      </w:r>
      <w:r w:rsidR="00680250" w:rsidRPr="00680250">
        <w:rPr>
          <w:rFonts w:ascii="Arial" w:hAnsi="Arial" w:cs="Arial"/>
          <w:color w:val="7B7B7B" w:themeColor="accent3" w:themeShade="BF"/>
          <w:sz w:val="22"/>
          <w:szCs w:val="22"/>
          <w:lang w:val="en-GB"/>
        </w:rPr>
        <w:t xml:space="preserve">a company may enter into a Part 26 to </w:t>
      </w:r>
      <w:proofErr w:type="gramStart"/>
      <w:r w:rsidR="00680250" w:rsidRPr="00680250">
        <w:rPr>
          <w:rFonts w:ascii="Arial" w:hAnsi="Arial" w:cs="Arial"/>
          <w:color w:val="7B7B7B" w:themeColor="accent3" w:themeShade="BF"/>
          <w:sz w:val="22"/>
          <w:szCs w:val="22"/>
          <w:lang w:val="en-GB"/>
        </w:rPr>
        <w:t>effect</w:t>
      </w:r>
      <w:proofErr w:type="gramEnd"/>
      <w:r w:rsidR="00680250" w:rsidRPr="00680250">
        <w:rPr>
          <w:rFonts w:ascii="Arial" w:hAnsi="Arial" w:cs="Arial"/>
          <w:color w:val="7B7B7B" w:themeColor="accent3" w:themeShade="BF"/>
          <w:sz w:val="22"/>
          <w:szCs w:val="22"/>
          <w:lang w:val="en-GB"/>
        </w:rPr>
        <w:t xml:space="preserve"> a restructure of the company in circumstances where the company has a large asset base that is then able to actually fund the scheme.  </w:t>
      </w:r>
    </w:p>
    <w:p w14:paraId="0BA8D0F2" w14:textId="66648331" w:rsidR="00680250" w:rsidRPr="00680250" w:rsidRDefault="00680250" w:rsidP="002A37BB">
      <w:pPr>
        <w:jc w:val="both"/>
        <w:rPr>
          <w:rFonts w:ascii="Arial" w:hAnsi="Arial" w:cs="Arial"/>
          <w:color w:val="7B7B7B" w:themeColor="accent3" w:themeShade="BF"/>
          <w:sz w:val="22"/>
          <w:szCs w:val="22"/>
          <w:lang w:val="en-GB"/>
        </w:rPr>
      </w:pPr>
    </w:p>
    <w:p w14:paraId="3909E03E" w14:textId="0615A877" w:rsidR="00680250" w:rsidRPr="00680250" w:rsidRDefault="00680250" w:rsidP="002A37BB">
      <w:pPr>
        <w:jc w:val="both"/>
        <w:rPr>
          <w:rFonts w:ascii="Arial" w:hAnsi="Arial" w:cs="Arial"/>
          <w:b/>
          <w:bCs/>
          <w:color w:val="7B7B7B" w:themeColor="accent3" w:themeShade="BF"/>
          <w:sz w:val="22"/>
          <w:szCs w:val="22"/>
          <w:lang w:val="en-GB"/>
        </w:rPr>
      </w:pPr>
      <w:r w:rsidRPr="00680250">
        <w:rPr>
          <w:rFonts w:ascii="Arial" w:hAnsi="Arial" w:cs="Arial"/>
          <w:b/>
          <w:bCs/>
          <w:color w:val="7B7B7B" w:themeColor="accent3" w:themeShade="BF"/>
          <w:sz w:val="22"/>
          <w:szCs w:val="22"/>
          <w:lang w:val="en-GB"/>
        </w:rPr>
        <w:t>Approval Process</w:t>
      </w:r>
    </w:p>
    <w:p w14:paraId="1DCA873B" w14:textId="0885039B" w:rsidR="00634D2E" w:rsidRPr="00680250" w:rsidRDefault="00634D2E" w:rsidP="002A37BB">
      <w:pPr>
        <w:jc w:val="both"/>
        <w:rPr>
          <w:rFonts w:ascii="Arial" w:hAnsi="Arial" w:cs="Arial"/>
          <w:color w:val="7B7B7B" w:themeColor="accent3" w:themeShade="BF"/>
          <w:sz w:val="22"/>
          <w:szCs w:val="22"/>
          <w:lang w:val="en-GB"/>
        </w:rPr>
      </w:pPr>
    </w:p>
    <w:p w14:paraId="71E80934" w14:textId="11447F1B" w:rsidR="00634D2E" w:rsidRPr="00680250" w:rsidRDefault="00634D2E" w:rsidP="002A37BB">
      <w:pPr>
        <w:jc w:val="both"/>
        <w:rPr>
          <w:rFonts w:ascii="Arial" w:hAnsi="Arial" w:cs="Arial"/>
          <w:color w:val="7B7B7B" w:themeColor="accent3" w:themeShade="BF"/>
          <w:sz w:val="22"/>
          <w:szCs w:val="22"/>
          <w:lang w:val="en-GB"/>
        </w:rPr>
      </w:pPr>
      <w:r w:rsidRPr="00680250">
        <w:rPr>
          <w:rFonts w:ascii="Arial" w:hAnsi="Arial" w:cs="Arial"/>
          <w:color w:val="7B7B7B" w:themeColor="accent3" w:themeShade="BF"/>
          <w:sz w:val="22"/>
          <w:szCs w:val="22"/>
          <w:lang w:val="en-GB"/>
        </w:rPr>
        <w:t xml:space="preserve">The approval process between each of a Part 26 and Part 26A is also different. A Part 26 scheme requires the approval of 75% of the value of creditors to approve the Scheme, as well as the majority of stakeholders within each class of creditor to approve the scheme. Conversely, a Part 26A only requires the approval of 75% of the creditors in overall value.  </w:t>
      </w:r>
    </w:p>
    <w:p w14:paraId="0BCCE9A1" w14:textId="4F2B8F84" w:rsidR="00634D2E" w:rsidRPr="00680250" w:rsidRDefault="00634D2E" w:rsidP="002A37BB">
      <w:pPr>
        <w:jc w:val="both"/>
        <w:rPr>
          <w:rFonts w:ascii="Arial" w:hAnsi="Arial" w:cs="Arial"/>
          <w:color w:val="7B7B7B" w:themeColor="accent3" w:themeShade="BF"/>
          <w:sz w:val="22"/>
          <w:szCs w:val="22"/>
          <w:lang w:val="en-GB"/>
        </w:rPr>
      </w:pPr>
    </w:p>
    <w:p w14:paraId="196CC1F2" w14:textId="3F4BCCC2" w:rsidR="00680250" w:rsidRPr="00680250" w:rsidRDefault="00680250" w:rsidP="002A37BB">
      <w:pPr>
        <w:jc w:val="both"/>
        <w:rPr>
          <w:rFonts w:ascii="Arial" w:hAnsi="Arial" w:cs="Arial"/>
          <w:b/>
          <w:bCs/>
          <w:color w:val="7B7B7B" w:themeColor="accent3" w:themeShade="BF"/>
          <w:sz w:val="22"/>
          <w:szCs w:val="22"/>
          <w:lang w:val="en-GB"/>
        </w:rPr>
      </w:pPr>
      <w:r w:rsidRPr="00680250">
        <w:rPr>
          <w:rFonts w:ascii="Arial" w:hAnsi="Arial" w:cs="Arial"/>
          <w:b/>
          <w:bCs/>
          <w:color w:val="7B7B7B" w:themeColor="accent3" w:themeShade="BF"/>
          <w:sz w:val="22"/>
          <w:szCs w:val="22"/>
          <w:lang w:val="en-GB"/>
        </w:rPr>
        <w:t>Cram Down</w:t>
      </w:r>
    </w:p>
    <w:p w14:paraId="02D73654" w14:textId="77777777" w:rsidR="00680250" w:rsidRPr="00680250" w:rsidRDefault="00680250" w:rsidP="002A37BB">
      <w:pPr>
        <w:jc w:val="both"/>
        <w:rPr>
          <w:rFonts w:ascii="Arial" w:hAnsi="Arial" w:cs="Arial"/>
          <w:color w:val="7B7B7B" w:themeColor="accent3" w:themeShade="BF"/>
          <w:sz w:val="22"/>
          <w:szCs w:val="22"/>
          <w:lang w:val="en-GB"/>
        </w:rPr>
      </w:pPr>
    </w:p>
    <w:p w14:paraId="552DA679" w14:textId="7C59246C" w:rsidR="00634D2E" w:rsidRPr="00680250" w:rsidRDefault="00684CDA" w:rsidP="002A37BB">
      <w:pPr>
        <w:jc w:val="both"/>
        <w:rPr>
          <w:rFonts w:ascii="Arial" w:hAnsi="Arial" w:cs="Arial"/>
          <w:color w:val="7B7B7B" w:themeColor="accent3" w:themeShade="BF"/>
          <w:sz w:val="22"/>
          <w:szCs w:val="22"/>
          <w:lang w:val="en-GB"/>
        </w:rPr>
      </w:pPr>
      <w:r w:rsidRPr="00680250">
        <w:rPr>
          <w:rFonts w:ascii="Arial" w:hAnsi="Arial" w:cs="Arial"/>
          <w:color w:val="7B7B7B" w:themeColor="accent3" w:themeShade="BF"/>
          <w:sz w:val="22"/>
          <w:szCs w:val="22"/>
          <w:lang w:val="en-GB"/>
        </w:rPr>
        <w:t xml:space="preserve">Finally, a part 26A Plan allows for cram-down, even where not </w:t>
      </w:r>
      <w:proofErr w:type="gramStart"/>
      <w:r w:rsidRPr="00680250">
        <w:rPr>
          <w:rFonts w:ascii="Arial" w:hAnsi="Arial" w:cs="Arial"/>
          <w:color w:val="7B7B7B" w:themeColor="accent3" w:themeShade="BF"/>
          <w:sz w:val="22"/>
          <w:szCs w:val="22"/>
          <w:lang w:val="en-GB"/>
        </w:rPr>
        <w:t xml:space="preserve">all </w:t>
      </w:r>
      <w:r w:rsidR="00A16BE5" w:rsidRPr="00680250">
        <w:rPr>
          <w:rFonts w:ascii="Arial" w:hAnsi="Arial" w:cs="Arial"/>
          <w:color w:val="7B7B7B" w:themeColor="accent3" w:themeShade="BF"/>
          <w:sz w:val="22"/>
          <w:szCs w:val="22"/>
          <w:lang w:val="en-GB"/>
        </w:rPr>
        <w:t>of</w:t>
      </w:r>
      <w:proofErr w:type="gramEnd"/>
      <w:r w:rsidR="00A16BE5" w:rsidRPr="00680250">
        <w:rPr>
          <w:rFonts w:ascii="Arial" w:hAnsi="Arial" w:cs="Arial"/>
          <w:color w:val="7B7B7B" w:themeColor="accent3" w:themeShade="BF"/>
          <w:sz w:val="22"/>
          <w:szCs w:val="22"/>
          <w:lang w:val="en-GB"/>
        </w:rPr>
        <w:t xml:space="preserve"> the </w:t>
      </w:r>
      <w:r w:rsidRPr="00680250">
        <w:rPr>
          <w:rFonts w:ascii="Arial" w:hAnsi="Arial" w:cs="Arial"/>
          <w:color w:val="7B7B7B" w:themeColor="accent3" w:themeShade="BF"/>
          <w:sz w:val="22"/>
          <w:szCs w:val="22"/>
          <w:lang w:val="en-GB"/>
        </w:rPr>
        <w:t>creditors</w:t>
      </w:r>
      <w:r w:rsidR="00A16BE5" w:rsidRPr="00680250">
        <w:rPr>
          <w:rFonts w:ascii="Arial" w:hAnsi="Arial" w:cs="Arial"/>
          <w:color w:val="7B7B7B" w:themeColor="accent3" w:themeShade="BF"/>
          <w:sz w:val="22"/>
          <w:szCs w:val="22"/>
          <w:lang w:val="en-GB"/>
        </w:rPr>
        <w:t xml:space="preserve"> are able to agree with the restructuring plan that has been proposed</w:t>
      </w:r>
      <w:r w:rsidRPr="00680250">
        <w:rPr>
          <w:rFonts w:ascii="Arial" w:hAnsi="Arial" w:cs="Arial"/>
          <w:color w:val="7B7B7B" w:themeColor="accent3" w:themeShade="BF"/>
          <w:sz w:val="22"/>
          <w:szCs w:val="22"/>
          <w:lang w:val="en-GB"/>
        </w:rPr>
        <w:t>, whereas a Part 26</w:t>
      </w:r>
      <w:r w:rsidR="00A16BE5" w:rsidRPr="00680250">
        <w:rPr>
          <w:rFonts w:ascii="Arial" w:hAnsi="Arial" w:cs="Arial"/>
          <w:color w:val="7B7B7B" w:themeColor="accent3" w:themeShade="BF"/>
          <w:sz w:val="22"/>
          <w:szCs w:val="22"/>
          <w:lang w:val="en-GB"/>
        </w:rPr>
        <w:t xml:space="preserve"> Scheme </w:t>
      </w:r>
      <w:r w:rsidRPr="00680250">
        <w:rPr>
          <w:rFonts w:ascii="Arial" w:hAnsi="Arial" w:cs="Arial"/>
          <w:color w:val="7B7B7B" w:themeColor="accent3" w:themeShade="BF"/>
          <w:sz w:val="22"/>
          <w:szCs w:val="22"/>
          <w:lang w:val="en-GB"/>
        </w:rPr>
        <w:t xml:space="preserve">has no such provision and as such a cram-down is not possible.  </w:t>
      </w:r>
      <w:r w:rsidR="00817A2B" w:rsidRPr="00680250">
        <w:rPr>
          <w:rFonts w:ascii="Arial" w:hAnsi="Arial" w:cs="Arial"/>
          <w:color w:val="7B7B7B" w:themeColor="accent3" w:themeShade="BF"/>
          <w:sz w:val="22"/>
          <w:szCs w:val="22"/>
          <w:lang w:val="en-GB"/>
        </w:rPr>
        <w:t xml:space="preserve">A cram down under a part 26A plan requires the Court to be satisfied that none of the members would be worse off than under an alternative and that at least 75% (by value) of a class of creditor or members who hold either an economic interest, or would have otherwise received a payment, had voted in </w:t>
      </w:r>
      <w:proofErr w:type="spellStart"/>
      <w:r w:rsidR="00817A2B" w:rsidRPr="00680250">
        <w:rPr>
          <w:rFonts w:ascii="Arial" w:hAnsi="Arial" w:cs="Arial"/>
          <w:color w:val="7B7B7B" w:themeColor="accent3" w:themeShade="BF"/>
          <w:sz w:val="22"/>
          <w:szCs w:val="22"/>
          <w:lang w:val="en-GB"/>
        </w:rPr>
        <w:t>favour</w:t>
      </w:r>
      <w:proofErr w:type="spellEnd"/>
      <w:r w:rsidR="00817A2B" w:rsidRPr="00680250">
        <w:rPr>
          <w:rFonts w:ascii="Arial" w:hAnsi="Arial" w:cs="Arial"/>
          <w:color w:val="7B7B7B" w:themeColor="accent3" w:themeShade="BF"/>
          <w:sz w:val="22"/>
          <w:szCs w:val="22"/>
          <w:lang w:val="en-GB"/>
        </w:rPr>
        <w:t xml:space="preserve"> of the plan.  </w:t>
      </w:r>
    </w:p>
    <w:p w14:paraId="4A637290" w14:textId="4A0282A0" w:rsidR="00544127" w:rsidRPr="002A37BB" w:rsidRDefault="00544127" w:rsidP="00684CDA">
      <w:pPr>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2598521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6DCD5783"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E833F4">
        <w:rPr>
          <w:rFonts w:ascii="Arial" w:hAnsi="Arial" w:cs="Arial"/>
          <w:sz w:val="22"/>
          <w:szCs w:val="22"/>
          <w:lang w:val="en-GB"/>
        </w:rPr>
        <w:t>different way</w:t>
      </w:r>
      <w:r w:rsidR="00763348">
        <w:rPr>
          <w:rFonts w:ascii="Arial" w:hAnsi="Arial" w:cs="Arial"/>
          <w:sz w:val="22"/>
          <w:szCs w:val="22"/>
          <w:lang w:val="en-GB"/>
        </w:rPr>
        <w:t>s</w:t>
      </w:r>
      <w:r w:rsidR="00E833F4">
        <w:rPr>
          <w:rFonts w:ascii="Arial" w:hAnsi="Arial" w:cs="Arial"/>
          <w:sz w:val="22"/>
          <w:szCs w:val="22"/>
          <w:lang w:val="en-GB"/>
        </w:rPr>
        <w:t xml:space="preserve"> in which overseas officeholders may be recognised and request the assistance of the court in England and Wales</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7940D274" w14:textId="71CD11D1" w:rsidR="00DF75F8" w:rsidRDefault="001A7CF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w:t>
      </w:r>
      <w:proofErr w:type="gramStart"/>
      <w:r>
        <w:rPr>
          <w:rFonts w:ascii="Arial" w:hAnsi="Arial" w:cs="Arial"/>
          <w:color w:val="7B7B7B" w:themeColor="accent3" w:themeShade="BF"/>
          <w:sz w:val="22"/>
          <w:szCs w:val="22"/>
          <w:lang w:val="en-GB"/>
        </w:rPr>
        <w:t>a number of</w:t>
      </w:r>
      <w:proofErr w:type="gramEnd"/>
      <w:r>
        <w:rPr>
          <w:rFonts w:ascii="Arial" w:hAnsi="Arial" w:cs="Arial"/>
          <w:color w:val="7B7B7B" w:themeColor="accent3" w:themeShade="BF"/>
          <w:sz w:val="22"/>
          <w:szCs w:val="22"/>
          <w:lang w:val="en-GB"/>
        </w:rPr>
        <w:t xml:space="preserve"> years, there have been four ways for</w:t>
      </w:r>
      <w:r w:rsidR="003B02EE">
        <w:rPr>
          <w:rFonts w:ascii="Arial" w:hAnsi="Arial" w:cs="Arial"/>
          <w:color w:val="7B7B7B" w:themeColor="accent3" w:themeShade="BF"/>
          <w:sz w:val="22"/>
          <w:szCs w:val="22"/>
          <w:lang w:val="en-GB"/>
        </w:rPr>
        <w:t xml:space="preserve"> an overseas officeholder to </w:t>
      </w:r>
      <w:r w:rsidR="000C346C">
        <w:rPr>
          <w:rFonts w:ascii="Arial" w:hAnsi="Arial" w:cs="Arial"/>
          <w:color w:val="7B7B7B" w:themeColor="accent3" w:themeShade="BF"/>
          <w:sz w:val="22"/>
          <w:szCs w:val="22"/>
          <w:lang w:val="en-GB"/>
        </w:rPr>
        <w:t xml:space="preserve">seek recognition of foreign proceedings and </w:t>
      </w:r>
      <w:r w:rsidR="003B02EE">
        <w:rPr>
          <w:rFonts w:ascii="Arial" w:hAnsi="Arial" w:cs="Arial"/>
          <w:color w:val="7B7B7B" w:themeColor="accent3" w:themeShade="BF"/>
          <w:sz w:val="22"/>
          <w:szCs w:val="22"/>
          <w:lang w:val="en-GB"/>
        </w:rPr>
        <w:t xml:space="preserve">request the assistance of courts in England and Wales.  These </w:t>
      </w:r>
      <w:r>
        <w:rPr>
          <w:rFonts w:ascii="Arial" w:hAnsi="Arial" w:cs="Arial"/>
          <w:color w:val="7B7B7B" w:themeColor="accent3" w:themeShade="BF"/>
          <w:sz w:val="22"/>
          <w:szCs w:val="22"/>
          <w:lang w:val="en-GB"/>
        </w:rPr>
        <w:t xml:space="preserve">methods </w:t>
      </w:r>
      <w:r w:rsidR="003B02EE">
        <w:rPr>
          <w:rFonts w:ascii="Arial" w:hAnsi="Arial" w:cs="Arial"/>
          <w:color w:val="7B7B7B" w:themeColor="accent3" w:themeShade="BF"/>
          <w:sz w:val="22"/>
          <w:szCs w:val="22"/>
          <w:lang w:val="en-GB"/>
        </w:rPr>
        <w:t>are the E</w:t>
      </w:r>
      <w:r w:rsidR="000C346C">
        <w:rPr>
          <w:rFonts w:ascii="Arial" w:hAnsi="Arial" w:cs="Arial"/>
          <w:color w:val="7B7B7B" w:themeColor="accent3" w:themeShade="BF"/>
          <w:sz w:val="22"/>
          <w:szCs w:val="22"/>
          <w:lang w:val="en-GB"/>
        </w:rPr>
        <w:t xml:space="preserve">uropean Insolvency </w:t>
      </w:r>
      <w:r w:rsidR="003B02EE">
        <w:rPr>
          <w:rFonts w:ascii="Arial" w:hAnsi="Arial" w:cs="Arial"/>
          <w:color w:val="7B7B7B" w:themeColor="accent3" w:themeShade="BF"/>
          <w:sz w:val="22"/>
          <w:szCs w:val="22"/>
          <w:lang w:val="en-GB"/>
        </w:rPr>
        <w:t xml:space="preserve">Regulation, </w:t>
      </w:r>
      <w:r w:rsidR="005A4AFB">
        <w:rPr>
          <w:rFonts w:ascii="Arial" w:hAnsi="Arial" w:cs="Arial"/>
          <w:color w:val="7B7B7B" w:themeColor="accent3" w:themeShade="BF"/>
          <w:sz w:val="22"/>
          <w:szCs w:val="22"/>
          <w:lang w:val="en-GB"/>
        </w:rPr>
        <w:t>Section 426 of the UK Insolvency Act, the</w:t>
      </w:r>
      <w:r w:rsidR="003B02EE">
        <w:rPr>
          <w:rFonts w:ascii="Arial" w:hAnsi="Arial" w:cs="Arial"/>
          <w:color w:val="7B7B7B" w:themeColor="accent3" w:themeShade="BF"/>
          <w:sz w:val="22"/>
          <w:szCs w:val="22"/>
          <w:lang w:val="en-GB"/>
        </w:rPr>
        <w:t xml:space="preserve"> </w:t>
      </w:r>
      <w:r w:rsidR="000C346C">
        <w:rPr>
          <w:rFonts w:ascii="Arial" w:hAnsi="Arial" w:cs="Arial"/>
          <w:color w:val="7B7B7B" w:themeColor="accent3" w:themeShade="BF"/>
          <w:sz w:val="22"/>
          <w:szCs w:val="22"/>
          <w:lang w:val="en-GB"/>
        </w:rPr>
        <w:t>Cross Border Insolvency Regulations (CBIR)</w:t>
      </w:r>
      <w:r w:rsidR="003B02EE">
        <w:rPr>
          <w:rFonts w:ascii="Arial" w:hAnsi="Arial" w:cs="Arial"/>
          <w:color w:val="7B7B7B" w:themeColor="accent3" w:themeShade="BF"/>
          <w:sz w:val="22"/>
          <w:szCs w:val="22"/>
          <w:lang w:val="en-GB"/>
        </w:rPr>
        <w:t>, or at common law</w:t>
      </w:r>
      <w:r w:rsidR="000C346C">
        <w:rPr>
          <w:rFonts w:ascii="Arial" w:hAnsi="Arial" w:cs="Arial"/>
          <w:color w:val="7B7B7B" w:themeColor="accent3" w:themeShade="BF"/>
          <w:sz w:val="22"/>
          <w:szCs w:val="22"/>
          <w:lang w:val="en-GB"/>
        </w:rPr>
        <w:t xml:space="preserve"> based on the fundamental principles of comity.  These various methods will be discussed in the </w:t>
      </w:r>
      <w:r w:rsidR="00885022">
        <w:rPr>
          <w:rFonts w:ascii="Arial" w:hAnsi="Arial" w:cs="Arial"/>
          <w:color w:val="7B7B7B" w:themeColor="accent3" w:themeShade="BF"/>
          <w:sz w:val="22"/>
          <w:szCs w:val="22"/>
          <w:lang w:val="en-GB"/>
        </w:rPr>
        <w:t xml:space="preserve">below.  </w:t>
      </w:r>
    </w:p>
    <w:p w14:paraId="06481710" w14:textId="16A9879F" w:rsidR="000C346C" w:rsidRDefault="000C346C" w:rsidP="002A37BB">
      <w:pPr>
        <w:jc w:val="both"/>
        <w:rPr>
          <w:rFonts w:ascii="Arial" w:hAnsi="Arial" w:cs="Arial"/>
          <w:color w:val="7B7B7B" w:themeColor="accent3" w:themeShade="BF"/>
          <w:sz w:val="22"/>
          <w:szCs w:val="22"/>
          <w:lang w:val="en-GB"/>
        </w:rPr>
      </w:pPr>
    </w:p>
    <w:p w14:paraId="3C947511" w14:textId="4C83B0B8" w:rsidR="00440080" w:rsidRDefault="001A7CF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and briefly, the European Insolvency Regulation (EIR) has previously </w:t>
      </w:r>
      <w:proofErr w:type="gramStart"/>
      <w:r>
        <w:rPr>
          <w:rFonts w:ascii="Arial" w:hAnsi="Arial" w:cs="Arial"/>
          <w:color w:val="7B7B7B" w:themeColor="accent3" w:themeShade="BF"/>
          <w:sz w:val="22"/>
          <w:szCs w:val="22"/>
          <w:lang w:val="en-GB"/>
        </w:rPr>
        <w:t>provided assistance for</w:t>
      </w:r>
      <w:proofErr w:type="gramEnd"/>
      <w:r>
        <w:rPr>
          <w:rFonts w:ascii="Arial" w:hAnsi="Arial" w:cs="Arial"/>
          <w:color w:val="7B7B7B" w:themeColor="accent3" w:themeShade="BF"/>
          <w:sz w:val="22"/>
          <w:szCs w:val="22"/>
          <w:lang w:val="en-GB"/>
        </w:rPr>
        <w:t xml:space="preserve"> officeholders across the European Union to easily and efficiently apply for recognition across all members of the EU (save for Denmark).  Under t</w:t>
      </w:r>
      <w:r w:rsidR="005A4AFB">
        <w:rPr>
          <w:rFonts w:ascii="Arial" w:hAnsi="Arial" w:cs="Arial"/>
          <w:color w:val="7B7B7B" w:themeColor="accent3" w:themeShade="BF"/>
          <w:sz w:val="22"/>
          <w:szCs w:val="22"/>
          <w:lang w:val="en-GB"/>
        </w:rPr>
        <w:t>he EIR</w:t>
      </w:r>
      <w:r>
        <w:rPr>
          <w:rFonts w:ascii="Arial" w:hAnsi="Arial" w:cs="Arial"/>
          <w:color w:val="7B7B7B" w:themeColor="accent3" w:themeShade="BF"/>
          <w:sz w:val="22"/>
          <w:szCs w:val="22"/>
          <w:lang w:val="en-GB"/>
        </w:rPr>
        <w:t xml:space="preserve">, foreign proceedings were concerned with the Centre of Main Interests (COMI) of the Debtor company. Upon commencement of proceedings in the Country with the COMI, the applicable law would then be that of the COMI country. Effectively the EIR would then allow for automatic </w:t>
      </w:r>
      <w:r w:rsidR="00D37A02">
        <w:rPr>
          <w:rFonts w:ascii="Arial" w:hAnsi="Arial" w:cs="Arial"/>
          <w:color w:val="7B7B7B" w:themeColor="accent3" w:themeShade="BF"/>
          <w:sz w:val="22"/>
          <w:szCs w:val="22"/>
          <w:lang w:val="en-GB"/>
        </w:rPr>
        <w:lastRenderedPageBreak/>
        <w:t xml:space="preserve">recognition </w:t>
      </w:r>
      <w:r>
        <w:rPr>
          <w:rFonts w:ascii="Arial" w:hAnsi="Arial" w:cs="Arial"/>
          <w:color w:val="7B7B7B" w:themeColor="accent3" w:themeShade="BF"/>
          <w:sz w:val="22"/>
          <w:szCs w:val="22"/>
          <w:lang w:val="en-GB"/>
        </w:rPr>
        <w:t>of the proceedings across member states</w:t>
      </w:r>
      <w:r w:rsidR="00AE28B3">
        <w:rPr>
          <w:rFonts w:ascii="Arial" w:hAnsi="Arial" w:cs="Arial"/>
          <w:color w:val="7B7B7B" w:themeColor="accent3" w:themeShade="BF"/>
          <w:sz w:val="22"/>
          <w:szCs w:val="22"/>
          <w:lang w:val="en-GB"/>
        </w:rPr>
        <w:t xml:space="preserve">, including the UK meaning that </w:t>
      </w:r>
      <w:r w:rsidR="00D37A02">
        <w:rPr>
          <w:rFonts w:ascii="Arial" w:hAnsi="Arial" w:cs="Arial"/>
          <w:color w:val="7B7B7B" w:themeColor="accent3" w:themeShade="BF"/>
          <w:sz w:val="22"/>
          <w:szCs w:val="22"/>
          <w:lang w:val="en-GB"/>
        </w:rPr>
        <w:t>recognition</w:t>
      </w:r>
      <w:r w:rsidR="00AE28B3">
        <w:rPr>
          <w:rFonts w:ascii="Arial" w:hAnsi="Arial" w:cs="Arial"/>
          <w:color w:val="7B7B7B" w:themeColor="accent3" w:themeShade="BF"/>
          <w:sz w:val="22"/>
          <w:szCs w:val="22"/>
          <w:lang w:val="en-GB"/>
        </w:rPr>
        <w:t xml:space="preserve"> of a foreign officeholder was automatic.  </w:t>
      </w:r>
      <w:r>
        <w:rPr>
          <w:rFonts w:ascii="Arial" w:hAnsi="Arial" w:cs="Arial"/>
          <w:color w:val="7B7B7B" w:themeColor="accent3" w:themeShade="BF"/>
          <w:sz w:val="22"/>
          <w:szCs w:val="22"/>
          <w:lang w:val="en-GB"/>
        </w:rPr>
        <w:t>However, as a result of Brexit there have been a number of amendments</w:t>
      </w:r>
      <w:r w:rsidR="00AE28B3">
        <w:rPr>
          <w:rFonts w:ascii="Arial" w:hAnsi="Arial" w:cs="Arial"/>
          <w:color w:val="7B7B7B" w:themeColor="accent3" w:themeShade="BF"/>
          <w:sz w:val="22"/>
          <w:szCs w:val="22"/>
          <w:lang w:val="en-GB"/>
        </w:rPr>
        <w:t xml:space="preserve"> to allow for recognition, as set out in </w:t>
      </w:r>
      <w:r w:rsidR="00AE28B3">
        <w:rPr>
          <w:rFonts w:ascii="Arial" w:hAnsi="Arial" w:cs="Arial"/>
          <w:i/>
          <w:iCs/>
          <w:color w:val="7B7B7B" w:themeColor="accent3" w:themeShade="BF"/>
          <w:sz w:val="22"/>
          <w:szCs w:val="22"/>
          <w:lang w:val="en-GB"/>
        </w:rPr>
        <w:t xml:space="preserve">The Insolvency (Amendment) (EU Exit) Regulations 2019 </w:t>
      </w:r>
      <w:r w:rsidR="00AE28B3">
        <w:rPr>
          <w:rFonts w:ascii="Arial" w:hAnsi="Arial" w:cs="Arial"/>
          <w:color w:val="7B7B7B" w:themeColor="accent3" w:themeShade="BF"/>
          <w:sz w:val="22"/>
          <w:szCs w:val="22"/>
          <w:lang w:val="en-GB"/>
        </w:rPr>
        <w:t xml:space="preserve">and </w:t>
      </w:r>
      <w:r w:rsidR="00AE28B3">
        <w:rPr>
          <w:rFonts w:ascii="Arial" w:hAnsi="Arial" w:cs="Arial"/>
          <w:i/>
          <w:iCs/>
          <w:color w:val="7B7B7B" w:themeColor="accent3" w:themeShade="BF"/>
          <w:sz w:val="22"/>
          <w:szCs w:val="22"/>
          <w:lang w:val="en-GB"/>
        </w:rPr>
        <w:t>The Insolvency (Amendment) (EU Exit) Regulations 2020</w:t>
      </w:r>
      <w:r w:rsidR="00AE28B3">
        <w:rPr>
          <w:rFonts w:ascii="Arial" w:hAnsi="Arial" w:cs="Arial"/>
          <w:color w:val="7B7B7B" w:themeColor="accent3" w:themeShade="BF"/>
          <w:sz w:val="22"/>
          <w:szCs w:val="22"/>
          <w:lang w:val="en-GB"/>
        </w:rPr>
        <w:t>, which effectively provides some authority to the UK Courts to allow insolvency proceedings (following the exit date) where there is either a COMI of the UK, or the COMI is in the European Union but there is sufficient connection to the UK</w:t>
      </w:r>
      <w:r w:rsidR="00AE28B3">
        <w:rPr>
          <w:rFonts w:ascii="Arial" w:hAnsi="Arial" w:cs="Arial"/>
          <w:i/>
          <w:iCs/>
          <w:color w:val="7B7B7B" w:themeColor="accent3" w:themeShade="BF"/>
          <w:sz w:val="22"/>
          <w:szCs w:val="22"/>
          <w:lang w:val="en-GB"/>
        </w:rPr>
        <w:t>.</w:t>
      </w:r>
      <w:r w:rsidR="00AE28B3">
        <w:rPr>
          <w:rFonts w:ascii="Arial" w:hAnsi="Arial" w:cs="Arial"/>
          <w:color w:val="7B7B7B" w:themeColor="accent3" w:themeShade="BF"/>
          <w:sz w:val="22"/>
          <w:szCs w:val="22"/>
          <w:lang w:val="en-GB"/>
        </w:rPr>
        <w:t xml:space="preserve"> </w:t>
      </w:r>
    </w:p>
    <w:p w14:paraId="36BDC329" w14:textId="28F4D955" w:rsidR="00AE28B3" w:rsidRDefault="00AE28B3" w:rsidP="002A37BB">
      <w:pPr>
        <w:jc w:val="both"/>
        <w:rPr>
          <w:rFonts w:ascii="Arial" w:hAnsi="Arial" w:cs="Arial"/>
          <w:color w:val="7B7B7B" w:themeColor="accent3" w:themeShade="BF"/>
          <w:sz w:val="22"/>
          <w:szCs w:val="22"/>
          <w:lang w:val="en-GB"/>
        </w:rPr>
      </w:pPr>
    </w:p>
    <w:p w14:paraId="544258C3" w14:textId="3B7CF3FE" w:rsidR="00AE28B3" w:rsidRDefault="00AE28B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Secondly, </w:t>
      </w:r>
      <w:r w:rsidR="005A4AFB">
        <w:rPr>
          <w:rFonts w:ascii="Arial" w:hAnsi="Arial" w:cs="Arial"/>
          <w:color w:val="7B7B7B" w:themeColor="accent3" w:themeShade="BF"/>
          <w:sz w:val="22"/>
          <w:szCs w:val="22"/>
          <w:lang w:val="en-GB"/>
        </w:rPr>
        <w:t xml:space="preserve">s426 of the Insolvency Act provides the framework for </w:t>
      </w:r>
      <w:r w:rsidR="00765C8C">
        <w:rPr>
          <w:rFonts w:ascii="Arial" w:hAnsi="Arial" w:cs="Arial"/>
          <w:color w:val="7B7B7B" w:themeColor="accent3" w:themeShade="BF"/>
          <w:sz w:val="22"/>
          <w:szCs w:val="22"/>
          <w:lang w:val="en-GB"/>
        </w:rPr>
        <w:t xml:space="preserve">UK Courts to </w:t>
      </w:r>
      <w:proofErr w:type="gramStart"/>
      <w:r w:rsidR="00765C8C">
        <w:rPr>
          <w:rFonts w:ascii="Arial" w:hAnsi="Arial" w:cs="Arial"/>
          <w:color w:val="7B7B7B" w:themeColor="accent3" w:themeShade="BF"/>
          <w:sz w:val="22"/>
          <w:szCs w:val="22"/>
          <w:lang w:val="en-GB"/>
        </w:rPr>
        <w:t xml:space="preserve">provide assistance </w:t>
      </w:r>
      <w:r w:rsidR="00A16BE5">
        <w:rPr>
          <w:rFonts w:ascii="Arial" w:hAnsi="Arial" w:cs="Arial"/>
          <w:color w:val="7B7B7B" w:themeColor="accent3" w:themeShade="BF"/>
          <w:sz w:val="22"/>
          <w:szCs w:val="22"/>
          <w:lang w:val="en-GB"/>
        </w:rPr>
        <w:t>to</w:t>
      </w:r>
      <w:proofErr w:type="gramEnd"/>
      <w:r w:rsidR="00A16BE5">
        <w:rPr>
          <w:rFonts w:ascii="Arial" w:hAnsi="Arial" w:cs="Arial"/>
          <w:color w:val="7B7B7B" w:themeColor="accent3" w:themeShade="BF"/>
          <w:sz w:val="22"/>
          <w:szCs w:val="22"/>
          <w:lang w:val="en-GB"/>
        </w:rPr>
        <w:t xml:space="preserve"> other U.K Courts as well as </w:t>
      </w:r>
      <w:r w:rsidR="00765C8C">
        <w:rPr>
          <w:rFonts w:ascii="Arial" w:hAnsi="Arial" w:cs="Arial"/>
          <w:color w:val="7B7B7B" w:themeColor="accent3" w:themeShade="BF"/>
          <w:sz w:val="22"/>
          <w:szCs w:val="22"/>
          <w:lang w:val="en-GB"/>
        </w:rPr>
        <w:t>to the insolvency courts of countries (</w:t>
      </w:r>
      <w:r w:rsidR="008457FB">
        <w:rPr>
          <w:rFonts w:ascii="Arial" w:hAnsi="Arial" w:cs="Arial"/>
          <w:color w:val="7B7B7B" w:themeColor="accent3" w:themeShade="BF"/>
          <w:sz w:val="22"/>
          <w:szCs w:val="22"/>
          <w:lang w:val="en-GB"/>
        </w:rPr>
        <w:t>as defined in the Act, these are ‘relevant countries’ and this is n</w:t>
      </w:r>
      <w:r w:rsidR="00765C8C">
        <w:rPr>
          <w:rFonts w:ascii="Arial" w:hAnsi="Arial" w:cs="Arial"/>
          <w:color w:val="7B7B7B" w:themeColor="accent3" w:themeShade="BF"/>
          <w:sz w:val="22"/>
          <w:szCs w:val="22"/>
          <w:lang w:val="en-GB"/>
        </w:rPr>
        <w:t xml:space="preserve">ot </w:t>
      </w:r>
      <w:r w:rsidR="004103B3">
        <w:rPr>
          <w:rFonts w:ascii="Arial" w:hAnsi="Arial" w:cs="Arial"/>
          <w:color w:val="7B7B7B" w:themeColor="accent3" w:themeShade="BF"/>
          <w:sz w:val="22"/>
          <w:szCs w:val="22"/>
          <w:lang w:val="en-GB"/>
        </w:rPr>
        <w:t xml:space="preserve">a blank obligation to </w:t>
      </w:r>
      <w:r w:rsidR="00765C8C">
        <w:rPr>
          <w:rFonts w:ascii="Arial" w:hAnsi="Arial" w:cs="Arial"/>
          <w:color w:val="7B7B7B" w:themeColor="accent3" w:themeShade="BF"/>
          <w:sz w:val="22"/>
          <w:szCs w:val="22"/>
          <w:lang w:val="en-GB"/>
        </w:rPr>
        <w:t>any country)</w:t>
      </w:r>
      <w:r w:rsidR="008457FB">
        <w:rPr>
          <w:rFonts w:ascii="Arial" w:hAnsi="Arial" w:cs="Arial"/>
          <w:color w:val="7B7B7B" w:themeColor="accent3" w:themeShade="BF"/>
          <w:sz w:val="22"/>
          <w:szCs w:val="22"/>
          <w:lang w:val="en-GB"/>
        </w:rPr>
        <w:t xml:space="preserve">. </w:t>
      </w:r>
      <w:proofErr w:type="gramStart"/>
      <w:r w:rsidR="008457FB">
        <w:rPr>
          <w:rFonts w:ascii="Arial" w:hAnsi="Arial" w:cs="Arial"/>
          <w:color w:val="7B7B7B" w:themeColor="accent3" w:themeShade="BF"/>
          <w:sz w:val="22"/>
          <w:szCs w:val="22"/>
          <w:lang w:val="en-GB"/>
        </w:rPr>
        <w:t>A number of</w:t>
      </w:r>
      <w:proofErr w:type="gramEnd"/>
      <w:r w:rsidR="008457FB">
        <w:rPr>
          <w:rFonts w:ascii="Arial" w:hAnsi="Arial" w:cs="Arial"/>
          <w:color w:val="7B7B7B" w:themeColor="accent3" w:themeShade="BF"/>
          <w:sz w:val="22"/>
          <w:szCs w:val="22"/>
          <w:lang w:val="en-GB"/>
        </w:rPr>
        <w:t xml:space="preserve"> countries are currently listed including South Africa, Australia, Hong Kong, New Zealand and Canada. Whilst the decision to grant assistance under s 426 is entirely within the discretion of the Court, the general position is that the court should provide the requested assistance unless it would be improper for the Court to do so.  </w:t>
      </w:r>
    </w:p>
    <w:p w14:paraId="32AB3647" w14:textId="24021E9D" w:rsidR="005A4AFB" w:rsidRDefault="005A4AFB" w:rsidP="002A37BB">
      <w:pPr>
        <w:jc w:val="both"/>
        <w:rPr>
          <w:rFonts w:ascii="Arial" w:hAnsi="Arial" w:cs="Arial"/>
          <w:color w:val="7B7B7B" w:themeColor="accent3" w:themeShade="BF"/>
          <w:sz w:val="22"/>
          <w:szCs w:val="22"/>
          <w:lang w:val="en-GB"/>
        </w:rPr>
      </w:pPr>
    </w:p>
    <w:p w14:paraId="5BFDC16B" w14:textId="11FD4F8B" w:rsidR="00AC0ED2" w:rsidRDefault="00AC0ED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Cross-Border Insolvency provisions are based on the UNCITRAL Model Law on cross-Border Insolvency and as such the general provisions relating to the</w:t>
      </w:r>
      <w:r w:rsidR="008457FB">
        <w:rPr>
          <w:rFonts w:ascii="Arial" w:hAnsi="Arial" w:cs="Arial"/>
          <w:color w:val="7B7B7B" w:themeColor="accent3" w:themeShade="BF"/>
          <w:sz w:val="22"/>
          <w:szCs w:val="22"/>
          <w:lang w:val="en-GB"/>
        </w:rPr>
        <w:t xml:space="preserve"> Model Law exist within the UK </w:t>
      </w:r>
      <w:proofErr w:type="gramStart"/>
      <w:r w:rsidR="008457FB">
        <w:rPr>
          <w:rFonts w:ascii="Arial" w:hAnsi="Arial" w:cs="Arial"/>
          <w:color w:val="7B7B7B" w:themeColor="accent3" w:themeShade="BF"/>
          <w:sz w:val="22"/>
          <w:szCs w:val="22"/>
          <w:lang w:val="en-GB"/>
        </w:rPr>
        <w:t>as a result of</w:t>
      </w:r>
      <w:proofErr w:type="gramEnd"/>
      <w:r w:rsidR="008457FB">
        <w:rPr>
          <w:rFonts w:ascii="Arial" w:hAnsi="Arial" w:cs="Arial"/>
          <w:color w:val="7B7B7B" w:themeColor="accent3" w:themeShade="BF"/>
          <w:sz w:val="22"/>
          <w:szCs w:val="22"/>
          <w:lang w:val="en-GB"/>
        </w:rPr>
        <w:t xml:space="preserve"> this legislation.  </w:t>
      </w:r>
      <w:r w:rsidR="00956774">
        <w:rPr>
          <w:rFonts w:ascii="Arial" w:hAnsi="Arial" w:cs="Arial"/>
          <w:color w:val="7B7B7B" w:themeColor="accent3" w:themeShade="BF"/>
          <w:sz w:val="22"/>
          <w:szCs w:val="22"/>
          <w:lang w:val="en-GB"/>
        </w:rPr>
        <w:t xml:space="preserve">It is interesting to note that in adopting the Model Law, the UK has not placed any limits on </w:t>
      </w:r>
      <w:proofErr w:type="gramStart"/>
      <w:r w:rsidR="00956774">
        <w:rPr>
          <w:rFonts w:ascii="Arial" w:hAnsi="Arial" w:cs="Arial"/>
          <w:color w:val="7B7B7B" w:themeColor="accent3" w:themeShade="BF"/>
          <w:sz w:val="22"/>
          <w:szCs w:val="22"/>
          <w:lang w:val="en-GB"/>
        </w:rPr>
        <w:t>the an</w:t>
      </w:r>
      <w:proofErr w:type="gramEnd"/>
      <w:r w:rsidR="00956774">
        <w:rPr>
          <w:rFonts w:ascii="Arial" w:hAnsi="Arial" w:cs="Arial"/>
          <w:color w:val="7B7B7B" w:themeColor="accent3" w:themeShade="BF"/>
          <w:sz w:val="22"/>
          <w:szCs w:val="22"/>
          <w:lang w:val="en-GB"/>
        </w:rPr>
        <w:t xml:space="preserve"> inbound application, meaning that any insolvency practitioner from any overseas jurisdiction can make an application in the UK for recognition and assistance, and any such application can be directly made by the insolvency practitioner.  Further, foreign insolvency practitioners are provided with further opportunities to engage with and participate in any debtor’s British insolvency processes.    </w:t>
      </w:r>
    </w:p>
    <w:p w14:paraId="69923B7E" w14:textId="77777777" w:rsidR="005A4AFB" w:rsidRPr="00AE28B3" w:rsidRDefault="005A4AFB" w:rsidP="002A37BB">
      <w:pPr>
        <w:jc w:val="both"/>
        <w:rPr>
          <w:rFonts w:ascii="Arial" w:hAnsi="Arial" w:cs="Arial"/>
          <w:color w:val="7B7B7B" w:themeColor="accent3" w:themeShade="BF"/>
          <w:sz w:val="22"/>
          <w:szCs w:val="22"/>
          <w:lang w:val="en-GB"/>
        </w:rPr>
      </w:pPr>
    </w:p>
    <w:p w14:paraId="1589E1A3" w14:textId="5A37FC13" w:rsidR="00885022" w:rsidRDefault="00A16BE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w:t>
      </w:r>
      <w:r w:rsidR="00E0556F">
        <w:rPr>
          <w:rFonts w:ascii="Arial" w:hAnsi="Arial" w:cs="Arial"/>
          <w:color w:val="7B7B7B" w:themeColor="accent3" w:themeShade="BF"/>
          <w:sz w:val="22"/>
          <w:szCs w:val="22"/>
          <w:lang w:val="en-GB"/>
        </w:rPr>
        <w:t>ly</w:t>
      </w:r>
      <w:r>
        <w:rPr>
          <w:rFonts w:ascii="Arial" w:hAnsi="Arial" w:cs="Arial"/>
          <w:color w:val="7B7B7B" w:themeColor="accent3" w:themeShade="BF"/>
          <w:sz w:val="22"/>
          <w:szCs w:val="22"/>
          <w:lang w:val="en-GB"/>
        </w:rPr>
        <w:t xml:space="preserve">, the </w:t>
      </w:r>
      <w:r w:rsidR="00E0556F">
        <w:rPr>
          <w:rFonts w:ascii="Arial" w:hAnsi="Arial" w:cs="Arial"/>
          <w:color w:val="7B7B7B" w:themeColor="accent3" w:themeShade="BF"/>
          <w:sz w:val="22"/>
          <w:szCs w:val="22"/>
          <w:lang w:val="en-GB"/>
        </w:rPr>
        <w:t xml:space="preserve">UK </w:t>
      </w:r>
      <w:r>
        <w:rPr>
          <w:rFonts w:ascii="Arial" w:hAnsi="Arial" w:cs="Arial"/>
          <w:color w:val="7B7B7B" w:themeColor="accent3" w:themeShade="BF"/>
          <w:sz w:val="22"/>
          <w:szCs w:val="22"/>
          <w:lang w:val="en-GB"/>
        </w:rPr>
        <w:t xml:space="preserve">common law allows for applications to be made to the Court </w:t>
      </w:r>
      <w:r w:rsidR="008457FB">
        <w:rPr>
          <w:rFonts w:ascii="Arial" w:hAnsi="Arial" w:cs="Arial"/>
          <w:color w:val="7B7B7B" w:themeColor="accent3" w:themeShade="BF"/>
          <w:sz w:val="22"/>
          <w:szCs w:val="22"/>
          <w:lang w:val="en-GB"/>
        </w:rPr>
        <w:t xml:space="preserve">for recognition. Naturally, this approach has changed over time, but the approach was initially for the court to adhere to the discretion of their power to recognise foreign officeholders as if the application had been made under s.426 as discussed above. </w:t>
      </w:r>
      <w:r w:rsidR="0094138E">
        <w:rPr>
          <w:rFonts w:ascii="Arial" w:hAnsi="Arial" w:cs="Arial"/>
          <w:color w:val="7B7B7B" w:themeColor="accent3" w:themeShade="BF"/>
          <w:sz w:val="22"/>
          <w:szCs w:val="22"/>
          <w:lang w:val="en-GB"/>
        </w:rPr>
        <w:t>Initially, the UK approach allowed for such recognition to be granted, there were 3 main principles that governed this approach – being that a domestic court had the power under the common law to assist a foreign insolvency officeholder, a domestic court has the common law power to assist a foreign court to do whatever the Court would have otherwise done in a local proceeding, and a domestic court has jurisdiction over parties in an insolvency procedure by virtue of this common law power (even if the parties are otherwise outside of the jurisdiction that the domestic court would have otherwise had).</w:t>
      </w:r>
      <w:r w:rsidR="0094138E">
        <w:rPr>
          <w:rStyle w:val="FootnoteReference"/>
          <w:rFonts w:ascii="Arial" w:hAnsi="Arial" w:cs="Arial"/>
          <w:color w:val="7B7B7B" w:themeColor="accent3" w:themeShade="BF"/>
          <w:sz w:val="22"/>
          <w:szCs w:val="22"/>
          <w:lang w:val="en-GB"/>
        </w:rPr>
        <w:footnoteReference w:id="4"/>
      </w:r>
      <w:r w:rsidR="0094138E">
        <w:rPr>
          <w:rFonts w:ascii="Arial" w:hAnsi="Arial" w:cs="Arial"/>
          <w:color w:val="7B7B7B" w:themeColor="accent3" w:themeShade="BF"/>
          <w:sz w:val="22"/>
          <w:szCs w:val="22"/>
          <w:lang w:val="en-GB"/>
        </w:rPr>
        <w:t xml:space="preserve">  </w:t>
      </w:r>
      <w:r w:rsidR="008457FB">
        <w:rPr>
          <w:rFonts w:ascii="Arial" w:hAnsi="Arial" w:cs="Arial"/>
          <w:color w:val="7B7B7B" w:themeColor="accent3" w:themeShade="BF"/>
          <w:sz w:val="22"/>
          <w:szCs w:val="22"/>
          <w:lang w:val="en-GB"/>
        </w:rPr>
        <w:t xml:space="preserve">The current UK </w:t>
      </w:r>
      <w:r w:rsidR="0094138E">
        <w:rPr>
          <w:rFonts w:ascii="Arial" w:hAnsi="Arial" w:cs="Arial"/>
          <w:color w:val="7B7B7B" w:themeColor="accent3" w:themeShade="BF"/>
          <w:sz w:val="22"/>
          <w:szCs w:val="22"/>
          <w:lang w:val="en-GB"/>
        </w:rPr>
        <w:t xml:space="preserve">Common Law </w:t>
      </w:r>
      <w:r w:rsidR="008457FB">
        <w:rPr>
          <w:rFonts w:ascii="Arial" w:hAnsi="Arial" w:cs="Arial"/>
          <w:color w:val="7B7B7B" w:themeColor="accent3" w:themeShade="BF"/>
          <w:sz w:val="22"/>
          <w:szCs w:val="22"/>
          <w:lang w:val="en-GB"/>
        </w:rPr>
        <w:t xml:space="preserve">approach is </w:t>
      </w:r>
      <w:r w:rsidR="0094138E">
        <w:rPr>
          <w:rFonts w:ascii="Arial" w:hAnsi="Arial" w:cs="Arial"/>
          <w:color w:val="7B7B7B" w:themeColor="accent3" w:themeShade="BF"/>
          <w:sz w:val="22"/>
          <w:szCs w:val="22"/>
          <w:lang w:val="en-GB"/>
        </w:rPr>
        <w:t xml:space="preserve">significantly limited, so much so that in the event of recognition of a foreign officeholder requiring assistance, should utilise one of the above methods over and above the common law.  </w:t>
      </w:r>
      <w:r w:rsidR="008457FB">
        <w:rPr>
          <w:rFonts w:ascii="Arial" w:hAnsi="Arial" w:cs="Arial"/>
          <w:color w:val="7B7B7B" w:themeColor="accent3" w:themeShade="BF"/>
          <w:sz w:val="22"/>
          <w:szCs w:val="22"/>
          <w:lang w:val="en-GB"/>
        </w:rPr>
        <w:t xml:space="preserve"> </w:t>
      </w:r>
    </w:p>
    <w:p w14:paraId="3DAA6780" w14:textId="657CEFE1" w:rsidR="00962045" w:rsidRPr="002A37BB" w:rsidRDefault="00962045" w:rsidP="002A37BB">
      <w:pPr>
        <w:jc w:val="both"/>
        <w:rPr>
          <w:rFonts w:ascii="Arial" w:hAnsi="Arial" w:cs="Arial"/>
          <w:sz w:val="22"/>
          <w:szCs w:val="22"/>
          <w:shd w:val="clear" w:color="auto" w:fill="FFFFFF"/>
        </w:rPr>
      </w:pPr>
    </w:p>
    <w:p w14:paraId="050B7D02" w14:textId="77777777" w:rsidR="00D17FDC" w:rsidRPr="002A37BB" w:rsidRDefault="00D17FDC"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77777777"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Prior to going into liquidation</w:t>
      </w:r>
      <w:r>
        <w:rPr>
          <w:rFonts w:ascii="Arial" w:hAnsi="Arial" w:cs="Arial"/>
        </w:rPr>
        <w:t xml:space="preserve"> in November 2020</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Cork-In Limited granted a debenture in favour of </w:t>
      </w:r>
      <w:r>
        <w:rPr>
          <w:rFonts w:ascii="Arial" w:hAnsi="Arial" w:cs="Arial"/>
        </w:rPr>
        <w:t>Stercus</w:t>
      </w:r>
      <w:r w:rsidRPr="00CB79E4">
        <w:rPr>
          <w:rFonts w:ascii="Arial" w:hAnsi="Arial" w:cs="Arial"/>
        </w:rPr>
        <w:t xml:space="preserve"> Bank plc in January 20</w:t>
      </w:r>
      <w:r>
        <w:rPr>
          <w:rFonts w:ascii="Arial" w:hAnsi="Arial" w:cs="Arial"/>
        </w:rPr>
        <w:t>20</w:t>
      </w:r>
      <w:r w:rsidRPr="00CB79E4">
        <w:rPr>
          <w:rFonts w:ascii="Arial" w:hAnsi="Arial" w:cs="Arial"/>
        </w:rPr>
        <w:t>. The debenture contained a floating charge over the whole of the company’s undertaking.</w:t>
      </w:r>
    </w:p>
    <w:p w14:paraId="446FD66A" w14:textId="77777777" w:rsidR="007E2919" w:rsidRPr="00CB79E4" w:rsidRDefault="007E2919" w:rsidP="007E2919">
      <w:pPr>
        <w:pStyle w:val="NormalWeb"/>
        <w:spacing w:before="0" w:beforeAutospacing="0" w:after="0" w:afterAutospacing="0"/>
        <w:rPr>
          <w:rFonts w:ascii="Arial" w:hAnsi="Arial" w:cs="Arial"/>
        </w:rPr>
      </w:pPr>
    </w:p>
    <w:p w14:paraId="11816931"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In June 20</w:t>
      </w:r>
      <w:r>
        <w:rPr>
          <w:rFonts w:ascii="Arial" w:hAnsi="Arial" w:cs="Arial"/>
        </w:rPr>
        <w:t>20</w:t>
      </w:r>
      <w:r w:rsidRPr="00CB79E4">
        <w:rPr>
          <w:rFonts w:ascii="Arial" w:hAnsi="Arial" w:cs="Arial"/>
        </w:rPr>
        <w:t xml:space="preserve">, as the company continued to struggle, the directors approved the </w:t>
      </w:r>
    </w:p>
    <w:p w14:paraId="2CAD379F" w14:textId="77777777" w:rsidR="007E2919" w:rsidRDefault="007E2919" w:rsidP="007E2919">
      <w:pPr>
        <w:pStyle w:val="NormalWeb"/>
        <w:spacing w:before="0" w:beforeAutospacing="0" w:after="0" w:afterAutospacing="0"/>
        <w:ind w:left="720" w:hanging="720"/>
        <w:rPr>
          <w:rFonts w:ascii="Arial" w:hAnsi="Arial" w:cs="Arial"/>
        </w:rPr>
      </w:pPr>
      <w:r w:rsidRPr="00CB79E4">
        <w:rPr>
          <w:rFonts w:ascii="Arial" w:hAnsi="Arial" w:cs="Arial"/>
        </w:rPr>
        <w:t>sale of a company delivery van to Paul Watson</w:t>
      </w:r>
      <w:r>
        <w:rPr>
          <w:rFonts w:ascii="Arial" w:hAnsi="Arial" w:cs="Arial"/>
        </w:rPr>
        <w:t xml:space="preserve"> (a director)</w:t>
      </w:r>
      <w:r w:rsidRPr="00CB79E4">
        <w:rPr>
          <w:rFonts w:ascii="Arial" w:hAnsi="Arial" w:cs="Arial"/>
        </w:rPr>
        <w:t xml:space="preserve"> for £5,000 in </w:t>
      </w:r>
      <w:r>
        <w:rPr>
          <w:rFonts w:ascii="Arial" w:hAnsi="Arial" w:cs="Arial"/>
        </w:rPr>
        <w:t xml:space="preserve">cash. The </w:t>
      </w:r>
    </w:p>
    <w:p w14:paraId="0C3B98CB" w14:textId="77777777" w:rsidR="007E2919" w:rsidRPr="00CB79E4" w:rsidRDefault="007E2919" w:rsidP="007E2919">
      <w:pPr>
        <w:pStyle w:val="NormalWeb"/>
        <w:spacing w:before="0" w:beforeAutospacing="0" w:after="0" w:afterAutospacing="0"/>
        <w:ind w:left="720" w:hanging="720"/>
        <w:rPr>
          <w:rFonts w:ascii="Arial" w:hAnsi="Arial" w:cs="Arial"/>
        </w:rPr>
      </w:pPr>
      <w:r>
        <w:rPr>
          <w:rFonts w:ascii="Arial" w:hAnsi="Arial" w:cs="Arial"/>
        </w:rPr>
        <w:t xml:space="preserve">van had </w:t>
      </w:r>
      <w:r w:rsidRPr="00CB79E4">
        <w:rPr>
          <w:rFonts w:ascii="Arial" w:hAnsi="Arial" w:cs="Arial"/>
        </w:rPr>
        <w:t>been bought for £10,000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468AD5BF"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company went into liquidation, Paul Watson received an irate phone call from one of the company’s key suppliers, Gary’s Grapes Limited. The supplier demanded immediate payment of all sums owing to it (even those invoices </w:t>
      </w:r>
      <w:r w:rsidR="008B72B8">
        <w:rPr>
          <w:rFonts w:ascii="Arial" w:hAnsi="Arial" w:cs="Arial"/>
        </w:rPr>
        <w:t xml:space="preserve">that </w:t>
      </w:r>
      <w:r w:rsidRPr="00CB79E4">
        <w:rPr>
          <w:rFonts w:ascii="Arial" w:hAnsi="Arial" w:cs="Arial"/>
        </w:rPr>
        <w:t>had not become payable). Fearing being cut off by the supplier, Paul arranged for a cheque for the full amount to be sent that day.</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77777777"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 xml:space="preserve">The floating charge in favour of Stercus Bank </w:t>
      </w:r>
      <w:proofErr w:type="gramStart"/>
      <w:r w:rsidRPr="007E2919">
        <w:rPr>
          <w:rFonts w:ascii="Arial" w:hAnsi="Arial" w:cs="Arial"/>
          <w:sz w:val="24"/>
        </w:rPr>
        <w:t>plc;</w:t>
      </w:r>
      <w:proofErr w:type="gramEnd"/>
    </w:p>
    <w:p w14:paraId="451B70BA" w14:textId="61081683" w:rsidR="007E2919" w:rsidRDefault="007E2919" w:rsidP="007E2919">
      <w:pPr>
        <w:rPr>
          <w:rFonts w:ascii="Arial" w:hAnsi="Arial" w:cs="Arial"/>
          <w:b/>
          <w:sz w:val="24"/>
        </w:rPr>
      </w:pPr>
    </w:p>
    <w:p w14:paraId="6462CBF3" w14:textId="0D0BF890" w:rsidR="007E2919" w:rsidRDefault="00CE34BB" w:rsidP="007E291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After </w:t>
      </w:r>
      <w:r w:rsidR="001C2889">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preferen</w:t>
      </w:r>
      <w:r w:rsidR="001C2889">
        <w:rPr>
          <w:rFonts w:ascii="Arial" w:hAnsi="Arial" w:cs="Arial"/>
          <w:color w:val="7B7B7B" w:themeColor="accent3" w:themeShade="BF"/>
          <w:sz w:val="22"/>
          <w:szCs w:val="22"/>
          <w:lang w:val="en-GB"/>
        </w:rPr>
        <w:t xml:space="preserve">tial creditors have been paid, the next creditor(s) to be paid are the holders of any floating charge. Firstly however, the </w:t>
      </w:r>
      <w:r w:rsidR="00764EBF">
        <w:rPr>
          <w:rFonts w:ascii="Arial" w:hAnsi="Arial" w:cs="Arial"/>
          <w:color w:val="7B7B7B" w:themeColor="accent3" w:themeShade="BF"/>
          <w:sz w:val="22"/>
          <w:szCs w:val="22"/>
          <w:lang w:val="en-GB"/>
        </w:rPr>
        <w:t>liquidator</w:t>
      </w:r>
      <w:r w:rsidR="001C2889">
        <w:rPr>
          <w:rFonts w:ascii="Arial" w:hAnsi="Arial" w:cs="Arial"/>
          <w:color w:val="7B7B7B" w:themeColor="accent3" w:themeShade="BF"/>
          <w:sz w:val="22"/>
          <w:szCs w:val="22"/>
          <w:lang w:val="en-GB"/>
        </w:rPr>
        <w:t xml:space="preserve"> will need to have ensured that they have </w:t>
      </w:r>
      <w:r w:rsidR="00764EBF">
        <w:rPr>
          <w:rFonts w:ascii="Arial" w:hAnsi="Arial" w:cs="Arial"/>
          <w:color w:val="7B7B7B" w:themeColor="accent3" w:themeShade="BF"/>
          <w:sz w:val="22"/>
          <w:szCs w:val="22"/>
          <w:lang w:val="en-GB"/>
        </w:rPr>
        <w:t>complied</w:t>
      </w:r>
      <w:r w:rsidR="001C2889">
        <w:rPr>
          <w:rFonts w:ascii="Arial" w:hAnsi="Arial" w:cs="Arial"/>
          <w:color w:val="7B7B7B" w:themeColor="accent3" w:themeShade="BF"/>
          <w:sz w:val="22"/>
          <w:szCs w:val="22"/>
          <w:lang w:val="en-GB"/>
        </w:rPr>
        <w:t xml:space="preserve"> </w:t>
      </w:r>
      <w:r w:rsidR="00764EBF">
        <w:rPr>
          <w:rFonts w:ascii="Arial" w:hAnsi="Arial" w:cs="Arial"/>
          <w:color w:val="7B7B7B" w:themeColor="accent3" w:themeShade="BF"/>
          <w:sz w:val="22"/>
          <w:szCs w:val="22"/>
          <w:lang w:val="en-GB"/>
        </w:rPr>
        <w:t>with section 176A of the Insolvency Act</w:t>
      </w:r>
      <w:r w:rsidR="00EE052A">
        <w:rPr>
          <w:rFonts w:ascii="Arial" w:hAnsi="Arial" w:cs="Arial"/>
          <w:color w:val="7B7B7B" w:themeColor="accent3" w:themeShade="BF"/>
          <w:sz w:val="22"/>
          <w:szCs w:val="22"/>
          <w:lang w:val="en-GB"/>
        </w:rPr>
        <w:t xml:space="preserve">, which is a duty that the liquidator must comply with </w:t>
      </w:r>
      <w:r w:rsidR="00764EBF">
        <w:rPr>
          <w:rFonts w:ascii="Arial" w:hAnsi="Arial" w:cs="Arial"/>
          <w:color w:val="7B7B7B" w:themeColor="accent3" w:themeShade="BF"/>
          <w:sz w:val="22"/>
          <w:szCs w:val="22"/>
          <w:lang w:val="en-GB"/>
        </w:rPr>
        <w:t>and have set aside sufficient money/assets to pay the unsecured debts</w:t>
      </w:r>
      <w:r w:rsidR="00EE052A">
        <w:rPr>
          <w:rFonts w:ascii="Arial" w:hAnsi="Arial" w:cs="Arial"/>
          <w:color w:val="7B7B7B" w:themeColor="accent3" w:themeShade="BF"/>
          <w:sz w:val="22"/>
          <w:szCs w:val="22"/>
          <w:lang w:val="en-GB"/>
        </w:rPr>
        <w:t>, out of what is called the net property</w:t>
      </w:r>
      <w:r w:rsidR="00764EBF">
        <w:rPr>
          <w:rFonts w:ascii="Arial" w:hAnsi="Arial" w:cs="Arial"/>
          <w:color w:val="7B7B7B" w:themeColor="accent3" w:themeShade="BF"/>
          <w:sz w:val="22"/>
          <w:szCs w:val="22"/>
          <w:lang w:val="en-GB"/>
        </w:rPr>
        <w:t>.</w:t>
      </w:r>
      <w:r w:rsidR="005A6188">
        <w:rPr>
          <w:rStyle w:val="FootnoteReference"/>
          <w:rFonts w:ascii="Arial" w:hAnsi="Arial" w:cs="Arial"/>
          <w:color w:val="7B7B7B" w:themeColor="accent3" w:themeShade="BF"/>
          <w:sz w:val="22"/>
          <w:szCs w:val="22"/>
          <w:lang w:val="en-GB"/>
        </w:rPr>
        <w:footnoteReference w:id="5"/>
      </w:r>
      <w:r w:rsidR="00764EBF">
        <w:rPr>
          <w:rFonts w:ascii="Arial" w:hAnsi="Arial" w:cs="Arial"/>
          <w:color w:val="7B7B7B" w:themeColor="accent3" w:themeShade="BF"/>
          <w:sz w:val="22"/>
          <w:szCs w:val="22"/>
          <w:lang w:val="en-GB"/>
        </w:rPr>
        <w:t xml:space="preserve">  </w:t>
      </w:r>
      <w:r w:rsidR="00EE052A">
        <w:rPr>
          <w:rFonts w:ascii="Arial" w:hAnsi="Arial" w:cs="Arial"/>
          <w:color w:val="7B7B7B" w:themeColor="accent3" w:themeShade="BF"/>
          <w:sz w:val="22"/>
          <w:szCs w:val="22"/>
          <w:lang w:val="en-GB"/>
        </w:rPr>
        <w:t xml:space="preserve">For the purposes of s 176A of the Act, the net property then provides a certain amount of money that would otherwise be available for the satisfaction of debts and is calculated after the costs of liquidation and any other preferential debts. Given that the assets have not been disclosed, it is hard to know the exact amount covered by the floating charge. </w:t>
      </w:r>
    </w:p>
    <w:p w14:paraId="1F4B68EF" w14:textId="0EDB8944" w:rsidR="00EE052A" w:rsidRDefault="00EE052A" w:rsidP="007E2919">
      <w:pPr>
        <w:autoSpaceDE w:val="0"/>
        <w:autoSpaceDN w:val="0"/>
        <w:adjustRightInd w:val="0"/>
        <w:jc w:val="both"/>
        <w:rPr>
          <w:rFonts w:ascii="Arial" w:hAnsi="Arial" w:cs="Arial"/>
          <w:color w:val="7B7B7B" w:themeColor="accent3" w:themeShade="BF"/>
          <w:sz w:val="22"/>
          <w:szCs w:val="22"/>
          <w:lang w:val="en-GB"/>
        </w:rPr>
      </w:pPr>
    </w:p>
    <w:p w14:paraId="6F88169B" w14:textId="3A7441DD" w:rsidR="007E02CA" w:rsidRDefault="007E02CA" w:rsidP="007E02C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Given that the charge was granted to an entity not connected with the company, the relevant period for determination is 12 months prior to the liquidation.</w:t>
      </w:r>
      <w:r>
        <w:rPr>
          <w:rStyle w:val="FootnoteReference"/>
          <w:rFonts w:ascii="Arial" w:hAnsi="Arial" w:cs="Arial"/>
          <w:color w:val="7B7B7B" w:themeColor="accent3" w:themeShade="BF"/>
          <w:sz w:val="22"/>
          <w:szCs w:val="22"/>
          <w:lang w:val="en-GB"/>
        </w:rPr>
        <w:footnoteReference w:id="6"/>
      </w:r>
      <w:r>
        <w:rPr>
          <w:rFonts w:ascii="Arial" w:hAnsi="Arial" w:cs="Arial"/>
          <w:color w:val="7B7B7B" w:themeColor="accent3" w:themeShade="BF"/>
          <w:sz w:val="22"/>
          <w:szCs w:val="22"/>
          <w:lang w:val="en-GB"/>
        </w:rPr>
        <w:t xml:space="preserve"> Further, it must be proven that </w:t>
      </w:r>
      <w:proofErr w:type="gramStart"/>
      <w:r>
        <w:rPr>
          <w:rFonts w:ascii="Arial" w:hAnsi="Arial" w:cs="Arial"/>
          <w:color w:val="7B7B7B" w:themeColor="accent3" w:themeShade="BF"/>
          <w:sz w:val="22"/>
          <w:szCs w:val="22"/>
          <w:lang w:val="en-GB"/>
        </w:rPr>
        <w:t>as a result of</w:t>
      </w:r>
      <w:proofErr w:type="gramEnd"/>
      <w:r>
        <w:rPr>
          <w:rFonts w:ascii="Arial" w:hAnsi="Arial" w:cs="Arial"/>
          <w:color w:val="7B7B7B" w:themeColor="accent3" w:themeShade="BF"/>
          <w:sz w:val="22"/>
          <w:szCs w:val="22"/>
          <w:lang w:val="en-GB"/>
        </w:rPr>
        <w:t xml:space="preserve"> the granting the floating charge the company became unable to pay debts, or that as at the time that the charge was granted, the company was unable to pay the debts then the floating charge is valid.</w:t>
      </w:r>
      <w:r>
        <w:rPr>
          <w:rStyle w:val="FootnoteReference"/>
          <w:rFonts w:ascii="Arial" w:hAnsi="Arial" w:cs="Arial"/>
          <w:color w:val="7B7B7B" w:themeColor="accent3" w:themeShade="BF"/>
          <w:sz w:val="22"/>
          <w:szCs w:val="22"/>
          <w:lang w:val="en-GB"/>
        </w:rPr>
        <w:footnoteReference w:id="7"/>
      </w:r>
      <w:r>
        <w:rPr>
          <w:rFonts w:ascii="Arial" w:hAnsi="Arial" w:cs="Arial"/>
          <w:color w:val="7B7B7B" w:themeColor="accent3" w:themeShade="BF"/>
          <w:sz w:val="22"/>
          <w:szCs w:val="22"/>
          <w:lang w:val="en-GB"/>
        </w:rPr>
        <w:t xml:space="preserve">  </w:t>
      </w:r>
    </w:p>
    <w:p w14:paraId="190F7F53" w14:textId="029443EF" w:rsidR="007E02CA" w:rsidRDefault="007E02CA" w:rsidP="007E02CA">
      <w:pPr>
        <w:autoSpaceDE w:val="0"/>
        <w:autoSpaceDN w:val="0"/>
        <w:adjustRightInd w:val="0"/>
        <w:jc w:val="both"/>
        <w:rPr>
          <w:rFonts w:ascii="Arial" w:hAnsi="Arial" w:cs="Arial"/>
          <w:color w:val="7B7B7B" w:themeColor="accent3" w:themeShade="BF"/>
          <w:sz w:val="22"/>
          <w:szCs w:val="22"/>
          <w:lang w:val="en-GB"/>
        </w:rPr>
      </w:pPr>
    </w:p>
    <w:p w14:paraId="26D3EAB5" w14:textId="1F953B07" w:rsidR="007E02CA" w:rsidRDefault="007E02CA" w:rsidP="007E02C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the floating charge would in fact remain valid if it could be proven that the company was unable to pay its debts as and when they fell due or became unable to do so </w:t>
      </w:r>
      <w:proofErr w:type="gramStart"/>
      <w:r>
        <w:rPr>
          <w:rFonts w:ascii="Arial" w:hAnsi="Arial" w:cs="Arial"/>
          <w:color w:val="7B7B7B" w:themeColor="accent3" w:themeShade="BF"/>
          <w:sz w:val="22"/>
          <w:szCs w:val="22"/>
          <w:lang w:val="en-GB"/>
        </w:rPr>
        <w:t>as a result of</w:t>
      </w:r>
      <w:proofErr w:type="gramEnd"/>
      <w:r>
        <w:rPr>
          <w:rFonts w:ascii="Arial" w:hAnsi="Arial" w:cs="Arial"/>
          <w:color w:val="7B7B7B" w:themeColor="accent3" w:themeShade="BF"/>
          <w:sz w:val="22"/>
          <w:szCs w:val="22"/>
          <w:lang w:val="en-GB"/>
        </w:rPr>
        <w:t xml:space="preserve"> the floating charge.  It is possible that the floating charge did not have this </w:t>
      </w:r>
      <w:proofErr w:type="gramStart"/>
      <w:r>
        <w:rPr>
          <w:rFonts w:ascii="Arial" w:hAnsi="Arial" w:cs="Arial"/>
          <w:color w:val="7B7B7B" w:themeColor="accent3" w:themeShade="BF"/>
          <w:sz w:val="22"/>
          <w:szCs w:val="22"/>
          <w:lang w:val="en-GB"/>
        </w:rPr>
        <w:t>effect, but</w:t>
      </w:r>
      <w:proofErr w:type="gramEnd"/>
      <w:r>
        <w:rPr>
          <w:rFonts w:ascii="Arial" w:hAnsi="Arial" w:cs="Arial"/>
          <w:color w:val="7B7B7B" w:themeColor="accent3" w:themeShade="BF"/>
          <w:sz w:val="22"/>
          <w:szCs w:val="22"/>
          <w:lang w:val="en-GB"/>
        </w:rPr>
        <w:t xml:space="preserve"> given that the company was in financial trouble it is likely that this was the case. </w:t>
      </w:r>
    </w:p>
    <w:p w14:paraId="3B0643ED" w14:textId="7A68A067" w:rsidR="007E02CA" w:rsidRDefault="007E02CA" w:rsidP="007E02CA">
      <w:pPr>
        <w:autoSpaceDE w:val="0"/>
        <w:autoSpaceDN w:val="0"/>
        <w:adjustRightInd w:val="0"/>
        <w:jc w:val="both"/>
        <w:rPr>
          <w:rFonts w:ascii="Arial" w:hAnsi="Arial" w:cs="Arial"/>
          <w:color w:val="7B7B7B" w:themeColor="accent3" w:themeShade="BF"/>
          <w:sz w:val="22"/>
          <w:szCs w:val="22"/>
          <w:lang w:val="en-GB"/>
        </w:rPr>
      </w:pPr>
    </w:p>
    <w:p w14:paraId="1ADE904C" w14:textId="3F35B84F" w:rsidR="007E02CA" w:rsidRPr="007E02CA" w:rsidRDefault="007E02CA" w:rsidP="007E02CA">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However, in the event that the floating charge is able to be avoided by the liquidator, it is important to note that the debt itself that gave rise to the floating charge remains valid.  </w:t>
      </w:r>
    </w:p>
    <w:p w14:paraId="635AABF4" w14:textId="77777777" w:rsidR="00B04033" w:rsidRDefault="00B04033" w:rsidP="007E2919">
      <w:pPr>
        <w:rPr>
          <w:rFonts w:ascii="Arial" w:hAnsi="Arial" w:cs="Arial"/>
          <w:b/>
          <w:sz w:val="24"/>
        </w:rPr>
      </w:pPr>
    </w:p>
    <w:p w14:paraId="0E549215" w14:textId="06C5FE8F" w:rsidR="007E2919" w:rsidRDefault="007E2919" w:rsidP="007E2919">
      <w:pPr>
        <w:rPr>
          <w:rFonts w:ascii="Arial" w:hAnsi="Arial" w:cs="Arial"/>
          <w:b/>
          <w:sz w:val="24"/>
        </w:rPr>
      </w:pPr>
      <w:r>
        <w:rPr>
          <w:rFonts w:ascii="Arial" w:hAnsi="Arial" w:cs="Arial"/>
          <w:b/>
          <w:sz w:val="24"/>
        </w:rPr>
        <w:t>Question 4.2 [maximum 5 marks]</w:t>
      </w:r>
    </w:p>
    <w:p w14:paraId="7916647F" w14:textId="470BBF53" w:rsidR="007E2919" w:rsidRDefault="007E2919" w:rsidP="007E2919">
      <w:pPr>
        <w:rPr>
          <w:rFonts w:ascii="Arial" w:hAnsi="Arial" w:cs="Arial"/>
          <w:b/>
          <w:sz w:val="24"/>
        </w:rPr>
      </w:pPr>
    </w:p>
    <w:p w14:paraId="28B7B160" w14:textId="44F15157" w:rsidR="007E2919" w:rsidRPr="007E2919" w:rsidRDefault="007E2919" w:rsidP="007E2919">
      <w:pPr>
        <w:rPr>
          <w:rFonts w:ascii="Arial" w:hAnsi="Arial" w:cs="Arial"/>
          <w:sz w:val="24"/>
        </w:rPr>
      </w:pPr>
      <w:r w:rsidRPr="007E2919">
        <w:rPr>
          <w:rFonts w:ascii="Arial" w:hAnsi="Arial" w:cs="Arial"/>
          <w:sz w:val="24"/>
        </w:rPr>
        <w:t>The sale of the van; and</w:t>
      </w:r>
    </w:p>
    <w:p w14:paraId="78CA5A7B" w14:textId="7BC31BB4" w:rsidR="007E2919" w:rsidRDefault="007E2919" w:rsidP="007E2919">
      <w:pPr>
        <w:rPr>
          <w:rFonts w:ascii="Arial" w:hAnsi="Arial" w:cs="Arial"/>
          <w:b/>
          <w:sz w:val="24"/>
        </w:rPr>
      </w:pPr>
    </w:p>
    <w:p w14:paraId="041D4FDF" w14:textId="6CE8C2B9" w:rsidR="007E2919" w:rsidRDefault="0010095B" w:rsidP="007E291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Ostensibly, the sale of the van could be construed as a transaction at undervalue, which can be set aside by the liquidator</w:t>
      </w:r>
      <w:r w:rsidR="008A1FC2">
        <w:rPr>
          <w:rFonts w:ascii="Arial" w:hAnsi="Arial" w:cs="Arial"/>
          <w:color w:val="7B7B7B" w:themeColor="accent3" w:themeShade="BF"/>
          <w:sz w:val="22"/>
          <w:szCs w:val="22"/>
          <w:lang w:val="en-GB"/>
        </w:rPr>
        <w:t xml:space="preserve">. Pursuant to section 238(2), the liquidator </w:t>
      </w:r>
      <w:proofErr w:type="gramStart"/>
      <w:r w:rsidR="008A1FC2">
        <w:rPr>
          <w:rFonts w:ascii="Arial" w:hAnsi="Arial" w:cs="Arial"/>
          <w:color w:val="7B7B7B" w:themeColor="accent3" w:themeShade="BF"/>
          <w:sz w:val="22"/>
          <w:szCs w:val="22"/>
          <w:lang w:val="en-GB"/>
        </w:rPr>
        <w:t>is able to</w:t>
      </w:r>
      <w:proofErr w:type="gramEnd"/>
      <w:r w:rsidR="008A1FC2">
        <w:rPr>
          <w:rFonts w:ascii="Arial" w:hAnsi="Arial" w:cs="Arial"/>
          <w:color w:val="7B7B7B" w:themeColor="accent3" w:themeShade="BF"/>
          <w:sz w:val="22"/>
          <w:szCs w:val="22"/>
          <w:lang w:val="en-GB"/>
        </w:rPr>
        <w:t xml:space="preserve"> apply to the Court for an order, if at a relevant time, being 2 years prior to the commencement of the liquidation;</w:t>
      </w:r>
      <w:r w:rsidR="008A1FC2">
        <w:rPr>
          <w:rStyle w:val="FootnoteReference"/>
          <w:rFonts w:ascii="Arial" w:hAnsi="Arial" w:cs="Arial"/>
          <w:color w:val="7B7B7B" w:themeColor="accent3" w:themeShade="BF"/>
          <w:sz w:val="22"/>
          <w:szCs w:val="22"/>
          <w:lang w:val="en-GB"/>
        </w:rPr>
        <w:footnoteReference w:id="8"/>
      </w:r>
      <w:r w:rsidR="008A1FC2">
        <w:rPr>
          <w:rFonts w:ascii="Arial" w:hAnsi="Arial" w:cs="Arial"/>
          <w:color w:val="7B7B7B" w:themeColor="accent3" w:themeShade="BF"/>
          <w:sz w:val="22"/>
          <w:szCs w:val="22"/>
          <w:lang w:val="en-GB"/>
        </w:rPr>
        <w:t xml:space="preserve"> the company entered into a transaction with any person at undervalue.  </w:t>
      </w:r>
      <w:r w:rsidR="00F9156D">
        <w:rPr>
          <w:rFonts w:ascii="Arial" w:hAnsi="Arial" w:cs="Arial"/>
          <w:color w:val="7B7B7B" w:themeColor="accent3" w:themeShade="BF"/>
          <w:sz w:val="22"/>
          <w:szCs w:val="22"/>
          <w:lang w:val="en-GB"/>
        </w:rPr>
        <w:t>The intent of any order from the court with respect to an undervalue transaction is to seek to place the company back in the position it would have been in, if not for that transaction.</w:t>
      </w:r>
      <w:r w:rsidR="00F9156D">
        <w:rPr>
          <w:rStyle w:val="FootnoteReference"/>
          <w:rFonts w:ascii="Arial" w:hAnsi="Arial" w:cs="Arial"/>
          <w:color w:val="7B7B7B" w:themeColor="accent3" w:themeShade="BF"/>
          <w:sz w:val="22"/>
          <w:szCs w:val="22"/>
          <w:lang w:val="en-GB"/>
        </w:rPr>
        <w:footnoteReference w:id="9"/>
      </w:r>
      <w:r w:rsidR="00F9156D">
        <w:rPr>
          <w:rFonts w:ascii="Arial" w:hAnsi="Arial" w:cs="Arial"/>
          <w:color w:val="7B7B7B" w:themeColor="accent3" w:themeShade="BF"/>
          <w:sz w:val="22"/>
          <w:szCs w:val="22"/>
          <w:lang w:val="en-GB"/>
        </w:rPr>
        <w:t xml:space="preserve">  </w:t>
      </w:r>
    </w:p>
    <w:p w14:paraId="7AF43839" w14:textId="0B7BEB2A" w:rsidR="008A1FC2" w:rsidRDefault="008A1FC2" w:rsidP="007E2919">
      <w:pPr>
        <w:autoSpaceDE w:val="0"/>
        <w:autoSpaceDN w:val="0"/>
        <w:adjustRightInd w:val="0"/>
        <w:jc w:val="both"/>
        <w:rPr>
          <w:rFonts w:ascii="Arial" w:hAnsi="Arial" w:cs="Arial"/>
          <w:color w:val="7B7B7B" w:themeColor="accent3" w:themeShade="BF"/>
          <w:sz w:val="22"/>
          <w:szCs w:val="22"/>
          <w:lang w:val="en-GB"/>
        </w:rPr>
      </w:pPr>
    </w:p>
    <w:p w14:paraId="2BF96CF2" w14:textId="59B00AB6" w:rsidR="008A1FC2" w:rsidRDefault="008A1FC2" w:rsidP="007E291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demonstrate that the transaction has been completed at an undervalue, the liquidator must be able to demonstrate that the company either has made the a gift to that person, or has entered into the transaction with that person which results in the Company receiving no consideration;</w:t>
      </w:r>
      <w:r>
        <w:rPr>
          <w:rStyle w:val="FootnoteReference"/>
          <w:rFonts w:ascii="Arial" w:hAnsi="Arial" w:cs="Arial"/>
          <w:color w:val="7B7B7B" w:themeColor="accent3" w:themeShade="BF"/>
          <w:sz w:val="22"/>
          <w:szCs w:val="22"/>
          <w:lang w:val="en-GB"/>
        </w:rPr>
        <w:footnoteReference w:id="10"/>
      </w:r>
      <w:r>
        <w:rPr>
          <w:rFonts w:ascii="Arial" w:hAnsi="Arial" w:cs="Arial"/>
          <w:color w:val="7B7B7B" w:themeColor="accent3" w:themeShade="BF"/>
          <w:sz w:val="22"/>
          <w:szCs w:val="22"/>
          <w:lang w:val="en-GB"/>
        </w:rPr>
        <w:t xml:space="preserve"> or the company enters into that transaction with that person and the consideration received by the Company is</w:t>
      </w:r>
      <w:r w:rsidR="00F9156D">
        <w:rPr>
          <w:rFonts w:ascii="Arial" w:hAnsi="Arial" w:cs="Arial"/>
          <w:color w:val="7B7B7B" w:themeColor="accent3" w:themeShade="BF"/>
          <w:sz w:val="22"/>
          <w:szCs w:val="22"/>
          <w:lang w:val="en-GB"/>
        </w:rPr>
        <w:t>, at the time of the transaction, significantly less than that the value that should have been provided for that transaction.</w:t>
      </w:r>
      <w:r w:rsidR="00F9156D">
        <w:rPr>
          <w:rStyle w:val="FootnoteReference"/>
          <w:rFonts w:ascii="Arial" w:hAnsi="Arial" w:cs="Arial"/>
          <w:color w:val="7B7B7B" w:themeColor="accent3" w:themeShade="BF"/>
          <w:sz w:val="22"/>
          <w:szCs w:val="22"/>
          <w:lang w:val="en-GB"/>
        </w:rPr>
        <w:footnoteReference w:id="11"/>
      </w:r>
      <w:r w:rsidR="00F9156D">
        <w:rPr>
          <w:rFonts w:ascii="Arial" w:hAnsi="Arial" w:cs="Arial"/>
          <w:color w:val="7B7B7B" w:themeColor="accent3" w:themeShade="BF"/>
          <w:sz w:val="22"/>
          <w:szCs w:val="22"/>
          <w:lang w:val="en-GB"/>
        </w:rPr>
        <w:t xml:space="preserve">  A defence to any such transaction however is that the company could have entered into the transaction in good faith and for the purpose of carrying on the business of the company,</w:t>
      </w:r>
      <w:r w:rsidR="00F9156D">
        <w:rPr>
          <w:rStyle w:val="FootnoteReference"/>
          <w:rFonts w:ascii="Arial" w:hAnsi="Arial" w:cs="Arial"/>
          <w:color w:val="7B7B7B" w:themeColor="accent3" w:themeShade="BF"/>
          <w:sz w:val="22"/>
          <w:szCs w:val="22"/>
          <w:lang w:val="en-GB"/>
        </w:rPr>
        <w:footnoteReference w:id="12"/>
      </w:r>
      <w:r w:rsidR="00F9156D">
        <w:rPr>
          <w:rFonts w:ascii="Arial" w:hAnsi="Arial" w:cs="Arial"/>
          <w:color w:val="7B7B7B" w:themeColor="accent3" w:themeShade="BF"/>
          <w:sz w:val="22"/>
          <w:szCs w:val="22"/>
          <w:lang w:val="en-GB"/>
        </w:rPr>
        <w:t xml:space="preserve"> and that there were reasonable grounds at the time of the transaction for believing that the transaction would actually benefit the company.</w:t>
      </w:r>
      <w:r w:rsidR="00F9156D">
        <w:rPr>
          <w:rStyle w:val="FootnoteReference"/>
          <w:rFonts w:ascii="Arial" w:hAnsi="Arial" w:cs="Arial"/>
          <w:color w:val="7B7B7B" w:themeColor="accent3" w:themeShade="BF"/>
          <w:sz w:val="22"/>
          <w:szCs w:val="22"/>
          <w:lang w:val="en-GB"/>
        </w:rPr>
        <w:footnoteReference w:id="13"/>
      </w:r>
      <w:r w:rsidR="00F9156D">
        <w:rPr>
          <w:rFonts w:ascii="Arial" w:hAnsi="Arial" w:cs="Arial"/>
          <w:color w:val="7B7B7B" w:themeColor="accent3" w:themeShade="BF"/>
          <w:sz w:val="22"/>
          <w:szCs w:val="22"/>
          <w:lang w:val="en-GB"/>
        </w:rPr>
        <w:t xml:space="preserve">  </w:t>
      </w:r>
    </w:p>
    <w:p w14:paraId="2EE9EFA1" w14:textId="5F9ACF46" w:rsidR="00F9156D" w:rsidRDefault="00F9156D" w:rsidP="007E2919">
      <w:pPr>
        <w:autoSpaceDE w:val="0"/>
        <w:autoSpaceDN w:val="0"/>
        <w:adjustRightInd w:val="0"/>
        <w:jc w:val="both"/>
        <w:rPr>
          <w:rFonts w:ascii="Arial" w:hAnsi="Arial" w:cs="Arial"/>
          <w:color w:val="7B7B7B" w:themeColor="accent3" w:themeShade="BF"/>
          <w:sz w:val="22"/>
          <w:szCs w:val="22"/>
          <w:lang w:val="en-GB"/>
        </w:rPr>
      </w:pPr>
    </w:p>
    <w:p w14:paraId="510E9DD3" w14:textId="3EBB676C" w:rsidR="00F9156D" w:rsidRPr="002A37BB" w:rsidRDefault="002B0AEF" w:rsidP="007E2919">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Firstly, the liquidator would be able to demonstrate that the transaction was within the relevant time, as it was only 6 months prior to the liquidation commencing.  To then satisfy the court</w:t>
      </w:r>
      <w:r w:rsidR="00906D9E">
        <w:rPr>
          <w:rFonts w:ascii="Arial" w:hAnsi="Arial" w:cs="Arial"/>
          <w:color w:val="7B7B7B" w:themeColor="accent3" w:themeShade="BF"/>
          <w:sz w:val="22"/>
          <w:szCs w:val="22"/>
          <w:lang w:val="en-GB"/>
        </w:rPr>
        <w:t>, t</w:t>
      </w:r>
      <w:r>
        <w:rPr>
          <w:rFonts w:ascii="Arial" w:hAnsi="Arial" w:cs="Arial"/>
          <w:color w:val="7B7B7B" w:themeColor="accent3" w:themeShade="BF"/>
          <w:sz w:val="22"/>
          <w:szCs w:val="22"/>
          <w:lang w:val="en-GB"/>
        </w:rPr>
        <w:t xml:space="preserve">hat the transaction was at undervalue, and the company should be restored back to </w:t>
      </w:r>
      <w:proofErr w:type="spellStart"/>
      <w:proofErr w:type="gramStart"/>
      <w:r>
        <w:rPr>
          <w:rFonts w:ascii="Arial" w:hAnsi="Arial" w:cs="Arial"/>
          <w:color w:val="7B7B7B" w:themeColor="accent3" w:themeShade="BF"/>
          <w:sz w:val="22"/>
          <w:szCs w:val="22"/>
          <w:lang w:val="en-GB"/>
        </w:rPr>
        <w:t>it’s</w:t>
      </w:r>
      <w:proofErr w:type="spellEnd"/>
      <w:proofErr w:type="gramEnd"/>
      <w:r>
        <w:rPr>
          <w:rFonts w:ascii="Arial" w:hAnsi="Arial" w:cs="Arial"/>
          <w:color w:val="7B7B7B" w:themeColor="accent3" w:themeShade="BF"/>
          <w:sz w:val="22"/>
          <w:szCs w:val="22"/>
          <w:lang w:val="en-GB"/>
        </w:rPr>
        <w:t xml:space="preserve"> prior </w:t>
      </w:r>
      <w:r w:rsidR="00906D9E">
        <w:rPr>
          <w:rFonts w:ascii="Arial" w:hAnsi="Arial" w:cs="Arial"/>
          <w:color w:val="7B7B7B" w:themeColor="accent3" w:themeShade="BF"/>
          <w:sz w:val="22"/>
          <w:szCs w:val="22"/>
          <w:lang w:val="en-GB"/>
        </w:rPr>
        <w:t>position</w:t>
      </w:r>
      <w:r>
        <w:rPr>
          <w:rFonts w:ascii="Arial" w:hAnsi="Arial" w:cs="Arial"/>
          <w:color w:val="7B7B7B" w:themeColor="accent3" w:themeShade="BF"/>
          <w:sz w:val="22"/>
          <w:szCs w:val="22"/>
          <w:lang w:val="en-GB"/>
        </w:rPr>
        <w:t xml:space="preserve"> (but for that transaction), an analysis of the estimated value of the </w:t>
      </w:r>
      <w:r w:rsidR="00F9156D">
        <w:rPr>
          <w:rFonts w:ascii="Arial" w:hAnsi="Arial" w:cs="Arial"/>
          <w:color w:val="7B7B7B" w:themeColor="accent3" w:themeShade="BF"/>
          <w:sz w:val="22"/>
          <w:szCs w:val="22"/>
          <w:lang w:val="en-GB"/>
        </w:rPr>
        <w:t>van at the time that the company entered into the transaction</w:t>
      </w:r>
      <w:r>
        <w:rPr>
          <w:rFonts w:ascii="Arial" w:hAnsi="Arial" w:cs="Arial"/>
          <w:color w:val="7B7B7B" w:themeColor="accent3" w:themeShade="BF"/>
          <w:sz w:val="22"/>
          <w:szCs w:val="22"/>
          <w:lang w:val="en-GB"/>
        </w:rPr>
        <w:t xml:space="preserve"> would need to be completed.  O</w:t>
      </w:r>
      <w:r w:rsidR="00F9156D">
        <w:rPr>
          <w:rFonts w:ascii="Arial" w:hAnsi="Arial" w:cs="Arial"/>
          <w:color w:val="7B7B7B" w:themeColor="accent3" w:themeShade="BF"/>
          <w:sz w:val="22"/>
          <w:szCs w:val="22"/>
          <w:lang w:val="en-GB"/>
        </w:rPr>
        <w:t xml:space="preserve">n a general assumption, it is unlikely that the van would have depreciated by 50% in the year since the acquisition of the van. Further, any defence is unlikely to succeed as the director, who would have the control and authority to </w:t>
      </w:r>
      <w:proofErr w:type="gramStart"/>
      <w:r w:rsidR="00F9156D">
        <w:rPr>
          <w:rFonts w:ascii="Arial" w:hAnsi="Arial" w:cs="Arial"/>
          <w:color w:val="7B7B7B" w:themeColor="accent3" w:themeShade="BF"/>
          <w:sz w:val="22"/>
          <w:szCs w:val="22"/>
          <w:lang w:val="en-GB"/>
        </w:rPr>
        <w:t>enter into</w:t>
      </w:r>
      <w:proofErr w:type="gramEnd"/>
      <w:r w:rsidR="00F9156D">
        <w:rPr>
          <w:rFonts w:ascii="Arial" w:hAnsi="Arial" w:cs="Arial"/>
          <w:color w:val="7B7B7B" w:themeColor="accent3" w:themeShade="BF"/>
          <w:sz w:val="22"/>
          <w:szCs w:val="22"/>
          <w:lang w:val="en-GB"/>
        </w:rPr>
        <w:t xml:space="preserve"> the transaction </w:t>
      </w:r>
      <w:r>
        <w:rPr>
          <w:rFonts w:ascii="Arial" w:hAnsi="Arial" w:cs="Arial"/>
          <w:color w:val="7B7B7B" w:themeColor="accent3" w:themeShade="BF"/>
          <w:sz w:val="22"/>
          <w:szCs w:val="22"/>
          <w:lang w:val="en-GB"/>
        </w:rPr>
        <w:t xml:space="preserve">would be unable to satisfy the Court that the transaction was in good faith and for the purpose of carrying on its business or would benefit the company, given how severely undervalued this transaction appears to prima facie be.   </w:t>
      </w:r>
      <w:r w:rsidR="00906D9E">
        <w:rPr>
          <w:rFonts w:ascii="Arial" w:hAnsi="Arial" w:cs="Arial"/>
          <w:color w:val="7B7B7B" w:themeColor="accent3" w:themeShade="BF"/>
          <w:sz w:val="22"/>
          <w:szCs w:val="22"/>
          <w:lang w:val="en-GB"/>
        </w:rPr>
        <w:t xml:space="preserve">Further, it is likely that such a loss of an asset for undervalue consideration could have led to the Company being in the position of being unable to pay its debts.  </w:t>
      </w:r>
      <w:r>
        <w:rPr>
          <w:rFonts w:ascii="Arial" w:hAnsi="Arial" w:cs="Arial"/>
          <w:color w:val="7B7B7B" w:themeColor="accent3" w:themeShade="BF"/>
          <w:sz w:val="22"/>
          <w:szCs w:val="22"/>
          <w:lang w:val="en-GB"/>
        </w:rPr>
        <w:t xml:space="preserve">  </w:t>
      </w:r>
    </w:p>
    <w:p w14:paraId="070ABF9B" w14:textId="2883A4C1" w:rsidR="007E2919" w:rsidRDefault="007E2919" w:rsidP="007E2919">
      <w:pPr>
        <w:rPr>
          <w:rFonts w:ascii="Arial" w:hAnsi="Arial" w:cs="Arial"/>
          <w:b/>
          <w:sz w:val="24"/>
        </w:rPr>
      </w:pPr>
    </w:p>
    <w:p w14:paraId="5D545648" w14:textId="77777777" w:rsidR="00B04033" w:rsidRDefault="00B04033" w:rsidP="007E2919">
      <w:pPr>
        <w:rPr>
          <w:rFonts w:ascii="Arial" w:hAnsi="Arial" w:cs="Arial"/>
          <w:b/>
          <w:sz w:val="24"/>
        </w:rPr>
      </w:pPr>
    </w:p>
    <w:p w14:paraId="642039AC" w14:textId="04F15298" w:rsidR="007E2919" w:rsidRDefault="007E2919" w:rsidP="007E2919">
      <w:pPr>
        <w:rPr>
          <w:rFonts w:ascii="Arial" w:hAnsi="Arial" w:cs="Arial"/>
          <w:b/>
          <w:sz w:val="24"/>
        </w:rPr>
      </w:pPr>
      <w:r>
        <w:rPr>
          <w:rFonts w:ascii="Arial" w:hAnsi="Arial" w:cs="Arial"/>
          <w:b/>
          <w:sz w:val="24"/>
        </w:rPr>
        <w:t>Question 4.3 [maximum 5 marks]</w:t>
      </w:r>
    </w:p>
    <w:p w14:paraId="38FA4FC9" w14:textId="6BBF8182" w:rsidR="007E2919" w:rsidRDefault="007E2919" w:rsidP="007E2919">
      <w:pPr>
        <w:rPr>
          <w:rFonts w:ascii="Arial" w:hAnsi="Arial" w:cs="Arial"/>
          <w:b/>
          <w:sz w:val="24"/>
        </w:rPr>
      </w:pPr>
    </w:p>
    <w:p w14:paraId="2CD8591B" w14:textId="66E6B918" w:rsidR="007E2919" w:rsidRPr="007E2919" w:rsidRDefault="007E2919" w:rsidP="007E2919">
      <w:pPr>
        <w:rPr>
          <w:rFonts w:ascii="Arial" w:hAnsi="Arial" w:cs="Arial"/>
          <w:sz w:val="24"/>
        </w:rPr>
      </w:pPr>
      <w:r w:rsidRPr="007E2919">
        <w:rPr>
          <w:rFonts w:ascii="Arial" w:hAnsi="Arial" w:cs="Arial"/>
          <w:sz w:val="24"/>
        </w:rPr>
        <w:t>The payment to Gary’s Grapes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1B5E2F08" w14:textId="53BE2DEE" w:rsidR="002D3473" w:rsidRDefault="002B0AEF" w:rsidP="00F24B05">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payment to Gary’s Grapes could be considered as a preference </w:t>
      </w:r>
      <w:r w:rsidR="00F24B05">
        <w:rPr>
          <w:rFonts w:ascii="Arial" w:hAnsi="Arial" w:cs="Arial"/>
          <w:color w:val="7B7B7B" w:themeColor="accent3" w:themeShade="BF"/>
          <w:sz w:val="22"/>
          <w:szCs w:val="22"/>
          <w:lang w:val="en-GB"/>
        </w:rPr>
        <w:t xml:space="preserve">or preferential payment.  The purpose of the operation of these provisions is to </w:t>
      </w:r>
      <w:r w:rsidR="00EF7E73">
        <w:rPr>
          <w:rFonts w:ascii="Arial" w:hAnsi="Arial" w:cs="Arial"/>
          <w:color w:val="7B7B7B" w:themeColor="accent3" w:themeShade="BF"/>
          <w:sz w:val="22"/>
          <w:szCs w:val="22"/>
          <w:lang w:val="en-GB"/>
        </w:rPr>
        <w:t xml:space="preserve">prevent </w:t>
      </w:r>
      <w:r w:rsidR="00F24B05">
        <w:rPr>
          <w:rFonts w:ascii="Arial" w:hAnsi="Arial" w:cs="Arial"/>
          <w:color w:val="7B7B7B" w:themeColor="accent3" w:themeShade="BF"/>
          <w:sz w:val="22"/>
          <w:szCs w:val="22"/>
          <w:lang w:val="en-GB"/>
        </w:rPr>
        <w:t>a company that is about to enter into liquidation (or formal insolvency procedure) from making payments to a creditor to place that creditor in a better position than it would have been under any insolvency procedure, and better than other creditors.</w:t>
      </w:r>
      <w:r w:rsidR="00F24B05">
        <w:rPr>
          <w:rStyle w:val="FootnoteReference"/>
          <w:rFonts w:ascii="Arial" w:hAnsi="Arial" w:cs="Arial"/>
          <w:color w:val="7B7B7B" w:themeColor="accent3" w:themeShade="BF"/>
          <w:sz w:val="22"/>
          <w:szCs w:val="22"/>
          <w:lang w:val="en-GB"/>
        </w:rPr>
        <w:footnoteReference w:id="14"/>
      </w:r>
      <w:r w:rsidR="00F24B05">
        <w:rPr>
          <w:rFonts w:ascii="Arial" w:hAnsi="Arial" w:cs="Arial"/>
          <w:color w:val="7B7B7B" w:themeColor="accent3" w:themeShade="BF"/>
          <w:sz w:val="22"/>
          <w:szCs w:val="22"/>
          <w:lang w:val="en-GB"/>
        </w:rPr>
        <w:t xml:space="preserve">  </w:t>
      </w:r>
      <w:r w:rsidR="00EF7E73">
        <w:rPr>
          <w:rFonts w:ascii="Arial" w:hAnsi="Arial" w:cs="Arial"/>
          <w:color w:val="7B7B7B" w:themeColor="accent3" w:themeShade="BF"/>
          <w:sz w:val="22"/>
          <w:szCs w:val="22"/>
          <w:lang w:val="en-GB"/>
        </w:rPr>
        <w:t xml:space="preserve">Generally, the burden of proof for preferences is with the liquidator, unless the transaction is with a person who is otherwise connected with the company, then they must rebut the presumption that it was a preferential payment.  </w:t>
      </w:r>
    </w:p>
    <w:p w14:paraId="21E81800" w14:textId="5FED8D6B" w:rsidR="00F24B05" w:rsidRDefault="00F24B05" w:rsidP="00F24B05">
      <w:pPr>
        <w:rPr>
          <w:rFonts w:ascii="Arial" w:hAnsi="Arial" w:cs="Arial"/>
          <w:color w:val="7B7B7B" w:themeColor="accent3" w:themeShade="BF"/>
          <w:sz w:val="22"/>
          <w:szCs w:val="22"/>
          <w:lang w:val="en-GB"/>
        </w:rPr>
      </w:pPr>
    </w:p>
    <w:p w14:paraId="2CBF39F7" w14:textId="77777777" w:rsidR="00906D9E" w:rsidRDefault="00F24B05" w:rsidP="00F24B05">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satisfy the court that the payment was a preference, the Liquidator must demonstrate that that payment was within the relevant period,</w:t>
      </w:r>
      <w:r w:rsidR="00EF7E73">
        <w:rPr>
          <w:rStyle w:val="FootnoteReference"/>
          <w:rFonts w:ascii="Arial" w:hAnsi="Arial" w:cs="Arial"/>
          <w:color w:val="7B7B7B" w:themeColor="accent3" w:themeShade="BF"/>
          <w:sz w:val="22"/>
          <w:szCs w:val="22"/>
          <w:lang w:val="en-GB"/>
        </w:rPr>
        <w:footnoteReference w:id="15"/>
      </w:r>
      <w:r>
        <w:rPr>
          <w:rFonts w:ascii="Arial" w:hAnsi="Arial" w:cs="Arial"/>
          <w:color w:val="7B7B7B" w:themeColor="accent3" w:themeShade="BF"/>
          <w:sz w:val="22"/>
          <w:szCs w:val="22"/>
          <w:lang w:val="en-GB"/>
        </w:rPr>
        <w:t xml:space="preserve"> </w:t>
      </w:r>
      <w:r w:rsidR="00EF7E73">
        <w:rPr>
          <w:rFonts w:ascii="Arial" w:hAnsi="Arial" w:cs="Arial"/>
          <w:color w:val="7B7B7B" w:themeColor="accent3" w:themeShade="BF"/>
          <w:sz w:val="22"/>
          <w:szCs w:val="22"/>
          <w:lang w:val="en-GB"/>
        </w:rPr>
        <w:t xml:space="preserve">the receiver of the payment was either a </w:t>
      </w:r>
      <w:r w:rsidR="00EF7E73">
        <w:rPr>
          <w:rFonts w:ascii="Arial" w:hAnsi="Arial" w:cs="Arial"/>
          <w:color w:val="7B7B7B" w:themeColor="accent3" w:themeShade="BF"/>
          <w:sz w:val="22"/>
          <w:szCs w:val="22"/>
          <w:lang w:val="en-GB"/>
        </w:rPr>
        <w:lastRenderedPageBreak/>
        <w:t>creditor, or a surety or guarantor for debts (or a liability);</w:t>
      </w:r>
      <w:r w:rsidR="00EF7E73">
        <w:rPr>
          <w:rStyle w:val="FootnoteReference"/>
          <w:rFonts w:ascii="Arial" w:hAnsi="Arial" w:cs="Arial"/>
          <w:color w:val="7B7B7B" w:themeColor="accent3" w:themeShade="BF"/>
          <w:sz w:val="22"/>
          <w:szCs w:val="22"/>
          <w:lang w:val="en-GB"/>
        </w:rPr>
        <w:footnoteReference w:id="16"/>
      </w:r>
      <w:r w:rsidR="00EF7E73">
        <w:rPr>
          <w:rFonts w:ascii="Arial" w:hAnsi="Arial" w:cs="Arial"/>
          <w:color w:val="7B7B7B" w:themeColor="accent3" w:themeShade="BF"/>
          <w:sz w:val="22"/>
          <w:szCs w:val="22"/>
          <w:lang w:val="en-GB"/>
        </w:rPr>
        <w:t xml:space="preserve"> the company has either done anything or has ‘suffered’ anything by virtue of putting that person in a better position than it would have been under any insolvency procedure, and better than other creditors.</w:t>
      </w:r>
      <w:r w:rsidR="00EF7E73">
        <w:rPr>
          <w:rStyle w:val="FootnoteReference"/>
          <w:rFonts w:ascii="Arial" w:hAnsi="Arial" w:cs="Arial"/>
          <w:color w:val="7B7B7B" w:themeColor="accent3" w:themeShade="BF"/>
          <w:sz w:val="22"/>
          <w:szCs w:val="22"/>
          <w:lang w:val="en-GB"/>
        </w:rPr>
        <w:footnoteReference w:id="17"/>
      </w:r>
      <w:r w:rsidR="00EF7E73">
        <w:rPr>
          <w:rFonts w:ascii="Arial" w:hAnsi="Arial" w:cs="Arial"/>
          <w:color w:val="7B7B7B" w:themeColor="accent3" w:themeShade="BF"/>
          <w:sz w:val="22"/>
          <w:szCs w:val="22"/>
          <w:lang w:val="en-GB"/>
        </w:rPr>
        <w:t xml:space="preserve"> It is also a prerequisite that the company was unable to pay debts as and when they fell due or become unable to pay debts as and when they fell due by virtue of the payment.</w:t>
      </w:r>
      <w:r w:rsidR="00EF7E73">
        <w:rPr>
          <w:rStyle w:val="FootnoteReference"/>
          <w:rFonts w:ascii="Arial" w:hAnsi="Arial" w:cs="Arial"/>
          <w:color w:val="7B7B7B" w:themeColor="accent3" w:themeShade="BF"/>
          <w:sz w:val="22"/>
          <w:szCs w:val="22"/>
          <w:lang w:val="en-GB"/>
        </w:rPr>
        <w:footnoteReference w:id="18"/>
      </w:r>
      <w:r w:rsidR="00EF7E73">
        <w:rPr>
          <w:rFonts w:ascii="Arial" w:hAnsi="Arial" w:cs="Arial"/>
          <w:color w:val="7B7B7B" w:themeColor="accent3" w:themeShade="BF"/>
          <w:sz w:val="22"/>
          <w:szCs w:val="22"/>
          <w:lang w:val="en-GB"/>
        </w:rPr>
        <w:t xml:space="preserve">  </w:t>
      </w:r>
    </w:p>
    <w:p w14:paraId="738AB49B" w14:textId="25EDBED8" w:rsidR="00F24B05" w:rsidRDefault="00EF7E73" w:rsidP="00F24B05">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the liquidator has a higher threshold to demonstrate that the making of the payment was influenced by the desire to place the creditor in a better position.</w:t>
      </w:r>
      <w:r>
        <w:rPr>
          <w:rStyle w:val="FootnoteReference"/>
          <w:rFonts w:ascii="Arial" w:hAnsi="Arial" w:cs="Arial"/>
          <w:color w:val="7B7B7B" w:themeColor="accent3" w:themeShade="BF"/>
          <w:sz w:val="22"/>
          <w:szCs w:val="22"/>
          <w:lang w:val="en-GB"/>
        </w:rPr>
        <w:footnoteReference w:id="19"/>
      </w:r>
      <w:r>
        <w:rPr>
          <w:rFonts w:ascii="Arial" w:hAnsi="Arial" w:cs="Arial"/>
          <w:color w:val="7B7B7B" w:themeColor="accent3" w:themeShade="BF"/>
          <w:sz w:val="22"/>
          <w:szCs w:val="22"/>
          <w:lang w:val="en-GB"/>
        </w:rPr>
        <w:t xml:space="preserve">  </w:t>
      </w:r>
    </w:p>
    <w:p w14:paraId="6C6CE707" w14:textId="77777777" w:rsidR="00EF7E73" w:rsidRDefault="00EF7E73" w:rsidP="00F24B05">
      <w:pPr>
        <w:rPr>
          <w:rFonts w:ascii="Arial" w:hAnsi="Arial" w:cs="Arial"/>
          <w:color w:val="7B7B7B" w:themeColor="accent3" w:themeShade="BF"/>
          <w:sz w:val="22"/>
          <w:szCs w:val="22"/>
          <w:lang w:val="en-GB"/>
        </w:rPr>
      </w:pPr>
    </w:p>
    <w:p w14:paraId="296EBEB8" w14:textId="36144E6E" w:rsidR="00EF7E73" w:rsidRDefault="00EF7E73" w:rsidP="00F24B05">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terms of this scenario, the liquidator h</w:t>
      </w:r>
      <w:r w:rsidR="00906D9E">
        <w:rPr>
          <w:rFonts w:ascii="Arial" w:hAnsi="Arial" w:cs="Arial"/>
          <w:color w:val="7B7B7B" w:themeColor="accent3" w:themeShade="BF"/>
          <w:sz w:val="22"/>
          <w:szCs w:val="22"/>
          <w:lang w:val="en-GB"/>
        </w:rPr>
        <w:t>as</w:t>
      </w:r>
      <w:r>
        <w:rPr>
          <w:rFonts w:ascii="Arial" w:hAnsi="Arial" w:cs="Arial"/>
          <w:color w:val="7B7B7B" w:themeColor="accent3" w:themeShade="BF"/>
          <w:sz w:val="22"/>
          <w:szCs w:val="22"/>
          <w:lang w:val="en-GB"/>
        </w:rPr>
        <w:t xml:space="preserve"> the burden of proof and would be able to demonstrate that the payment was made within the relevant period, as the payment was made one month prior to liquidation, and that the Gary’s Grapes Ltd was a creditor, and that the payment put Gary’s Grapes in a better position than it would have been through the insolvency process. </w:t>
      </w:r>
      <w:r w:rsidR="00906D9E">
        <w:rPr>
          <w:rFonts w:ascii="Arial" w:hAnsi="Arial" w:cs="Arial"/>
          <w:color w:val="7B7B7B" w:themeColor="accent3" w:themeShade="BF"/>
          <w:sz w:val="22"/>
          <w:szCs w:val="22"/>
          <w:lang w:val="en-GB"/>
        </w:rPr>
        <w:t xml:space="preserve">It is also possible, depending on the actual value of the payment that the full payment to Gary’s Grapes resulted in the company </w:t>
      </w:r>
      <w:proofErr w:type="gramStart"/>
      <w:r w:rsidR="00906D9E">
        <w:rPr>
          <w:rFonts w:ascii="Arial" w:hAnsi="Arial" w:cs="Arial"/>
          <w:color w:val="7B7B7B" w:themeColor="accent3" w:themeShade="BF"/>
          <w:sz w:val="22"/>
          <w:szCs w:val="22"/>
          <w:lang w:val="en-GB"/>
        </w:rPr>
        <w:t>entering into</w:t>
      </w:r>
      <w:proofErr w:type="gramEnd"/>
      <w:r w:rsidR="00906D9E">
        <w:rPr>
          <w:rFonts w:ascii="Arial" w:hAnsi="Arial" w:cs="Arial"/>
          <w:color w:val="7B7B7B" w:themeColor="accent3" w:themeShade="BF"/>
          <w:sz w:val="22"/>
          <w:szCs w:val="22"/>
          <w:lang w:val="en-GB"/>
        </w:rPr>
        <w:t xml:space="preserve"> the insolvency process and becoming unable to pay its debts. </w:t>
      </w:r>
    </w:p>
    <w:p w14:paraId="01594F18" w14:textId="5A3C0BDB" w:rsidR="00EF7E73" w:rsidRDefault="00EF7E73" w:rsidP="00F24B05">
      <w:pPr>
        <w:rPr>
          <w:rFonts w:ascii="Arial" w:hAnsi="Arial" w:cs="Arial"/>
          <w:color w:val="7B7B7B" w:themeColor="accent3" w:themeShade="BF"/>
          <w:sz w:val="22"/>
          <w:szCs w:val="22"/>
          <w:lang w:val="en-GB"/>
        </w:rPr>
      </w:pPr>
    </w:p>
    <w:p w14:paraId="4C9FBCFB" w14:textId="214F0402" w:rsidR="00EF7E73" w:rsidRDefault="00EF7E73" w:rsidP="00F24B05">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it would be difficult to demonstrate that the company was influenced by Gary’s Grapes to place them in a better position than liquidation. Given that Gary’s Grapes was a key supplier to the company, </w:t>
      </w:r>
      <w:r w:rsidR="00E0441B">
        <w:rPr>
          <w:rFonts w:ascii="Arial" w:hAnsi="Arial" w:cs="Arial"/>
          <w:color w:val="7B7B7B" w:themeColor="accent3" w:themeShade="BF"/>
          <w:sz w:val="22"/>
          <w:szCs w:val="22"/>
          <w:lang w:val="en-GB"/>
        </w:rPr>
        <w:t>and as sated above, the</w:t>
      </w:r>
      <w:r>
        <w:rPr>
          <w:rFonts w:ascii="Arial" w:hAnsi="Arial" w:cs="Arial"/>
          <w:color w:val="7B7B7B" w:themeColor="accent3" w:themeShade="BF"/>
          <w:sz w:val="22"/>
          <w:szCs w:val="22"/>
          <w:lang w:val="en-GB"/>
        </w:rPr>
        <w:t xml:space="preserve"> company wanted to keep Gary’s Grapes happy, as an argument would likely be mounted that if the supplier was still providing to the company, the directors may have thought that </w:t>
      </w:r>
      <w:r w:rsidR="00906D9E">
        <w:rPr>
          <w:rFonts w:ascii="Arial" w:hAnsi="Arial" w:cs="Arial"/>
          <w:color w:val="7B7B7B" w:themeColor="accent3" w:themeShade="BF"/>
          <w:sz w:val="22"/>
          <w:szCs w:val="22"/>
          <w:lang w:val="en-GB"/>
        </w:rPr>
        <w:t xml:space="preserve">maintaining this commercial relationship would assist the company. </w:t>
      </w:r>
      <w:r w:rsidR="00E0441B">
        <w:rPr>
          <w:rFonts w:ascii="Arial" w:hAnsi="Arial" w:cs="Arial"/>
          <w:color w:val="7B7B7B" w:themeColor="accent3" w:themeShade="BF"/>
          <w:sz w:val="22"/>
          <w:szCs w:val="22"/>
          <w:lang w:val="en-GB"/>
        </w:rPr>
        <w:t xml:space="preserve">Conversely, an argument could also be made with the </w:t>
      </w:r>
      <w:r w:rsidR="00906D9E">
        <w:rPr>
          <w:rFonts w:ascii="Arial" w:hAnsi="Arial" w:cs="Arial"/>
          <w:color w:val="7B7B7B" w:themeColor="accent3" w:themeShade="BF"/>
          <w:sz w:val="22"/>
          <w:szCs w:val="22"/>
          <w:lang w:val="en-GB"/>
        </w:rPr>
        <w:t xml:space="preserve">view that the full payment of the outstanding money to Gary’s Grapes was in fact a preference purely because the company was only motivated to make the payment to avoid </w:t>
      </w:r>
      <w:proofErr w:type="gramStart"/>
      <w:r w:rsidR="00906D9E">
        <w:rPr>
          <w:rFonts w:ascii="Arial" w:hAnsi="Arial" w:cs="Arial"/>
          <w:color w:val="7B7B7B" w:themeColor="accent3" w:themeShade="BF"/>
          <w:sz w:val="22"/>
          <w:szCs w:val="22"/>
          <w:lang w:val="en-GB"/>
        </w:rPr>
        <w:t>entering into</w:t>
      </w:r>
      <w:proofErr w:type="gramEnd"/>
      <w:r w:rsidR="00906D9E">
        <w:rPr>
          <w:rFonts w:ascii="Arial" w:hAnsi="Arial" w:cs="Arial"/>
          <w:color w:val="7B7B7B" w:themeColor="accent3" w:themeShade="BF"/>
          <w:sz w:val="22"/>
          <w:szCs w:val="22"/>
          <w:lang w:val="en-GB"/>
        </w:rPr>
        <w:t xml:space="preserve"> the insolvency process.</w:t>
      </w:r>
      <w:r w:rsidR="00906D9E">
        <w:rPr>
          <w:rStyle w:val="FootnoteReference"/>
          <w:rFonts w:ascii="Arial" w:hAnsi="Arial" w:cs="Arial"/>
          <w:color w:val="7B7B7B" w:themeColor="accent3" w:themeShade="BF"/>
          <w:sz w:val="22"/>
          <w:szCs w:val="22"/>
          <w:lang w:val="en-GB"/>
        </w:rPr>
        <w:footnoteReference w:id="20"/>
      </w:r>
      <w:r w:rsidR="00906D9E">
        <w:rPr>
          <w:rFonts w:ascii="Arial" w:hAnsi="Arial" w:cs="Arial"/>
          <w:color w:val="7B7B7B" w:themeColor="accent3" w:themeShade="BF"/>
          <w:sz w:val="22"/>
          <w:szCs w:val="22"/>
          <w:lang w:val="en-GB"/>
        </w:rPr>
        <w:t xml:space="preserve">  </w:t>
      </w:r>
    </w:p>
    <w:p w14:paraId="707EE0AC" w14:textId="77777777" w:rsidR="00906D9E" w:rsidRDefault="00906D9E" w:rsidP="00F24B05">
      <w:pPr>
        <w:rPr>
          <w:rFonts w:ascii="Arial" w:hAnsi="Arial" w:cs="Arial"/>
          <w:color w:val="7B7B7B" w:themeColor="accent3" w:themeShade="BF"/>
          <w:sz w:val="22"/>
          <w:szCs w:val="22"/>
          <w:lang w:val="en-GB"/>
        </w:rPr>
      </w:pPr>
    </w:p>
    <w:p w14:paraId="21B1FE8B" w14:textId="77777777" w:rsidR="00F24B05" w:rsidRPr="002A37BB" w:rsidRDefault="00F24B05" w:rsidP="00F24B05">
      <w:pPr>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FCFC9" w14:textId="77777777" w:rsidR="0072170D" w:rsidRDefault="0072170D" w:rsidP="00241B44">
      <w:r>
        <w:separator/>
      </w:r>
    </w:p>
  </w:endnote>
  <w:endnote w:type="continuationSeparator" w:id="0">
    <w:p w14:paraId="3B8C68A7" w14:textId="77777777" w:rsidR="0072170D" w:rsidRDefault="0072170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7506DE1F"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01D7D">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30F05E79" w14:textId="34E93DD5" w:rsidR="00241FA3" w:rsidRPr="009B4976" w:rsidRDefault="00906D9E" w:rsidP="009B4976">
    <w:pPr>
      <w:pStyle w:val="Footer"/>
      <w:ind w:right="360"/>
      <w:rPr>
        <w:rFonts w:ascii="Arial" w:hAnsi="Arial" w:cs="Arial"/>
        <w:sz w:val="18"/>
        <w:szCs w:val="18"/>
        <w:lang w:val="en-GB"/>
      </w:rPr>
    </w:pPr>
    <w:r w:rsidRPr="00EA4902">
      <w:rPr>
        <w:rFonts w:ascii="Arial" w:hAnsi="Arial" w:cs="Arial"/>
        <w:sz w:val="18"/>
        <w:szCs w:val="18"/>
        <w:lang w:val="en-GB"/>
      </w:rPr>
      <w:t>202021IFU-369</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877B8" w14:textId="77777777" w:rsidR="0072170D" w:rsidRDefault="0072170D" w:rsidP="00241B44">
      <w:r>
        <w:separator/>
      </w:r>
    </w:p>
  </w:footnote>
  <w:footnote w:type="continuationSeparator" w:id="0">
    <w:p w14:paraId="609F8FCB" w14:textId="77777777" w:rsidR="0072170D" w:rsidRDefault="0072170D" w:rsidP="00241B44">
      <w:r>
        <w:continuationSeparator/>
      </w:r>
    </w:p>
  </w:footnote>
  <w:footnote w:id="1">
    <w:p w14:paraId="1609A18B" w14:textId="1BE375CE" w:rsidR="00897A1C" w:rsidRPr="00897A1C" w:rsidRDefault="00897A1C">
      <w:pPr>
        <w:pStyle w:val="FootnoteText"/>
        <w:rPr>
          <w:lang w:val="en-AU"/>
        </w:rPr>
      </w:pPr>
      <w:r>
        <w:rPr>
          <w:rStyle w:val="FootnoteReference"/>
        </w:rPr>
        <w:footnoteRef/>
      </w:r>
      <w:r>
        <w:t xml:space="preserve"> </w:t>
      </w:r>
      <w:r>
        <w:rPr>
          <w:i/>
          <w:iCs/>
        </w:rPr>
        <w:t xml:space="preserve">BNY Corporate Trustee Services Ltd -v- </w:t>
      </w:r>
      <w:proofErr w:type="spellStart"/>
      <w:r>
        <w:rPr>
          <w:i/>
          <w:iCs/>
        </w:rPr>
        <w:t>Eurosail</w:t>
      </w:r>
      <w:proofErr w:type="spellEnd"/>
      <w:r>
        <w:rPr>
          <w:i/>
          <w:iCs/>
        </w:rPr>
        <w:t>-UK 2—7-3BL Plc</w:t>
      </w:r>
      <w:r>
        <w:t xml:space="preserve">, [2013] UKSC 28; [2013] 1 W.L.R. 1408 at [33], [37].  </w:t>
      </w:r>
    </w:p>
  </w:footnote>
  <w:footnote w:id="2">
    <w:p w14:paraId="57CB0537" w14:textId="411DC2C0" w:rsidR="002C7B6F" w:rsidRPr="002C7B6F" w:rsidRDefault="002C7B6F">
      <w:pPr>
        <w:pStyle w:val="FootnoteText"/>
        <w:rPr>
          <w:lang w:val="en-AU"/>
        </w:rPr>
      </w:pPr>
      <w:r>
        <w:rPr>
          <w:rStyle w:val="FootnoteReference"/>
        </w:rPr>
        <w:footnoteRef/>
      </w:r>
      <w:r>
        <w:t xml:space="preserve"> Ibid. </w:t>
      </w:r>
    </w:p>
  </w:footnote>
  <w:footnote w:id="3">
    <w:p w14:paraId="46337A29" w14:textId="263D0B77" w:rsidR="00096001" w:rsidRPr="00096001" w:rsidRDefault="00096001">
      <w:pPr>
        <w:pStyle w:val="FootnoteText"/>
        <w:rPr>
          <w:lang w:val="en-AU"/>
        </w:rPr>
      </w:pPr>
      <w:r>
        <w:rPr>
          <w:rStyle w:val="FootnoteReference"/>
        </w:rPr>
        <w:footnoteRef/>
      </w:r>
      <w:r>
        <w:t xml:space="preserve"> </w:t>
      </w:r>
      <w:r>
        <w:rPr>
          <w:i/>
          <w:iCs/>
        </w:rPr>
        <w:t xml:space="preserve">BNY Corporate Trustee Services Ltd -v- </w:t>
      </w:r>
      <w:proofErr w:type="spellStart"/>
      <w:r>
        <w:rPr>
          <w:i/>
          <w:iCs/>
        </w:rPr>
        <w:t>Eurosail</w:t>
      </w:r>
      <w:proofErr w:type="spellEnd"/>
      <w:r>
        <w:rPr>
          <w:i/>
          <w:iCs/>
        </w:rPr>
        <w:t>-UK 2—7-3BL Plc</w:t>
      </w:r>
      <w:r>
        <w:t xml:space="preserve">, [2013] UKSC 28; [2013] 1 W.L.R. 1408 at [49].  </w:t>
      </w:r>
    </w:p>
  </w:footnote>
  <w:footnote w:id="4">
    <w:p w14:paraId="30CE5871" w14:textId="62BD7E41" w:rsidR="0094138E" w:rsidRPr="0094138E" w:rsidRDefault="0094138E">
      <w:pPr>
        <w:pStyle w:val="FootnoteText"/>
        <w:rPr>
          <w:lang w:val="en-AU"/>
        </w:rPr>
      </w:pPr>
      <w:r>
        <w:rPr>
          <w:rStyle w:val="FootnoteReference"/>
        </w:rPr>
        <w:footnoteRef/>
      </w:r>
      <w:r>
        <w:t xml:space="preserve"> </w:t>
      </w:r>
      <w:r w:rsidRPr="0094138E">
        <w:rPr>
          <w:i/>
          <w:iCs/>
          <w:lang w:val="en-AU"/>
        </w:rPr>
        <w:t xml:space="preserve">Cambridge </w:t>
      </w:r>
      <w:r>
        <w:rPr>
          <w:i/>
          <w:iCs/>
          <w:lang w:val="en-AU"/>
        </w:rPr>
        <w:t>Gas Transport Corp v The Official Committee of Unsecured Creditors of Navigator Holdings PLC</w:t>
      </w:r>
      <w:r>
        <w:rPr>
          <w:lang w:val="en-AU"/>
        </w:rPr>
        <w:t xml:space="preserve"> [2006] UKPC 26, [22] per Lord Hoffman. </w:t>
      </w:r>
    </w:p>
  </w:footnote>
  <w:footnote w:id="5">
    <w:p w14:paraId="6A8CA194" w14:textId="4712D1F1" w:rsidR="005A6188" w:rsidRPr="005A6188" w:rsidRDefault="005A6188">
      <w:pPr>
        <w:pStyle w:val="FootnoteText"/>
        <w:rPr>
          <w:lang w:val="en-AU"/>
        </w:rPr>
      </w:pPr>
      <w:r>
        <w:rPr>
          <w:rStyle w:val="FootnoteReference"/>
        </w:rPr>
        <w:footnoteRef/>
      </w:r>
      <w:r>
        <w:t xml:space="preserve"> </w:t>
      </w:r>
      <w:r>
        <w:rPr>
          <w:i/>
          <w:iCs/>
          <w:lang w:val="en-AU"/>
        </w:rPr>
        <w:t>Insolvency Act 1986</w:t>
      </w:r>
      <w:r>
        <w:rPr>
          <w:lang w:val="en-AU"/>
        </w:rPr>
        <w:t xml:space="preserve"> s</w:t>
      </w:r>
      <w:r>
        <w:rPr>
          <w:lang w:val="en-AU"/>
        </w:rPr>
        <w:t xml:space="preserve">176(2). </w:t>
      </w:r>
    </w:p>
  </w:footnote>
  <w:footnote w:id="6">
    <w:p w14:paraId="47B8F907" w14:textId="0612E57B" w:rsidR="007E02CA" w:rsidRPr="007E02CA" w:rsidRDefault="007E02CA">
      <w:pPr>
        <w:pStyle w:val="FootnoteText"/>
        <w:rPr>
          <w:lang w:val="en-AU"/>
        </w:rPr>
      </w:pPr>
      <w:r>
        <w:rPr>
          <w:rStyle w:val="FootnoteReference"/>
        </w:rPr>
        <w:footnoteRef/>
      </w:r>
      <w:r>
        <w:t xml:space="preserve"> </w:t>
      </w:r>
      <w:r>
        <w:rPr>
          <w:i/>
          <w:iCs/>
          <w:lang w:val="en-AU"/>
        </w:rPr>
        <w:t xml:space="preserve">Insolvency Act 1986 </w:t>
      </w:r>
      <w:r>
        <w:rPr>
          <w:lang w:val="en-AU"/>
        </w:rPr>
        <w:t xml:space="preserve">s245(3)(b). </w:t>
      </w:r>
    </w:p>
  </w:footnote>
  <w:footnote w:id="7">
    <w:p w14:paraId="5DB4F360" w14:textId="43CD6A4F" w:rsidR="007E02CA" w:rsidRPr="007E02CA" w:rsidRDefault="007E02CA">
      <w:pPr>
        <w:pStyle w:val="FootnoteText"/>
        <w:rPr>
          <w:lang w:val="en-AU"/>
        </w:rPr>
      </w:pPr>
      <w:r>
        <w:rPr>
          <w:rStyle w:val="FootnoteReference"/>
        </w:rPr>
        <w:footnoteRef/>
      </w:r>
      <w:r>
        <w:t xml:space="preserve"> </w:t>
      </w:r>
      <w:r>
        <w:rPr>
          <w:i/>
          <w:iCs/>
          <w:lang w:val="en-AU"/>
        </w:rPr>
        <w:t xml:space="preserve">Insolvency Act 1986 </w:t>
      </w:r>
      <w:r>
        <w:rPr>
          <w:lang w:val="en-AU"/>
        </w:rPr>
        <w:t>s245(</w:t>
      </w:r>
      <w:r>
        <w:rPr>
          <w:lang w:val="en-AU"/>
        </w:rPr>
        <w:t>4</w:t>
      </w:r>
      <w:r>
        <w:rPr>
          <w:lang w:val="en-AU"/>
        </w:rPr>
        <w:t>).</w:t>
      </w:r>
    </w:p>
  </w:footnote>
  <w:footnote w:id="8">
    <w:p w14:paraId="1A4213EB" w14:textId="5283EF15" w:rsidR="008A1FC2" w:rsidRPr="008A1FC2" w:rsidRDefault="008A1FC2">
      <w:pPr>
        <w:pStyle w:val="FootnoteText"/>
        <w:rPr>
          <w:lang w:val="en-AU"/>
        </w:rPr>
      </w:pPr>
      <w:r>
        <w:rPr>
          <w:rStyle w:val="FootnoteReference"/>
        </w:rPr>
        <w:footnoteRef/>
      </w:r>
      <w:r>
        <w:t xml:space="preserve"> </w:t>
      </w:r>
      <w:r>
        <w:rPr>
          <w:i/>
          <w:iCs/>
          <w:lang w:val="en-AU"/>
        </w:rPr>
        <w:t>Insolvency Act 1986</w:t>
      </w:r>
      <w:r>
        <w:rPr>
          <w:lang w:val="en-AU"/>
        </w:rPr>
        <w:t xml:space="preserve"> s240(1)(a). </w:t>
      </w:r>
    </w:p>
  </w:footnote>
  <w:footnote w:id="9">
    <w:p w14:paraId="38833549" w14:textId="44896E95" w:rsidR="00F9156D" w:rsidRPr="00F9156D" w:rsidRDefault="00F9156D">
      <w:pPr>
        <w:pStyle w:val="FootnoteText"/>
        <w:rPr>
          <w:lang w:val="en-AU"/>
        </w:rPr>
      </w:pPr>
      <w:r>
        <w:rPr>
          <w:rStyle w:val="FootnoteReference"/>
        </w:rPr>
        <w:footnoteRef/>
      </w:r>
      <w:r>
        <w:t xml:space="preserve"> </w:t>
      </w:r>
      <w:r>
        <w:rPr>
          <w:i/>
          <w:iCs/>
          <w:lang w:val="en-AU"/>
        </w:rPr>
        <w:t>Insolvency Act 1986</w:t>
      </w:r>
      <w:r>
        <w:rPr>
          <w:lang w:val="en-AU"/>
        </w:rPr>
        <w:t xml:space="preserve"> s238(3).</w:t>
      </w:r>
    </w:p>
  </w:footnote>
  <w:footnote w:id="10">
    <w:p w14:paraId="1F979BD9" w14:textId="207EF9AC" w:rsidR="008A1FC2" w:rsidRPr="008A1FC2" w:rsidRDefault="008A1FC2">
      <w:pPr>
        <w:pStyle w:val="FootnoteText"/>
        <w:rPr>
          <w:lang w:val="en-AU"/>
        </w:rPr>
      </w:pPr>
      <w:r>
        <w:rPr>
          <w:rStyle w:val="FootnoteReference"/>
        </w:rPr>
        <w:footnoteRef/>
      </w:r>
      <w:r>
        <w:t xml:space="preserve"> </w:t>
      </w:r>
      <w:r>
        <w:rPr>
          <w:i/>
          <w:iCs/>
          <w:lang w:val="en-AU"/>
        </w:rPr>
        <w:t>Insolvency Act 1986</w:t>
      </w:r>
      <w:r>
        <w:rPr>
          <w:lang w:val="en-AU"/>
        </w:rPr>
        <w:t xml:space="preserve"> s238(4)(a).  </w:t>
      </w:r>
    </w:p>
  </w:footnote>
  <w:footnote w:id="11">
    <w:p w14:paraId="3E6366D5" w14:textId="4FF0C2F9" w:rsidR="00F9156D" w:rsidRPr="00F9156D" w:rsidRDefault="00F9156D">
      <w:pPr>
        <w:pStyle w:val="FootnoteText"/>
        <w:rPr>
          <w:lang w:val="en-AU"/>
        </w:rPr>
      </w:pPr>
      <w:r>
        <w:rPr>
          <w:rStyle w:val="FootnoteReference"/>
        </w:rPr>
        <w:footnoteRef/>
      </w:r>
      <w:r>
        <w:t xml:space="preserve"> </w:t>
      </w:r>
      <w:r>
        <w:rPr>
          <w:i/>
          <w:iCs/>
          <w:lang w:val="en-AU"/>
        </w:rPr>
        <w:t>Insolvency Act 1986</w:t>
      </w:r>
      <w:r>
        <w:rPr>
          <w:lang w:val="en-AU"/>
        </w:rPr>
        <w:t xml:space="preserve"> s238(4)(b).  </w:t>
      </w:r>
    </w:p>
  </w:footnote>
  <w:footnote w:id="12">
    <w:p w14:paraId="5197D7AF" w14:textId="19A6232D" w:rsidR="00F9156D" w:rsidRPr="00F9156D" w:rsidRDefault="00F9156D">
      <w:pPr>
        <w:pStyle w:val="FootnoteText"/>
        <w:rPr>
          <w:lang w:val="en-AU"/>
        </w:rPr>
      </w:pPr>
      <w:r>
        <w:rPr>
          <w:rStyle w:val="FootnoteReference"/>
        </w:rPr>
        <w:footnoteRef/>
      </w:r>
      <w:r>
        <w:t xml:space="preserve"> </w:t>
      </w:r>
      <w:r>
        <w:rPr>
          <w:i/>
          <w:iCs/>
          <w:lang w:val="en-AU"/>
        </w:rPr>
        <w:t>Insolvency Act 1986</w:t>
      </w:r>
      <w:r>
        <w:rPr>
          <w:lang w:val="en-AU"/>
        </w:rPr>
        <w:t xml:space="preserve"> s238(5)(a).</w:t>
      </w:r>
    </w:p>
  </w:footnote>
  <w:footnote w:id="13">
    <w:p w14:paraId="3F0EB027" w14:textId="3E424EDD" w:rsidR="00F9156D" w:rsidRPr="00F9156D" w:rsidRDefault="00F9156D">
      <w:pPr>
        <w:pStyle w:val="FootnoteText"/>
        <w:rPr>
          <w:lang w:val="en-AU"/>
        </w:rPr>
      </w:pPr>
      <w:r>
        <w:rPr>
          <w:rStyle w:val="FootnoteReference"/>
        </w:rPr>
        <w:footnoteRef/>
      </w:r>
      <w:r>
        <w:t xml:space="preserve"> </w:t>
      </w:r>
      <w:r>
        <w:rPr>
          <w:i/>
          <w:iCs/>
          <w:lang w:val="en-AU"/>
        </w:rPr>
        <w:t>Insolvency Act 1986</w:t>
      </w:r>
      <w:r>
        <w:rPr>
          <w:lang w:val="en-AU"/>
        </w:rPr>
        <w:t xml:space="preserve"> s238(5)(b).</w:t>
      </w:r>
    </w:p>
  </w:footnote>
  <w:footnote w:id="14">
    <w:p w14:paraId="5179A691" w14:textId="20134E77" w:rsidR="00F24B05" w:rsidRPr="00F24B05" w:rsidRDefault="00F24B05">
      <w:pPr>
        <w:pStyle w:val="FootnoteText"/>
        <w:rPr>
          <w:lang w:val="en-AU"/>
        </w:rPr>
      </w:pPr>
      <w:r>
        <w:rPr>
          <w:rStyle w:val="FootnoteReference"/>
        </w:rPr>
        <w:footnoteRef/>
      </w:r>
      <w:r>
        <w:t xml:space="preserve"> </w:t>
      </w:r>
      <w:r>
        <w:rPr>
          <w:i/>
          <w:iCs/>
          <w:lang w:val="en-AU"/>
        </w:rPr>
        <w:t>Insolvency Act 1986</w:t>
      </w:r>
      <w:r>
        <w:rPr>
          <w:lang w:val="en-AU"/>
        </w:rPr>
        <w:t xml:space="preserve"> s239(4).</w:t>
      </w:r>
    </w:p>
  </w:footnote>
  <w:footnote w:id="15">
    <w:p w14:paraId="28AA2857" w14:textId="25541EE9" w:rsidR="00EF7E73" w:rsidRPr="00EF7E73" w:rsidRDefault="00EF7E73">
      <w:pPr>
        <w:pStyle w:val="FootnoteText"/>
        <w:rPr>
          <w:lang w:val="en-AU"/>
        </w:rPr>
      </w:pPr>
      <w:r>
        <w:rPr>
          <w:rStyle w:val="FootnoteReference"/>
        </w:rPr>
        <w:footnoteRef/>
      </w:r>
      <w:r>
        <w:t xml:space="preserve"> </w:t>
      </w:r>
      <w:r>
        <w:rPr>
          <w:i/>
          <w:iCs/>
          <w:lang w:val="en-AU"/>
        </w:rPr>
        <w:t>Insolvency Act 1986</w:t>
      </w:r>
      <w:r>
        <w:rPr>
          <w:lang w:val="en-AU"/>
        </w:rPr>
        <w:t xml:space="preserve"> s239(2).</w:t>
      </w:r>
    </w:p>
  </w:footnote>
  <w:footnote w:id="16">
    <w:p w14:paraId="7E651CFF" w14:textId="6D3F0596" w:rsidR="00EF7E73" w:rsidRPr="00EF7E73" w:rsidRDefault="00EF7E73">
      <w:pPr>
        <w:pStyle w:val="FootnoteText"/>
        <w:rPr>
          <w:lang w:val="en-AU"/>
        </w:rPr>
      </w:pPr>
      <w:r>
        <w:rPr>
          <w:rStyle w:val="FootnoteReference"/>
        </w:rPr>
        <w:footnoteRef/>
      </w:r>
      <w:r>
        <w:t xml:space="preserve"> </w:t>
      </w:r>
      <w:r>
        <w:rPr>
          <w:i/>
          <w:iCs/>
          <w:lang w:val="en-AU"/>
        </w:rPr>
        <w:t>Insolvency Act 1986</w:t>
      </w:r>
      <w:r>
        <w:rPr>
          <w:lang w:val="en-AU"/>
        </w:rPr>
        <w:t xml:space="preserve"> s239(4)(a).</w:t>
      </w:r>
    </w:p>
  </w:footnote>
  <w:footnote w:id="17">
    <w:p w14:paraId="2813F8BD" w14:textId="625BFE84" w:rsidR="00EF7E73" w:rsidRPr="00F24B05" w:rsidRDefault="00EF7E73" w:rsidP="00EF7E73">
      <w:pPr>
        <w:pStyle w:val="FootnoteText"/>
        <w:rPr>
          <w:lang w:val="en-AU"/>
        </w:rPr>
      </w:pPr>
      <w:r>
        <w:rPr>
          <w:rStyle w:val="FootnoteReference"/>
        </w:rPr>
        <w:footnoteRef/>
      </w:r>
      <w:r>
        <w:t xml:space="preserve"> </w:t>
      </w:r>
      <w:r>
        <w:rPr>
          <w:i/>
          <w:iCs/>
          <w:lang w:val="en-AU"/>
        </w:rPr>
        <w:t>Insolvency Act 1986</w:t>
      </w:r>
      <w:r>
        <w:rPr>
          <w:lang w:val="en-AU"/>
        </w:rPr>
        <w:t xml:space="preserve"> s239(4)(b).</w:t>
      </w:r>
    </w:p>
  </w:footnote>
  <w:footnote w:id="18">
    <w:p w14:paraId="08E63381" w14:textId="5E0938FD" w:rsidR="00EF7E73" w:rsidRPr="00EF7E73" w:rsidRDefault="00EF7E73">
      <w:pPr>
        <w:pStyle w:val="FootnoteText"/>
        <w:rPr>
          <w:lang w:val="en-AU"/>
        </w:rPr>
      </w:pPr>
      <w:r>
        <w:rPr>
          <w:rStyle w:val="FootnoteReference"/>
        </w:rPr>
        <w:footnoteRef/>
      </w:r>
      <w:r>
        <w:t xml:space="preserve"> </w:t>
      </w:r>
      <w:r>
        <w:rPr>
          <w:i/>
          <w:iCs/>
          <w:lang w:val="en-AU"/>
        </w:rPr>
        <w:t>Insolvency Act 1986</w:t>
      </w:r>
      <w:r>
        <w:rPr>
          <w:lang w:val="en-AU"/>
        </w:rPr>
        <w:t xml:space="preserve"> s123.</w:t>
      </w:r>
    </w:p>
  </w:footnote>
  <w:footnote w:id="19">
    <w:p w14:paraId="21872FD4" w14:textId="1AB6D236" w:rsidR="00EF7E73" w:rsidRPr="00EF7E73" w:rsidRDefault="00EF7E73">
      <w:pPr>
        <w:pStyle w:val="FootnoteText"/>
        <w:rPr>
          <w:lang w:val="en-AU"/>
        </w:rPr>
      </w:pPr>
      <w:r>
        <w:rPr>
          <w:rStyle w:val="FootnoteReference"/>
        </w:rPr>
        <w:footnoteRef/>
      </w:r>
      <w:r>
        <w:t xml:space="preserve"> </w:t>
      </w:r>
      <w:r>
        <w:rPr>
          <w:i/>
          <w:iCs/>
          <w:lang w:val="en-AU"/>
        </w:rPr>
        <w:t>Insolvency Act 1986</w:t>
      </w:r>
      <w:r>
        <w:rPr>
          <w:lang w:val="en-AU"/>
        </w:rPr>
        <w:t xml:space="preserve"> s239(5).</w:t>
      </w:r>
    </w:p>
  </w:footnote>
  <w:footnote w:id="20">
    <w:p w14:paraId="58F81BC0" w14:textId="40105F09" w:rsidR="00906D9E" w:rsidRPr="00906D9E" w:rsidRDefault="00906D9E">
      <w:pPr>
        <w:pStyle w:val="FootnoteText"/>
        <w:rPr>
          <w:lang w:val="en-AU"/>
        </w:rPr>
      </w:pPr>
      <w:r>
        <w:rPr>
          <w:rStyle w:val="FootnoteReference"/>
        </w:rPr>
        <w:footnoteRef/>
      </w:r>
      <w:r>
        <w:t xml:space="preserve"> </w:t>
      </w:r>
      <w:r>
        <w:rPr>
          <w:i/>
          <w:iCs/>
          <w:lang w:val="en-AU"/>
        </w:rPr>
        <w:t xml:space="preserve">RE MC Bacon Ltd </w:t>
      </w:r>
      <w:r>
        <w:rPr>
          <w:lang w:val="en-AU"/>
        </w:rPr>
        <w:t xml:space="preserve">[1990] BCC 78.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7"/>
  </w:num>
  <w:num w:numId="8">
    <w:abstractNumId w:val="8"/>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65DFF"/>
    <w:rsid w:val="00081D37"/>
    <w:rsid w:val="00082609"/>
    <w:rsid w:val="000851CC"/>
    <w:rsid w:val="00087F21"/>
    <w:rsid w:val="00093BE8"/>
    <w:rsid w:val="00096001"/>
    <w:rsid w:val="000A407B"/>
    <w:rsid w:val="000A68ED"/>
    <w:rsid w:val="000B5FF1"/>
    <w:rsid w:val="000B609F"/>
    <w:rsid w:val="000B7916"/>
    <w:rsid w:val="000C346C"/>
    <w:rsid w:val="000D55A8"/>
    <w:rsid w:val="000E4841"/>
    <w:rsid w:val="000F1677"/>
    <w:rsid w:val="000F3D6C"/>
    <w:rsid w:val="000F4858"/>
    <w:rsid w:val="0010095B"/>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30DF"/>
    <w:rsid w:val="001966D9"/>
    <w:rsid w:val="001A007A"/>
    <w:rsid w:val="001A7CFC"/>
    <w:rsid w:val="001A7E9A"/>
    <w:rsid w:val="001B0F70"/>
    <w:rsid w:val="001B3875"/>
    <w:rsid w:val="001B5016"/>
    <w:rsid w:val="001C2889"/>
    <w:rsid w:val="001C45FC"/>
    <w:rsid w:val="001D0469"/>
    <w:rsid w:val="001D29C0"/>
    <w:rsid w:val="001D4862"/>
    <w:rsid w:val="001E25B9"/>
    <w:rsid w:val="001E49E0"/>
    <w:rsid w:val="001E7B5A"/>
    <w:rsid w:val="001F42D0"/>
    <w:rsid w:val="001F7412"/>
    <w:rsid w:val="0020090A"/>
    <w:rsid w:val="00202DFE"/>
    <w:rsid w:val="0020725B"/>
    <w:rsid w:val="002110F1"/>
    <w:rsid w:val="00225952"/>
    <w:rsid w:val="00233661"/>
    <w:rsid w:val="002356EA"/>
    <w:rsid w:val="0024116D"/>
    <w:rsid w:val="00241B44"/>
    <w:rsid w:val="00241FA3"/>
    <w:rsid w:val="00245EFB"/>
    <w:rsid w:val="0025386E"/>
    <w:rsid w:val="002638B0"/>
    <w:rsid w:val="0026647A"/>
    <w:rsid w:val="002668D3"/>
    <w:rsid w:val="0027299F"/>
    <w:rsid w:val="0028282D"/>
    <w:rsid w:val="00284EBE"/>
    <w:rsid w:val="002903A7"/>
    <w:rsid w:val="0029433F"/>
    <w:rsid w:val="00294829"/>
    <w:rsid w:val="0029690F"/>
    <w:rsid w:val="00297C8A"/>
    <w:rsid w:val="002A2A60"/>
    <w:rsid w:val="002A37BB"/>
    <w:rsid w:val="002B0AEF"/>
    <w:rsid w:val="002B1C45"/>
    <w:rsid w:val="002C13C8"/>
    <w:rsid w:val="002C3547"/>
    <w:rsid w:val="002C46CB"/>
    <w:rsid w:val="002C7B6F"/>
    <w:rsid w:val="002D0021"/>
    <w:rsid w:val="002D299D"/>
    <w:rsid w:val="002D3473"/>
    <w:rsid w:val="002F1956"/>
    <w:rsid w:val="002F3440"/>
    <w:rsid w:val="002F75A3"/>
    <w:rsid w:val="002F77D6"/>
    <w:rsid w:val="00303C2F"/>
    <w:rsid w:val="0030480A"/>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3B0F"/>
    <w:rsid w:val="003B02EE"/>
    <w:rsid w:val="003B170F"/>
    <w:rsid w:val="003B3C5F"/>
    <w:rsid w:val="003C4471"/>
    <w:rsid w:val="003D0A6D"/>
    <w:rsid w:val="003E0B16"/>
    <w:rsid w:val="003E67D1"/>
    <w:rsid w:val="00404329"/>
    <w:rsid w:val="00405DC1"/>
    <w:rsid w:val="004103B3"/>
    <w:rsid w:val="00415F1F"/>
    <w:rsid w:val="0042108F"/>
    <w:rsid w:val="00430FED"/>
    <w:rsid w:val="00434A8C"/>
    <w:rsid w:val="00436F3B"/>
    <w:rsid w:val="00437297"/>
    <w:rsid w:val="00440080"/>
    <w:rsid w:val="00444284"/>
    <w:rsid w:val="00445CE6"/>
    <w:rsid w:val="004534C2"/>
    <w:rsid w:val="0045446F"/>
    <w:rsid w:val="0045683E"/>
    <w:rsid w:val="00474C2B"/>
    <w:rsid w:val="00476DF4"/>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4AFB"/>
    <w:rsid w:val="005A6188"/>
    <w:rsid w:val="005A6FF2"/>
    <w:rsid w:val="005A726D"/>
    <w:rsid w:val="005B67AC"/>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4D2E"/>
    <w:rsid w:val="00636808"/>
    <w:rsid w:val="00641515"/>
    <w:rsid w:val="00654C2F"/>
    <w:rsid w:val="00657087"/>
    <w:rsid w:val="006639DB"/>
    <w:rsid w:val="006661EF"/>
    <w:rsid w:val="00677AEB"/>
    <w:rsid w:val="00680250"/>
    <w:rsid w:val="00680EF2"/>
    <w:rsid w:val="00684CDA"/>
    <w:rsid w:val="00687A1D"/>
    <w:rsid w:val="00697EA1"/>
    <w:rsid w:val="006A2646"/>
    <w:rsid w:val="006A6530"/>
    <w:rsid w:val="006B435A"/>
    <w:rsid w:val="006B4C64"/>
    <w:rsid w:val="006D282B"/>
    <w:rsid w:val="006D6BD5"/>
    <w:rsid w:val="006D7A7D"/>
    <w:rsid w:val="006E027D"/>
    <w:rsid w:val="006E481A"/>
    <w:rsid w:val="006E5298"/>
    <w:rsid w:val="006F4A78"/>
    <w:rsid w:val="006F734A"/>
    <w:rsid w:val="00700D83"/>
    <w:rsid w:val="00704852"/>
    <w:rsid w:val="007074E9"/>
    <w:rsid w:val="00713DA4"/>
    <w:rsid w:val="00714BF1"/>
    <w:rsid w:val="00721383"/>
    <w:rsid w:val="0072170D"/>
    <w:rsid w:val="0073158B"/>
    <w:rsid w:val="007333CC"/>
    <w:rsid w:val="0073399A"/>
    <w:rsid w:val="00740DAD"/>
    <w:rsid w:val="00742AF3"/>
    <w:rsid w:val="007603F5"/>
    <w:rsid w:val="007617FC"/>
    <w:rsid w:val="00763348"/>
    <w:rsid w:val="00764DB0"/>
    <w:rsid w:val="00764EBF"/>
    <w:rsid w:val="00765C8C"/>
    <w:rsid w:val="0076764D"/>
    <w:rsid w:val="0077498C"/>
    <w:rsid w:val="007809BC"/>
    <w:rsid w:val="00784128"/>
    <w:rsid w:val="00784A03"/>
    <w:rsid w:val="00787BCC"/>
    <w:rsid w:val="00793173"/>
    <w:rsid w:val="007A2A33"/>
    <w:rsid w:val="007A5171"/>
    <w:rsid w:val="007B5C89"/>
    <w:rsid w:val="007C1FCC"/>
    <w:rsid w:val="007C6201"/>
    <w:rsid w:val="007D7C92"/>
    <w:rsid w:val="007E02CA"/>
    <w:rsid w:val="007E1154"/>
    <w:rsid w:val="007E2919"/>
    <w:rsid w:val="007E6BA4"/>
    <w:rsid w:val="007F41F8"/>
    <w:rsid w:val="007F659B"/>
    <w:rsid w:val="0080454E"/>
    <w:rsid w:val="00804C32"/>
    <w:rsid w:val="00806302"/>
    <w:rsid w:val="00807119"/>
    <w:rsid w:val="00817A2B"/>
    <w:rsid w:val="0082483F"/>
    <w:rsid w:val="008279C0"/>
    <w:rsid w:val="008457FB"/>
    <w:rsid w:val="00867701"/>
    <w:rsid w:val="008723F3"/>
    <w:rsid w:val="00876F56"/>
    <w:rsid w:val="00881DE6"/>
    <w:rsid w:val="008837A6"/>
    <w:rsid w:val="00885022"/>
    <w:rsid w:val="0089145D"/>
    <w:rsid w:val="00897A1C"/>
    <w:rsid w:val="008A1FC2"/>
    <w:rsid w:val="008A4DF2"/>
    <w:rsid w:val="008A6CFE"/>
    <w:rsid w:val="008B5333"/>
    <w:rsid w:val="008B6223"/>
    <w:rsid w:val="008B72B8"/>
    <w:rsid w:val="008C66E0"/>
    <w:rsid w:val="008D1616"/>
    <w:rsid w:val="008E3339"/>
    <w:rsid w:val="008E660C"/>
    <w:rsid w:val="008F20FC"/>
    <w:rsid w:val="008F5FFE"/>
    <w:rsid w:val="00905A43"/>
    <w:rsid w:val="00906D9E"/>
    <w:rsid w:val="00912C79"/>
    <w:rsid w:val="00921B8C"/>
    <w:rsid w:val="00924DAF"/>
    <w:rsid w:val="00931D14"/>
    <w:rsid w:val="0094138E"/>
    <w:rsid w:val="00942123"/>
    <w:rsid w:val="00951AA8"/>
    <w:rsid w:val="0095207B"/>
    <w:rsid w:val="00956774"/>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06983"/>
    <w:rsid w:val="00A16BE5"/>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B2425"/>
    <w:rsid w:val="00AB685C"/>
    <w:rsid w:val="00AB6C2D"/>
    <w:rsid w:val="00AC08F7"/>
    <w:rsid w:val="00AC0ED2"/>
    <w:rsid w:val="00AC3839"/>
    <w:rsid w:val="00AC7082"/>
    <w:rsid w:val="00AD4BE8"/>
    <w:rsid w:val="00AE28B3"/>
    <w:rsid w:val="00AF228E"/>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5671"/>
    <w:rsid w:val="00C35B77"/>
    <w:rsid w:val="00C376EB"/>
    <w:rsid w:val="00C46A92"/>
    <w:rsid w:val="00C46EC1"/>
    <w:rsid w:val="00C47253"/>
    <w:rsid w:val="00C5211F"/>
    <w:rsid w:val="00C52796"/>
    <w:rsid w:val="00C53E2C"/>
    <w:rsid w:val="00C550C8"/>
    <w:rsid w:val="00C55824"/>
    <w:rsid w:val="00C56B61"/>
    <w:rsid w:val="00C606C3"/>
    <w:rsid w:val="00C620F4"/>
    <w:rsid w:val="00C62B78"/>
    <w:rsid w:val="00C72848"/>
    <w:rsid w:val="00C7736C"/>
    <w:rsid w:val="00C82D87"/>
    <w:rsid w:val="00C8712A"/>
    <w:rsid w:val="00C902C8"/>
    <w:rsid w:val="00C919D1"/>
    <w:rsid w:val="00C963D3"/>
    <w:rsid w:val="00CB1983"/>
    <w:rsid w:val="00CB2CBB"/>
    <w:rsid w:val="00CB7CAC"/>
    <w:rsid w:val="00CC5335"/>
    <w:rsid w:val="00CC5BA4"/>
    <w:rsid w:val="00CD4998"/>
    <w:rsid w:val="00CE1035"/>
    <w:rsid w:val="00CE34BB"/>
    <w:rsid w:val="00CE6E50"/>
    <w:rsid w:val="00CF2819"/>
    <w:rsid w:val="00CF4F9D"/>
    <w:rsid w:val="00CF70DC"/>
    <w:rsid w:val="00D148DC"/>
    <w:rsid w:val="00D17FDC"/>
    <w:rsid w:val="00D21D8C"/>
    <w:rsid w:val="00D321B7"/>
    <w:rsid w:val="00D37A02"/>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625"/>
    <w:rsid w:val="00DF7A3A"/>
    <w:rsid w:val="00E00C00"/>
    <w:rsid w:val="00E0441B"/>
    <w:rsid w:val="00E0556F"/>
    <w:rsid w:val="00E07C5A"/>
    <w:rsid w:val="00E113B1"/>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597C"/>
    <w:rsid w:val="00EA0913"/>
    <w:rsid w:val="00EA5B00"/>
    <w:rsid w:val="00EB146B"/>
    <w:rsid w:val="00EB45AC"/>
    <w:rsid w:val="00EB5D0C"/>
    <w:rsid w:val="00EC441F"/>
    <w:rsid w:val="00EC4755"/>
    <w:rsid w:val="00ED0BC4"/>
    <w:rsid w:val="00ED447D"/>
    <w:rsid w:val="00EE052A"/>
    <w:rsid w:val="00EE4971"/>
    <w:rsid w:val="00EE6CB0"/>
    <w:rsid w:val="00EF090E"/>
    <w:rsid w:val="00EF5572"/>
    <w:rsid w:val="00EF7E73"/>
    <w:rsid w:val="00F01D7D"/>
    <w:rsid w:val="00F033DA"/>
    <w:rsid w:val="00F13691"/>
    <w:rsid w:val="00F13FB1"/>
    <w:rsid w:val="00F24B05"/>
    <w:rsid w:val="00F27CD8"/>
    <w:rsid w:val="00F30351"/>
    <w:rsid w:val="00F3323E"/>
    <w:rsid w:val="00F341F4"/>
    <w:rsid w:val="00F34F9D"/>
    <w:rsid w:val="00F35CCE"/>
    <w:rsid w:val="00F5524B"/>
    <w:rsid w:val="00F60538"/>
    <w:rsid w:val="00F61DD2"/>
    <w:rsid w:val="00F66AFF"/>
    <w:rsid w:val="00F71433"/>
    <w:rsid w:val="00F87B04"/>
    <w:rsid w:val="00F9156D"/>
    <w:rsid w:val="00F97C5B"/>
    <w:rsid w:val="00FA12B9"/>
    <w:rsid w:val="00FA3D50"/>
    <w:rsid w:val="00FA417D"/>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6C30"/>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25A0F-F327-41D0-BD85-764B4BD9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11</Pages>
  <Words>4017</Words>
  <Characters>22902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Alexander Ware</cp:lastModifiedBy>
  <cp:revision>27</cp:revision>
  <cp:lastPrinted>2019-08-27T05:42:00Z</cp:lastPrinted>
  <dcterms:created xsi:type="dcterms:W3CDTF">2021-07-04T03:30:00Z</dcterms:created>
  <dcterms:modified xsi:type="dcterms:W3CDTF">2021-07-24T13:03:00Z</dcterms:modified>
</cp:coreProperties>
</file>