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Default="002B2F9F" w:rsidP="00BE65AA">
      <w:pPr>
        <w:pStyle w:val="ListParagraph"/>
        <w:numPr>
          <w:ilvl w:val="0"/>
          <w:numId w:val="4"/>
        </w:numPr>
        <w:ind w:left="426"/>
        <w:jc w:val="both"/>
        <w:rPr>
          <w:rFonts w:ascii="Arial" w:hAnsi="Arial" w:cs="Arial"/>
          <w:sz w:val="22"/>
          <w:szCs w:val="22"/>
          <w:lang w:val="en-GB"/>
        </w:rPr>
      </w:pPr>
      <w:r w:rsidRPr="00EC32FA">
        <w:rPr>
          <w:rFonts w:ascii="Arial" w:hAnsi="Arial" w:cs="Arial"/>
          <w:sz w:val="22"/>
          <w:szCs w:val="22"/>
          <w:highlight w:val="yellow"/>
          <w:lang w:val="en-GB"/>
        </w:rPr>
        <w:t>Adoption of the UNCITRAL Model Law on Cross-Border Insolvency</w:t>
      </w:r>
      <w:r w:rsidR="00E95C42" w:rsidRPr="00EC32FA">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 xml:space="preserve">nhance Singapore’s insolvency and restructuring </w:t>
      </w:r>
      <w:proofErr w:type="gramStart"/>
      <w:r w:rsidR="002B2F9F" w:rsidRPr="00851178">
        <w:rPr>
          <w:rFonts w:ascii="Arial" w:hAnsi="Arial" w:cs="Arial"/>
          <w:sz w:val="22"/>
          <w:szCs w:val="22"/>
          <w:lang w:val="en-GB"/>
        </w:rPr>
        <w:t>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roofErr w:type="gramEnd"/>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0F0B79" w:rsidRDefault="0007291B" w:rsidP="00BE65AA">
      <w:pPr>
        <w:pStyle w:val="ListParagraph"/>
        <w:numPr>
          <w:ilvl w:val="0"/>
          <w:numId w:val="5"/>
        </w:numPr>
        <w:ind w:left="426"/>
        <w:jc w:val="both"/>
        <w:rPr>
          <w:rFonts w:ascii="Arial" w:hAnsi="Arial" w:cs="Arial"/>
          <w:sz w:val="22"/>
          <w:szCs w:val="22"/>
          <w:lang w:val="en-GB"/>
        </w:rPr>
      </w:pPr>
      <w:r w:rsidRPr="00EC32FA">
        <w:rPr>
          <w:rFonts w:ascii="Arial" w:hAnsi="Arial" w:cs="Arial"/>
          <w:sz w:val="22"/>
          <w:szCs w:val="22"/>
          <w:highlight w:val="yellow"/>
          <w:lang w:val="en-GB"/>
        </w:rPr>
        <w:t>A</w:t>
      </w:r>
      <w:r w:rsidR="001A4484" w:rsidRPr="00EC32FA">
        <w:rPr>
          <w:rFonts w:ascii="Arial" w:hAnsi="Arial" w:cs="Arial"/>
          <w:sz w:val="22"/>
          <w:szCs w:val="22"/>
          <w:highlight w:val="yellow"/>
          <w:lang w:val="en-GB"/>
        </w:rPr>
        <w:t>ny of the above</w:t>
      </w:r>
      <w:r w:rsidRPr="000F0B79">
        <w:rPr>
          <w:rFonts w:ascii="Arial" w:hAnsi="Arial" w:cs="Arial"/>
          <w:sz w:val="22"/>
          <w:szCs w:val="22"/>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EC32FA" w:rsidRDefault="00FC32B6" w:rsidP="00BE65AA">
      <w:pPr>
        <w:pStyle w:val="ListParagraph"/>
        <w:numPr>
          <w:ilvl w:val="0"/>
          <w:numId w:val="6"/>
        </w:numPr>
        <w:ind w:left="426"/>
        <w:jc w:val="both"/>
        <w:rPr>
          <w:rFonts w:ascii="Arial" w:hAnsi="Arial" w:cs="Arial"/>
          <w:sz w:val="22"/>
          <w:szCs w:val="22"/>
          <w:highlight w:val="yellow"/>
          <w:lang w:val="en-GB"/>
        </w:rPr>
      </w:pPr>
      <w:r w:rsidRPr="00EC32FA">
        <w:rPr>
          <w:rFonts w:ascii="Arial" w:hAnsi="Arial" w:cs="Arial"/>
          <w:sz w:val="22"/>
          <w:szCs w:val="22"/>
          <w:highlight w:val="yellow"/>
          <w:lang w:val="en-GB"/>
        </w:rPr>
        <w:t>Any of the above</w:t>
      </w:r>
      <w:r w:rsidR="00EA6F96" w:rsidRPr="00EC32FA">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 xml:space="preserve">Over 50% in </w:t>
      </w:r>
      <w:r w:rsidR="00416B96">
        <w:rPr>
          <w:rFonts w:ascii="Arial" w:hAnsi="Arial" w:cs="Arial"/>
          <w:sz w:val="22"/>
          <w:szCs w:val="22"/>
          <w:lang w:val="en-GB"/>
        </w:rPr>
        <w:t>number</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Pr="00121199" w:rsidRDefault="0007291B" w:rsidP="00BE65AA">
      <w:pPr>
        <w:pStyle w:val="ListParagraph"/>
        <w:numPr>
          <w:ilvl w:val="0"/>
          <w:numId w:val="7"/>
        </w:numPr>
        <w:ind w:left="426"/>
        <w:jc w:val="both"/>
        <w:rPr>
          <w:rFonts w:ascii="Arial" w:hAnsi="Arial" w:cs="Arial"/>
          <w:sz w:val="22"/>
          <w:szCs w:val="22"/>
          <w:highlight w:val="yellow"/>
          <w:lang w:val="en-GB"/>
        </w:rPr>
      </w:pPr>
      <w:r w:rsidRPr="00121199">
        <w:rPr>
          <w:rFonts w:ascii="Arial" w:hAnsi="Arial" w:cs="Arial"/>
          <w:sz w:val="22"/>
          <w:szCs w:val="22"/>
          <w:highlight w:val="yellow"/>
          <w:lang w:val="en-GB"/>
        </w:rPr>
        <w:t xml:space="preserve">50% or more in </w:t>
      </w:r>
      <w:r w:rsidR="00416B96" w:rsidRPr="00121199">
        <w:rPr>
          <w:rFonts w:ascii="Arial" w:hAnsi="Arial" w:cs="Arial"/>
          <w:sz w:val="22"/>
          <w:szCs w:val="22"/>
          <w:highlight w:val="yellow"/>
          <w:lang w:val="en-GB"/>
        </w:rPr>
        <w:t>number</w:t>
      </w:r>
      <w:r w:rsidR="00F50041" w:rsidRPr="00121199">
        <w:rPr>
          <w:rFonts w:ascii="Arial" w:hAnsi="Arial" w:cs="Arial"/>
          <w:sz w:val="22"/>
          <w:szCs w:val="22"/>
          <w:highlight w:val="yellow"/>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27247F" w:rsidRDefault="00C041E8" w:rsidP="00BE65AA">
      <w:pPr>
        <w:pStyle w:val="ListParagraph"/>
        <w:numPr>
          <w:ilvl w:val="0"/>
          <w:numId w:val="8"/>
        </w:numPr>
        <w:ind w:left="426"/>
        <w:jc w:val="both"/>
        <w:rPr>
          <w:rFonts w:ascii="Arial" w:hAnsi="Arial" w:cs="Arial"/>
          <w:sz w:val="22"/>
          <w:szCs w:val="22"/>
          <w:highlight w:val="yellow"/>
          <w:lang w:val="en-GB"/>
        </w:rPr>
      </w:pPr>
      <w:r w:rsidRPr="0027247F">
        <w:rPr>
          <w:rFonts w:ascii="Arial" w:hAnsi="Arial" w:cs="Arial"/>
          <w:sz w:val="22"/>
          <w:szCs w:val="22"/>
          <w:highlight w:val="yellow"/>
          <w:lang w:val="en-GB"/>
        </w:rPr>
        <w:t>The automatic moratorium can be obtained without filing an application to Court</w:t>
      </w:r>
      <w:r w:rsidR="003E22E2" w:rsidRPr="0027247F">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Default="00A92054" w:rsidP="00BE65AA">
      <w:pPr>
        <w:pStyle w:val="ListParagraph"/>
        <w:numPr>
          <w:ilvl w:val="0"/>
          <w:numId w:val="9"/>
        </w:numPr>
        <w:ind w:left="426"/>
        <w:jc w:val="both"/>
        <w:rPr>
          <w:rFonts w:ascii="Arial" w:hAnsi="Arial" w:cs="Arial"/>
          <w:sz w:val="22"/>
          <w:szCs w:val="22"/>
          <w:lang w:val="en-GB"/>
        </w:rPr>
      </w:pPr>
      <w:r w:rsidRPr="00121199">
        <w:rPr>
          <w:rFonts w:ascii="Arial" w:hAnsi="Arial" w:cs="Arial"/>
          <w:sz w:val="22"/>
          <w:szCs w:val="22"/>
          <w:highlight w:val="yellow"/>
          <w:lang w:val="en-GB"/>
        </w:rPr>
        <w:t>A receiver is appointed over the assets of the company</w:t>
      </w:r>
      <w:r w:rsidR="00B50EA0" w:rsidRPr="00121199">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Default="0007291B" w:rsidP="00BE65AA">
      <w:pPr>
        <w:pStyle w:val="ListParagraph"/>
        <w:numPr>
          <w:ilvl w:val="0"/>
          <w:numId w:val="10"/>
        </w:numPr>
        <w:ind w:left="426"/>
        <w:jc w:val="both"/>
        <w:rPr>
          <w:rFonts w:ascii="Arial" w:hAnsi="Arial" w:cs="Arial"/>
          <w:sz w:val="22"/>
          <w:szCs w:val="22"/>
          <w:lang w:val="en-GB"/>
        </w:rPr>
      </w:pPr>
      <w:r w:rsidRPr="00121199">
        <w:rPr>
          <w:rFonts w:ascii="Arial" w:hAnsi="Arial" w:cs="Arial"/>
          <w:sz w:val="22"/>
          <w:szCs w:val="22"/>
          <w:highlight w:val="yellow"/>
          <w:lang w:val="en-GB"/>
        </w:rPr>
        <w:t>P</w:t>
      </w:r>
      <w:r w:rsidR="001A4484" w:rsidRPr="00121199">
        <w:rPr>
          <w:rFonts w:ascii="Arial" w:hAnsi="Arial" w:cs="Arial"/>
          <w:sz w:val="22"/>
          <w:szCs w:val="22"/>
          <w:highlight w:val="yellow"/>
          <w:lang w:val="en-GB"/>
        </w:rPr>
        <w:t>reserving all or part of the company</w:t>
      </w:r>
      <w:r w:rsidR="004D7749" w:rsidRPr="00121199">
        <w:rPr>
          <w:rFonts w:ascii="Arial" w:hAnsi="Arial" w:cs="Arial"/>
          <w:sz w:val="22"/>
          <w:szCs w:val="22"/>
          <w:highlight w:val="yellow"/>
          <w:lang w:val="en-GB"/>
        </w:rPr>
        <w:t>’</w:t>
      </w:r>
      <w:r w:rsidR="001A4484" w:rsidRPr="00121199">
        <w:rPr>
          <w:rFonts w:ascii="Arial" w:hAnsi="Arial" w:cs="Arial"/>
          <w:sz w:val="22"/>
          <w:szCs w:val="22"/>
          <w:highlight w:val="yellow"/>
          <w:lang w:val="en-GB"/>
        </w:rPr>
        <w:t>s business as a going concern</w:t>
      </w:r>
      <w:r w:rsidRPr="00121199">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w:t>
      </w:r>
      <w:proofErr w:type="gramStart"/>
      <w:r w:rsidR="000C2AB6">
        <w:rPr>
          <w:rFonts w:ascii="Arial" w:hAnsi="Arial" w:cs="Arial"/>
          <w:sz w:val="22"/>
          <w:szCs w:val="22"/>
          <w:lang w:val="en-GB"/>
        </w:rPr>
        <w:t>Singapore?</w:t>
      </w:r>
      <w:r w:rsidR="0007291B">
        <w:rPr>
          <w:rFonts w:ascii="Arial" w:hAnsi="Arial" w:cs="Arial"/>
          <w:sz w:val="22"/>
          <w:szCs w:val="22"/>
          <w:lang w:val="en-GB"/>
        </w:rPr>
        <w:t>:</w:t>
      </w:r>
      <w:proofErr w:type="gramEnd"/>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C94620" w:rsidRDefault="006F2457" w:rsidP="00BE65AA">
      <w:pPr>
        <w:pStyle w:val="ListParagraph"/>
        <w:numPr>
          <w:ilvl w:val="0"/>
          <w:numId w:val="11"/>
        </w:numPr>
        <w:ind w:left="426"/>
        <w:jc w:val="both"/>
        <w:rPr>
          <w:rFonts w:ascii="Arial" w:hAnsi="Arial" w:cs="Arial"/>
          <w:sz w:val="22"/>
          <w:szCs w:val="22"/>
          <w:highlight w:val="yellow"/>
          <w:lang w:val="en-GB"/>
        </w:rPr>
      </w:pPr>
      <w:r w:rsidRPr="00C94620">
        <w:rPr>
          <w:rFonts w:ascii="Arial" w:hAnsi="Arial" w:cs="Arial"/>
          <w:sz w:val="22"/>
          <w:szCs w:val="22"/>
          <w:highlight w:val="yellow"/>
          <w:lang w:val="en-GB"/>
        </w:rPr>
        <w:t>Receivership</w:t>
      </w:r>
      <w:r w:rsidR="000C2AB6" w:rsidRPr="00C94620">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442A83" w:rsidRDefault="00C041E8" w:rsidP="00BE65AA">
      <w:pPr>
        <w:pStyle w:val="ListParagraph"/>
        <w:numPr>
          <w:ilvl w:val="0"/>
          <w:numId w:val="12"/>
        </w:numPr>
        <w:ind w:left="426"/>
        <w:jc w:val="both"/>
        <w:rPr>
          <w:rFonts w:ascii="Arial" w:hAnsi="Arial" w:cs="Arial"/>
          <w:sz w:val="22"/>
          <w:szCs w:val="22"/>
          <w:highlight w:val="yellow"/>
          <w:lang w:val="en-GB"/>
        </w:rPr>
      </w:pPr>
      <w:r w:rsidRPr="00442A83">
        <w:rPr>
          <w:rFonts w:ascii="Arial" w:hAnsi="Arial" w:cs="Arial"/>
          <w:sz w:val="22"/>
          <w:szCs w:val="22"/>
          <w:highlight w:val="yellow"/>
          <w:lang w:val="en-GB"/>
        </w:rPr>
        <w:t>Brunei</w:t>
      </w:r>
      <w:r w:rsidR="00361BAA" w:rsidRPr="00442A83">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442A83" w:rsidRDefault="0007291B" w:rsidP="00BE65AA">
      <w:pPr>
        <w:pStyle w:val="ListParagraph"/>
        <w:numPr>
          <w:ilvl w:val="0"/>
          <w:numId w:val="13"/>
        </w:numPr>
        <w:ind w:left="426"/>
        <w:jc w:val="both"/>
        <w:rPr>
          <w:rFonts w:ascii="Arial" w:hAnsi="Arial" w:cs="Arial"/>
          <w:sz w:val="22"/>
          <w:szCs w:val="22"/>
          <w:highlight w:val="yellow"/>
          <w:lang w:val="en-GB"/>
        </w:rPr>
      </w:pPr>
      <w:r w:rsidRPr="00442A83">
        <w:rPr>
          <w:rFonts w:ascii="Arial" w:hAnsi="Arial" w:cs="Arial"/>
          <w:sz w:val="22"/>
          <w:szCs w:val="22"/>
          <w:highlight w:val="yellow"/>
          <w:lang w:val="en-GB"/>
        </w:rPr>
        <w:t xml:space="preserve">The Court held that the omission of the word </w:t>
      </w:r>
      <w:r w:rsidR="004D7749" w:rsidRPr="00442A83">
        <w:rPr>
          <w:rFonts w:ascii="Arial" w:hAnsi="Arial" w:cs="Arial"/>
          <w:sz w:val="22"/>
          <w:szCs w:val="22"/>
          <w:highlight w:val="yellow"/>
          <w:lang w:val="en-GB"/>
        </w:rPr>
        <w:t>“</w:t>
      </w:r>
      <w:r w:rsidRPr="00442A83">
        <w:rPr>
          <w:rFonts w:ascii="Arial" w:hAnsi="Arial" w:cs="Arial"/>
          <w:sz w:val="22"/>
          <w:szCs w:val="22"/>
          <w:highlight w:val="yellow"/>
          <w:lang w:val="en-GB"/>
        </w:rPr>
        <w:t>manifestly</w:t>
      </w:r>
      <w:r w:rsidR="004D7749" w:rsidRPr="00442A83">
        <w:rPr>
          <w:rFonts w:ascii="Arial" w:hAnsi="Arial" w:cs="Arial"/>
          <w:sz w:val="22"/>
          <w:szCs w:val="22"/>
          <w:highlight w:val="yellow"/>
          <w:lang w:val="en-GB"/>
        </w:rPr>
        <w:t>”</w:t>
      </w:r>
      <w:r w:rsidRPr="00442A83">
        <w:rPr>
          <w:rFonts w:ascii="Arial" w:hAnsi="Arial" w:cs="Arial"/>
          <w:sz w:val="22"/>
          <w:szCs w:val="22"/>
          <w:highlight w:val="yellow"/>
          <w:lang w:val="en-GB"/>
        </w:rPr>
        <w:t xml:space="preserve"> from Article 6 of the Singapore Model Law meant that the standard of exclusion on public policy grounds was </w:t>
      </w:r>
      <w:r w:rsidR="00416B96" w:rsidRPr="00442A83">
        <w:rPr>
          <w:rFonts w:ascii="Arial" w:hAnsi="Arial" w:cs="Arial"/>
          <w:sz w:val="22"/>
          <w:szCs w:val="22"/>
          <w:highlight w:val="yellow"/>
          <w:lang w:val="en-GB"/>
        </w:rPr>
        <w:t>higher</w:t>
      </w:r>
      <w:r w:rsidRPr="00442A83">
        <w:rPr>
          <w:rFonts w:ascii="Arial" w:hAnsi="Arial" w:cs="Arial"/>
          <w:sz w:val="22"/>
          <w:szCs w:val="22"/>
          <w:highlight w:val="yellow"/>
          <w:lang w:val="en-GB"/>
        </w:rPr>
        <w:t xml:space="preserve"> than in jurisdictions where the Model Law had been enacted unmodified</w:t>
      </w:r>
      <w:r w:rsidR="00726B93" w:rsidRPr="00442A83">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5CB59DF4" w14:textId="407E401D" w:rsidR="009B07AD" w:rsidRDefault="00FC4062" w:rsidP="00FC406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Undervalue transactions in bankruptcy:  A transaction will be deemed to be ‘undervalue’ where the transaction was made as a gift, or for no consideration (i.e. no value); or </w:t>
      </w:r>
      <w:proofErr w:type="gramStart"/>
      <w:r>
        <w:rPr>
          <w:rFonts w:ascii="Arial" w:hAnsi="Arial" w:cs="Arial"/>
          <w:color w:val="7B7B7B" w:themeColor="accent3" w:themeShade="BF"/>
          <w:sz w:val="22"/>
          <w:szCs w:val="22"/>
          <w:lang w:val="en-GB"/>
        </w:rPr>
        <w:t>where  the</w:t>
      </w:r>
      <w:proofErr w:type="gramEnd"/>
      <w:r>
        <w:rPr>
          <w:rFonts w:ascii="Arial" w:hAnsi="Arial" w:cs="Arial"/>
          <w:color w:val="7B7B7B" w:themeColor="accent3" w:themeShade="BF"/>
          <w:sz w:val="22"/>
          <w:szCs w:val="22"/>
          <w:lang w:val="en-GB"/>
        </w:rPr>
        <w:t xml:space="preserve"> only consideration for that transaction is marriage; or where the consideration for the transaction is significantly less (in dollar terms) than the consideration given for the original purchase price paid. </w:t>
      </w:r>
    </w:p>
    <w:p w14:paraId="57F596EE" w14:textId="3E12E22F" w:rsidR="00FC4062" w:rsidRDefault="00FC4062" w:rsidP="00FC406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An Unfair Preference in bankruptcy arises where the recipient is one of the bankrupt’s creditors; the effect of the transfer places that person in a better position tha</w:t>
      </w:r>
      <w:r w:rsidR="00D272E5">
        <w:rPr>
          <w:rFonts w:ascii="Arial" w:hAnsi="Arial" w:cs="Arial"/>
          <w:color w:val="7B7B7B" w:themeColor="accent3" w:themeShade="BF"/>
          <w:sz w:val="22"/>
          <w:szCs w:val="22"/>
          <w:lang w:val="en-GB"/>
        </w:rPr>
        <w:t>n that they ordinarily would have had</w:t>
      </w:r>
      <w:r>
        <w:rPr>
          <w:rFonts w:ascii="Arial" w:hAnsi="Arial" w:cs="Arial"/>
          <w:color w:val="7B7B7B" w:themeColor="accent3" w:themeShade="BF"/>
          <w:sz w:val="22"/>
          <w:szCs w:val="22"/>
          <w:lang w:val="en-GB"/>
        </w:rPr>
        <w:t xml:space="preserve"> subject to the </w:t>
      </w:r>
      <w:proofErr w:type="gramStart"/>
      <w:r>
        <w:rPr>
          <w:rFonts w:ascii="Arial" w:hAnsi="Arial" w:cs="Arial"/>
          <w:color w:val="7B7B7B" w:themeColor="accent3" w:themeShade="BF"/>
          <w:sz w:val="22"/>
          <w:szCs w:val="22"/>
          <w:lang w:val="en-GB"/>
        </w:rPr>
        <w:t>bankrupts</w:t>
      </w:r>
      <w:proofErr w:type="gramEnd"/>
      <w:r>
        <w:rPr>
          <w:rFonts w:ascii="Arial" w:hAnsi="Arial" w:cs="Arial"/>
          <w:color w:val="7B7B7B" w:themeColor="accent3" w:themeShade="BF"/>
          <w:sz w:val="22"/>
          <w:szCs w:val="22"/>
          <w:lang w:val="en-GB"/>
        </w:rPr>
        <w:t xml:space="preserve"> bankruptcy; and in the giving of the transaction by the bankrupt, the intention of the transaction was to allow for the recipient to be placed in </w:t>
      </w:r>
      <w:r w:rsidR="00D272E5">
        <w:rPr>
          <w:rFonts w:ascii="Arial" w:hAnsi="Arial" w:cs="Arial"/>
          <w:color w:val="7B7B7B" w:themeColor="accent3" w:themeShade="BF"/>
          <w:sz w:val="22"/>
          <w:szCs w:val="22"/>
          <w:lang w:val="en-GB"/>
        </w:rPr>
        <w:t xml:space="preserve">a better position compared on the bankruptcy of the bankrupt.  </w:t>
      </w:r>
    </w:p>
    <w:p w14:paraId="7CF8DF52" w14:textId="77777777" w:rsidR="00FC4062" w:rsidRDefault="00FC4062" w:rsidP="00FC4062">
      <w:pPr>
        <w:jc w:val="both"/>
        <w:rPr>
          <w:rFonts w:ascii="Arial" w:hAnsi="Arial" w:cs="Arial"/>
          <w:color w:val="7B7B7B" w:themeColor="accent3" w:themeShade="BF"/>
          <w:sz w:val="22"/>
          <w:szCs w:val="22"/>
          <w:lang w:val="en-GB"/>
        </w:rPr>
      </w:pPr>
    </w:p>
    <w:p w14:paraId="5791A1DA" w14:textId="152CECD8" w:rsidR="00020557" w:rsidRDefault="00D272E5" w:rsidP="002A37BB">
      <w:pPr>
        <w:jc w:val="both"/>
        <w:rPr>
          <w:rFonts w:ascii="Arial" w:hAnsi="Arial" w:cs="Arial"/>
          <w:sz w:val="22"/>
          <w:szCs w:val="22"/>
        </w:rPr>
      </w:pPr>
      <w:r>
        <w:rPr>
          <w:rFonts w:ascii="Arial" w:hAnsi="Arial" w:cs="Arial"/>
          <w:color w:val="7B7B7B" w:themeColor="accent3" w:themeShade="BF"/>
          <w:sz w:val="22"/>
          <w:szCs w:val="22"/>
          <w:lang w:val="en-GB"/>
        </w:rPr>
        <w:t xml:space="preserve">The only available defence to the above transactions is where the person has either received the property of the bankrupt from a person other than the individual bankrupt, or the transaction was done in good faith and for value, including in circumstances where the individual may not have been aware of the potential bankruptcy.    </w:t>
      </w:r>
    </w:p>
    <w:p w14:paraId="6E9EE340" w14:textId="6080F174" w:rsidR="004F5DE9" w:rsidRDefault="004F5DE9" w:rsidP="002A37BB">
      <w:pPr>
        <w:jc w:val="both"/>
        <w:rPr>
          <w:rFonts w:ascii="Arial" w:hAnsi="Arial" w:cs="Arial"/>
          <w:sz w:val="22"/>
          <w:szCs w:val="22"/>
        </w:rPr>
      </w:pPr>
    </w:p>
    <w:p w14:paraId="4DBBE766" w14:textId="77777777"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63EBEC0C" w14:textId="576E390B" w:rsidR="009B07AD" w:rsidRDefault="00425016" w:rsidP="0042501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overarching objective of JIN Guidelines is to improve the efficiency and effectiveness of cross-border proceedings relating to insolvency, through the continued enhancement of the coordination and cooperation amongst the relevant Courts where such proceedings are being conducted. The JIN Guidelines operate to improve the interests of all stakeholders, including in the realization, preservation and identification of the assets of the debtor.</w:t>
      </w:r>
      <w:r>
        <w:rPr>
          <w:rStyle w:val="FootnoteReference"/>
          <w:rFonts w:ascii="Arial" w:hAnsi="Arial" w:cs="Arial"/>
          <w:color w:val="7B7B7B" w:themeColor="accent3" w:themeShade="BF"/>
          <w:sz w:val="22"/>
          <w:szCs w:val="22"/>
        </w:rPr>
        <w:footnoteReference w:id="1"/>
      </w:r>
      <w:r>
        <w:rPr>
          <w:rFonts w:ascii="Arial" w:hAnsi="Arial" w:cs="Arial"/>
          <w:color w:val="7B7B7B" w:themeColor="accent3" w:themeShade="BF"/>
          <w:sz w:val="22"/>
          <w:szCs w:val="22"/>
        </w:rPr>
        <w:t xml:space="preserve">   </w:t>
      </w:r>
    </w:p>
    <w:p w14:paraId="7BF74EE6" w14:textId="599ABB2C" w:rsidR="00425016" w:rsidRDefault="00425016" w:rsidP="002A37BB">
      <w:pPr>
        <w:ind w:left="720" w:hanging="720"/>
        <w:jc w:val="both"/>
        <w:rPr>
          <w:rFonts w:ascii="Arial" w:hAnsi="Arial" w:cs="Arial"/>
          <w:color w:val="7B7B7B" w:themeColor="accent3" w:themeShade="BF"/>
          <w:sz w:val="22"/>
          <w:szCs w:val="22"/>
        </w:rPr>
      </w:pPr>
    </w:p>
    <w:p w14:paraId="200B7D4C" w14:textId="34395E11" w:rsidR="00425016" w:rsidRPr="002A37BB" w:rsidRDefault="00425016" w:rsidP="00425016">
      <w:pPr>
        <w:jc w:val="both"/>
        <w:rPr>
          <w:rFonts w:ascii="Arial" w:hAnsi="Arial" w:cs="Arial"/>
          <w:sz w:val="22"/>
          <w:szCs w:val="22"/>
        </w:rPr>
      </w:pPr>
      <w:r>
        <w:rPr>
          <w:rFonts w:ascii="Arial" w:hAnsi="Arial" w:cs="Arial"/>
          <w:color w:val="7B7B7B" w:themeColor="accent3" w:themeShade="BF"/>
          <w:sz w:val="22"/>
          <w:szCs w:val="22"/>
        </w:rPr>
        <w:t>The adoption of the JIN Guidelines is significant within Singapore, as this is the first time that Singapore has adopted any framework relating to judicial communication and co-operation in relation to bankruptcy matters. This is a significant step forward for the jurisdiction in becoming a financial and legal hub.</w:t>
      </w:r>
      <w:r>
        <w:rPr>
          <w:rStyle w:val="FootnoteReference"/>
          <w:rFonts w:ascii="Arial" w:hAnsi="Arial" w:cs="Arial"/>
          <w:color w:val="7B7B7B" w:themeColor="accent3" w:themeShade="BF"/>
          <w:sz w:val="22"/>
          <w:szCs w:val="22"/>
        </w:rPr>
        <w:footnoteReference w:id="2"/>
      </w:r>
      <w:r>
        <w:rPr>
          <w:rFonts w:ascii="Arial" w:hAnsi="Arial" w:cs="Arial"/>
          <w:color w:val="7B7B7B" w:themeColor="accent3" w:themeShade="BF"/>
          <w:sz w:val="22"/>
          <w:szCs w:val="22"/>
        </w:rPr>
        <w:t xml:space="preserve">   </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 xml:space="preserve">How can a bankrupt </w:t>
      </w:r>
      <w:proofErr w:type="gramStart"/>
      <w:r>
        <w:rPr>
          <w:rFonts w:ascii="Arial" w:hAnsi="Arial" w:cs="Arial"/>
          <w:sz w:val="22"/>
          <w:szCs w:val="22"/>
          <w:lang w:val="en-GB"/>
        </w:rPr>
        <w:t>obtain</w:t>
      </w:r>
      <w:proofErr w:type="gramEnd"/>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59456462" w14:textId="1259B8EB" w:rsidR="00884A57" w:rsidRPr="0010454F" w:rsidRDefault="00884A57" w:rsidP="00884A57">
      <w:p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t>A bankrupt can obtain an annulment through the Court, if the bankrupt can demonstrate to the Court that one of the following applies to them:</w:t>
      </w:r>
    </w:p>
    <w:p w14:paraId="1717C0D4" w14:textId="72AA093A" w:rsidR="00884A57" w:rsidRPr="0010454F" w:rsidRDefault="00884A57" w:rsidP="0010454F">
      <w:pPr>
        <w:pStyle w:val="ListParagraph"/>
        <w:numPr>
          <w:ilvl w:val="0"/>
          <w:numId w:val="24"/>
        </w:num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t>debts and expenses of the bankruptcy have been paid or secured to the Court’s satisfaction;</w:t>
      </w:r>
      <w:r w:rsidRPr="0010454F">
        <w:rPr>
          <w:rFonts w:ascii="Arial" w:hAnsi="Arial" w:cs="Arial"/>
          <w:color w:val="7B7B7B" w:themeColor="accent3" w:themeShade="BF"/>
          <w:sz w:val="22"/>
          <w:szCs w:val="22"/>
          <w:vertAlign w:val="superscript"/>
          <w:lang w:val="en-GB"/>
        </w:rPr>
        <w:footnoteReference w:id="3"/>
      </w:r>
      <w:r w:rsidRPr="0010454F">
        <w:rPr>
          <w:rFonts w:ascii="Arial" w:hAnsi="Arial" w:cs="Arial"/>
          <w:color w:val="7B7B7B" w:themeColor="accent3" w:themeShade="BF"/>
          <w:sz w:val="22"/>
          <w:szCs w:val="22"/>
          <w:lang w:val="en-GB"/>
        </w:rPr>
        <w:t xml:space="preserve"> or</w:t>
      </w:r>
    </w:p>
    <w:p w14:paraId="6242A2BF" w14:textId="481F6E54" w:rsidR="00884A57" w:rsidRPr="0010454F" w:rsidRDefault="00884A57" w:rsidP="0010454F">
      <w:pPr>
        <w:pStyle w:val="ListParagraph"/>
        <w:numPr>
          <w:ilvl w:val="0"/>
          <w:numId w:val="24"/>
        </w:num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t>a distribution of the estate of the estate will take place in Malaysia</w:t>
      </w:r>
      <w:r w:rsidRPr="0010454F">
        <w:rPr>
          <w:rFonts w:ascii="Arial" w:hAnsi="Arial" w:cs="Arial"/>
          <w:color w:val="7B7B7B" w:themeColor="accent3" w:themeShade="BF"/>
          <w:sz w:val="22"/>
          <w:szCs w:val="22"/>
          <w:vertAlign w:val="superscript"/>
          <w:lang w:val="en-GB"/>
        </w:rPr>
        <w:footnoteReference w:id="4"/>
      </w:r>
      <w:r w:rsidRPr="0010454F">
        <w:rPr>
          <w:rFonts w:ascii="Arial" w:hAnsi="Arial" w:cs="Arial"/>
          <w:color w:val="7B7B7B" w:themeColor="accent3" w:themeShade="BF"/>
          <w:sz w:val="22"/>
          <w:szCs w:val="22"/>
          <w:lang w:val="en-GB"/>
        </w:rPr>
        <w:t xml:space="preserve"> or majority of creditors are residents in Malaysia;</w:t>
      </w:r>
      <w:r w:rsidRPr="0010454F">
        <w:rPr>
          <w:rFonts w:ascii="Arial" w:hAnsi="Arial" w:cs="Arial"/>
          <w:color w:val="7B7B7B" w:themeColor="accent3" w:themeShade="BF"/>
          <w:sz w:val="22"/>
          <w:szCs w:val="22"/>
          <w:vertAlign w:val="superscript"/>
          <w:lang w:val="en-GB"/>
        </w:rPr>
        <w:footnoteReference w:id="5"/>
      </w:r>
      <w:r w:rsidRPr="0010454F">
        <w:rPr>
          <w:rFonts w:ascii="Arial" w:hAnsi="Arial" w:cs="Arial"/>
          <w:color w:val="7B7B7B" w:themeColor="accent3" w:themeShade="BF"/>
          <w:sz w:val="22"/>
          <w:szCs w:val="22"/>
          <w:lang w:val="en-GB"/>
        </w:rPr>
        <w:t xml:space="preserve"> or </w:t>
      </w:r>
    </w:p>
    <w:p w14:paraId="2F640DC9" w14:textId="34D16C09" w:rsidR="00884A57" w:rsidRPr="0010454F" w:rsidRDefault="00884A57" w:rsidP="0010454F">
      <w:pPr>
        <w:pStyle w:val="ListParagraph"/>
        <w:numPr>
          <w:ilvl w:val="0"/>
          <w:numId w:val="24"/>
        </w:num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lastRenderedPageBreak/>
        <w:t>the order ought not to have been made on grounds that existed at the time that the orders were made.</w:t>
      </w:r>
      <w:r w:rsidRPr="0010454F">
        <w:rPr>
          <w:rFonts w:ascii="Arial" w:hAnsi="Arial" w:cs="Arial"/>
          <w:color w:val="7B7B7B" w:themeColor="accent3" w:themeShade="BF"/>
          <w:sz w:val="22"/>
          <w:szCs w:val="22"/>
          <w:vertAlign w:val="superscript"/>
          <w:lang w:val="en-GB"/>
        </w:rPr>
        <w:footnoteReference w:id="6"/>
      </w:r>
      <w:r w:rsidRPr="0010454F">
        <w:rPr>
          <w:rFonts w:ascii="Arial" w:hAnsi="Arial" w:cs="Arial"/>
          <w:color w:val="7B7B7B" w:themeColor="accent3" w:themeShade="BF"/>
          <w:sz w:val="22"/>
          <w:szCs w:val="22"/>
          <w:lang w:val="en-GB"/>
        </w:rPr>
        <w:t xml:space="preserve">  </w:t>
      </w:r>
    </w:p>
    <w:p w14:paraId="0F85A4BD" w14:textId="77777777" w:rsidR="0045683E" w:rsidRPr="0010454F" w:rsidRDefault="0045683E" w:rsidP="002A37BB">
      <w:pPr>
        <w:jc w:val="both"/>
        <w:rPr>
          <w:rFonts w:ascii="Arial" w:hAnsi="Arial" w:cs="Arial"/>
          <w:color w:val="7B7B7B" w:themeColor="accent3" w:themeShade="BF"/>
          <w:sz w:val="22"/>
          <w:szCs w:val="22"/>
          <w:lang w:val="en-GB"/>
        </w:rPr>
      </w:pPr>
    </w:p>
    <w:p w14:paraId="4E2C1CA0" w14:textId="5870DB44" w:rsidR="005C747D" w:rsidRPr="0010454F" w:rsidRDefault="005C747D" w:rsidP="002A37BB">
      <w:p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t>An annulment may also take place where the Official Assignee may issue a certificate to annul the bankruptcy certificate in circumstances where all debts and expenses related to the bankruptcy are paid.</w:t>
      </w:r>
      <w:r w:rsidRPr="0010454F">
        <w:rPr>
          <w:color w:val="7B7B7B" w:themeColor="accent3" w:themeShade="BF"/>
          <w:vertAlign w:val="superscript"/>
        </w:rPr>
        <w:footnoteReference w:id="7"/>
      </w:r>
      <w:r w:rsidRPr="0010454F">
        <w:rPr>
          <w:rFonts w:ascii="Arial" w:hAnsi="Arial" w:cs="Arial"/>
          <w:color w:val="7B7B7B" w:themeColor="accent3" w:themeShade="BF"/>
          <w:sz w:val="22"/>
          <w:szCs w:val="22"/>
          <w:lang w:val="en-GB"/>
        </w:rPr>
        <w:t xml:space="preserve">  </w:t>
      </w:r>
    </w:p>
    <w:p w14:paraId="4301C61C" w14:textId="77777777" w:rsidR="005C747D" w:rsidRPr="0010454F" w:rsidRDefault="005C747D" w:rsidP="002A37BB">
      <w:pPr>
        <w:jc w:val="both"/>
        <w:rPr>
          <w:rFonts w:ascii="Arial" w:hAnsi="Arial" w:cs="Arial"/>
          <w:color w:val="7B7B7B" w:themeColor="accent3" w:themeShade="BF"/>
          <w:sz w:val="22"/>
          <w:szCs w:val="22"/>
          <w:lang w:val="en-GB"/>
        </w:rPr>
      </w:pPr>
    </w:p>
    <w:p w14:paraId="150DB26A" w14:textId="07E1B679" w:rsidR="00C550C8" w:rsidRPr="0010454F" w:rsidRDefault="005C747D" w:rsidP="002A37BB">
      <w:p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t>A discharge may take place either by Order of the Court, or by the issuing of a certificate by the Official Assignee.  For a discharge by the Court to occur, the Official Assignee, the bankrupt or any other person with an interest may make the application to the Court.</w:t>
      </w:r>
      <w:r w:rsidRPr="0010454F">
        <w:rPr>
          <w:color w:val="7B7B7B" w:themeColor="accent3" w:themeShade="BF"/>
          <w:vertAlign w:val="superscript"/>
        </w:rPr>
        <w:footnoteReference w:id="8"/>
      </w:r>
      <w:r w:rsidRPr="0010454F">
        <w:rPr>
          <w:rFonts w:ascii="Arial" w:hAnsi="Arial" w:cs="Arial"/>
          <w:color w:val="7B7B7B" w:themeColor="accent3" w:themeShade="BF"/>
          <w:sz w:val="22"/>
          <w:szCs w:val="22"/>
          <w:lang w:val="en-GB"/>
        </w:rPr>
        <w:t xml:space="preserve">  Otherwise, the Official Assignee may in their discretion issue a certificate that discharges the bankrupt from bankruptcy.</w:t>
      </w:r>
      <w:r w:rsidRPr="0010454F">
        <w:rPr>
          <w:color w:val="7B7B7B" w:themeColor="accent3" w:themeShade="BF"/>
          <w:vertAlign w:val="superscript"/>
        </w:rPr>
        <w:footnoteReference w:id="9"/>
      </w:r>
      <w:r w:rsidRPr="0010454F">
        <w:rPr>
          <w:rFonts w:ascii="Arial" w:hAnsi="Arial" w:cs="Arial"/>
          <w:color w:val="7B7B7B" w:themeColor="accent3" w:themeShade="BF"/>
          <w:sz w:val="22"/>
          <w:szCs w:val="22"/>
          <w:lang w:val="en-GB"/>
        </w:rPr>
        <w:t xml:space="preserve">  A creditor also has the right to object to the issuing a certificate under s395 in certain circumstances.</w:t>
      </w:r>
      <w:r w:rsidRPr="0010454F">
        <w:rPr>
          <w:color w:val="7B7B7B" w:themeColor="accent3" w:themeShade="BF"/>
          <w:vertAlign w:val="superscript"/>
        </w:rPr>
        <w:footnoteReference w:id="10"/>
      </w:r>
      <w:r w:rsidRPr="0010454F">
        <w:rPr>
          <w:rFonts w:ascii="Arial" w:hAnsi="Arial" w:cs="Arial"/>
          <w:color w:val="7B7B7B" w:themeColor="accent3" w:themeShade="BF"/>
          <w:sz w:val="22"/>
          <w:szCs w:val="22"/>
          <w:lang w:val="en-GB"/>
        </w:rPr>
        <w:t xml:space="preserve"> </w:t>
      </w:r>
    </w:p>
    <w:p w14:paraId="0D366E3A" w14:textId="77777777" w:rsidR="005C747D" w:rsidRPr="002A37BB" w:rsidRDefault="005C747D"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17DC7528" w:rsidR="00241FA3" w:rsidRDefault="00241FA3" w:rsidP="002A37BB">
      <w:pPr>
        <w:jc w:val="both"/>
        <w:rPr>
          <w:rFonts w:ascii="Arial" w:hAnsi="Arial" w:cs="Arial"/>
          <w:sz w:val="22"/>
          <w:szCs w:val="22"/>
        </w:rPr>
      </w:pPr>
    </w:p>
    <w:p w14:paraId="444EA353" w14:textId="4FAD98FC" w:rsidR="000D101F" w:rsidRPr="0010454F" w:rsidRDefault="000D101F" w:rsidP="002A37BB">
      <w:p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t xml:space="preserve">The concept of ipso facto clauses and wrongful trading </w:t>
      </w:r>
      <w:r w:rsidR="00AC2C04" w:rsidRPr="0010454F">
        <w:rPr>
          <w:rFonts w:ascii="Arial" w:hAnsi="Arial" w:cs="Arial"/>
          <w:color w:val="7B7B7B" w:themeColor="accent3" w:themeShade="BF"/>
          <w:sz w:val="22"/>
          <w:szCs w:val="22"/>
          <w:lang w:val="en-GB"/>
        </w:rPr>
        <w:t xml:space="preserve">are relatively new concepts relating to insolvency within Singapore, and are new provisions within the </w:t>
      </w:r>
      <w:r w:rsidR="005C1A62" w:rsidRPr="0010454F">
        <w:rPr>
          <w:rFonts w:ascii="Arial" w:hAnsi="Arial" w:cs="Arial"/>
          <w:color w:val="7B7B7B" w:themeColor="accent3" w:themeShade="BF"/>
          <w:sz w:val="22"/>
          <w:szCs w:val="22"/>
          <w:lang w:val="en-GB"/>
        </w:rPr>
        <w:t xml:space="preserve">Insolvency, Restructuring and Dissolution Act (IRDA) which came into effect on 30 July 2020. Both ipso facto clauses and wrongful trading will be discussed in the below.  </w:t>
      </w:r>
    </w:p>
    <w:p w14:paraId="736375BD" w14:textId="49A8B751" w:rsidR="005C1A62" w:rsidRPr="0010454F" w:rsidRDefault="005C1A62" w:rsidP="002A37BB">
      <w:pPr>
        <w:jc w:val="both"/>
        <w:rPr>
          <w:rFonts w:ascii="Arial" w:hAnsi="Arial" w:cs="Arial"/>
          <w:color w:val="7B7B7B" w:themeColor="accent3" w:themeShade="BF"/>
          <w:sz w:val="22"/>
          <w:szCs w:val="22"/>
          <w:lang w:val="en-GB"/>
        </w:rPr>
      </w:pPr>
    </w:p>
    <w:p w14:paraId="2950943E" w14:textId="7D0B6CBC" w:rsidR="000D101F" w:rsidRPr="0010454F" w:rsidRDefault="000D101F" w:rsidP="002A37BB">
      <w:pPr>
        <w:jc w:val="both"/>
        <w:rPr>
          <w:rFonts w:ascii="Arial" w:hAnsi="Arial" w:cs="Arial"/>
          <w:b/>
          <w:bCs/>
          <w:color w:val="7B7B7B" w:themeColor="accent3" w:themeShade="BF"/>
          <w:sz w:val="22"/>
          <w:szCs w:val="22"/>
          <w:lang w:val="en-GB"/>
        </w:rPr>
      </w:pPr>
      <w:r w:rsidRPr="0010454F">
        <w:rPr>
          <w:rFonts w:ascii="Arial" w:hAnsi="Arial" w:cs="Arial"/>
          <w:b/>
          <w:bCs/>
          <w:color w:val="7B7B7B" w:themeColor="accent3" w:themeShade="BF"/>
          <w:sz w:val="22"/>
          <w:szCs w:val="22"/>
          <w:lang w:val="en-GB"/>
        </w:rPr>
        <w:t>Ipso facto clauses</w:t>
      </w:r>
      <w:r w:rsidR="005C1A62" w:rsidRPr="0010454F">
        <w:rPr>
          <w:rFonts w:ascii="Arial" w:hAnsi="Arial" w:cs="Arial"/>
          <w:b/>
          <w:bCs/>
          <w:color w:val="7B7B7B" w:themeColor="accent3" w:themeShade="BF"/>
          <w:sz w:val="22"/>
          <w:szCs w:val="22"/>
          <w:lang w:val="en-GB"/>
        </w:rPr>
        <w:t xml:space="preserve"> and the IRDA</w:t>
      </w:r>
    </w:p>
    <w:p w14:paraId="3A57734A" w14:textId="47EEB5A0" w:rsidR="005C1A62" w:rsidRPr="0010454F" w:rsidRDefault="005C1A62" w:rsidP="002A37BB">
      <w:pPr>
        <w:jc w:val="both"/>
        <w:rPr>
          <w:rFonts w:ascii="Arial" w:hAnsi="Arial" w:cs="Arial"/>
          <w:color w:val="7B7B7B" w:themeColor="accent3" w:themeShade="BF"/>
          <w:sz w:val="22"/>
          <w:szCs w:val="22"/>
          <w:lang w:val="en-GB"/>
        </w:rPr>
      </w:pPr>
    </w:p>
    <w:p w14:paraId="2BBA8980" w14:textId="66D1FA93" w:rsidR="005C1A62" w:rsidRPr="0010454F" w:rsidRDefault="000B66DE" w:rsidP="002A37BB">
      <w:p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t xml:space="preserve">Ipso facto clauses allow a party to terminate or modify the operation of a contract upon the occurrence of certain events of default such as the restructuring or insolvency of a party to certain contract.  </w:t>
      </w:r>
      <w:r w:rsidR="00AC2C04" w:rsidRPr="0010454F">
        <w:rPr>
          <w:rFonts w:ascii="Arial" w:hAnsi="Arial" w:cs="Arial"/>
          <w:color w:val="7B7B7B" w:themeColor="accent3" w:themeShade="BF"/>
          <w:sz w:val="22"/>
          <w:szCs w:val="22"/>
          <w:lang w:val="en-GB"/>
        </w:rPr>
        <w:t>These modifications can include the acceleration of payments, termination of the contract or modification of any rights or obligations.</w:t>
      </w:r>
      <w:r w:rsidR="0010454F">
        <w:rPr>
          <w:rFonts w:ascii="Arial" w:hAnsi="Arial" w:cs="Arial"/>
          <w:color w:val="7B7B7B" w:themeColor="accent3" w:themeShade="BF"/>
          <w:sz w:val="22"/>
          <w:szCs w:val="22"/>
          <w:lang w:val="en-GB"/>
        </w:rPr>
        <w:t xml:space="preserve"> </w:t>
      </w:r>
      <w:r w:rsidR="00AC2C04" w:rsidRPr="0010454F">
        <w:rPr>
          <w:color w:val="7B7B7B" w:themeColor="accent3" w:themeShade="BF"/>
          <w:vertAlign w:val="superscript"/>
          <w:lang w:val="en-GB"/>
        </w:rPr>
        <w:footnoteReference w:id="11"/>
      </w:r>
      <w:r w:rsidR="00AC2C04" w:rsidRPr="0010454F">
        <w:rPr>
          <w:rFonts w:ascii="Arial" w:hAnsi="Arial" w:cs="Arial"/>
          <w:color w:val="7B7B7B" w:themeColor="accent3" w:themeShade="BF"/>
          <w:sz w:val="22"/>
          <w:szCs w:val="22"/>
          <w:lang w:val="en-GB"/>
        </w:rPr>
        <w:t xml:space="preserve">  </w:t>
      </w:r>
    </w:p>
    <w:p w14:paraId="157B0308" w14:textId="2B3014FC" w:rsidR="000B66DE" w:rsidRPr="0010454F" w:rsidRDefault="000B66DE" w:rsidP="002A37BB">
      <w:pPr>
        <w:jc w:val="both"/>
        <w:rPr>
          <w:rFonts w:ascii="Arial" w:hAnsi="Arial" w:cs="Arial"/>
          <w:color w:val="7B7B7B" w:themeColor="accent3" w:themeShade="BF"/>
          <w:sz w:val="22"/>
          <w:szCs w:val="22"/>
          <w:lang w:val="en-GB"/>
        </w:rPr>
      </w:pPr>
    </w:p>
    <w:p w14:paraId="138D7A67" w14:textId="5270AE41" w:rsidR="000D101F" w:rsidRPr="0010454F" w:rsidRDefault="000B66DE" w:rsidP="002A37BB">
      <w:p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t>In Singapore, and prior to the enactment of the IRDA, there were no restriction</w:t>
      </w:r>
      <w:r w:rsidR="00D86779" w:rsidRPr="0010454F">
        <w:rPr>
          <w:rFonts w:ascii="Arial" w:hAnsi="Arial" w:cs="Arial"/>
          <w:color w:val="7B7B7B" w:themeColor="accent3" w:themeShade="BF"/>
          <w:sz w:val="22"/>
          <w:szCs w:val="22"/>
          <w:lang w:val="en-GB"/>
        </w:rPr>
        <w:t>s</w:t>
      </w:r>
      <w:r w:rsidRPr="0010454F">
        <w:rPr>
          <w:rFonts w:ascii="Arial" w:hAnsi="Arial" w:cs="Arial"/>
          <w:color w:val="7B7B7B" w:themeColor="accent3" w:themeShade="BF"/>
          <w:sz w:val="22"/>
          <w:szCs w:val="22"/>
          <w:lang w:val="en-GB"/>
        </w:rPr>
        <w:t xml:space="preserve"> on one party to a contract exercising their right to terminate a contract upon the other party’s insolvency or entering into a restructuring procedure. In a practical sense, the use of ipso facto clauses severely </w:t>
      </w:r>
      <w:proofErr w:type="gramStart"/>
      <w:r w:rsidRPr="0010454F">
        <w:rPr>
          <w:rFonts w:ascii="Arial" w:hAnsi="Arial" w:cs="Arial"/>
          <w:color w:val="7B7B7B" w:themeColor="accent3" w:themeShade="BF"/>
          <w:sz w:val="22"/>
          <w:szCs w:val="22"/>
          <w:lang w:val="en-GB"/>
        </w:rPr>
        <w:t>impact</w:t>
      </w:r>
      <w:proofErr w:type="gramEnd"/>
      <w:r w:rsidRPr="0010454F">
        <w:rPr>
          <w:rFonts w:ascii="Arial" w:hAnsi="Arial" w:cs="Arial"/>
          <w:color w:val="7B7B7B" w:themeColor="accent3" w:themeShade="BF"/>
          <w:sz w:val="22"/>
          <w:szCs w:val="22"/>
          <w:lang w:val="en-GB"/>
        </w:rPr>
        <w:t xml:space="preserve"> upon a company that is insolvent or enters into a restructuring procedure because this immediately limits the company’s ability to operate as a going concern by loss of revenue. Evidently, given the nature of the restructuring options, including judicial management or scheme of arrangement under the IRDA relies on a business being able to continue trading, and as such a counterparty to a contract electing to either terminate or modify a contract will cause a significant drop in revenue</w:t>
      </w:r>
      <w:r w:rsidR="00AC2C04" w:rsidRPr="0010454F">
        <w:rPr>
          <w:rFonts w:ascii="Arial" w:hAnsi="Arial" w:cs="Arial"/>
          <w:color w:val="7B7B7B" w:themeColor="accent3" w:themeShade="BF"/>
          <w:sz w:val="22"/>
          <w:szCs w:val="22"/>
          <w:lang w:val="en-GB"/>
        </w:rPr>
        <w:t xml:space="preserve">, or force the company to attempt to make payments it may not necessarily be able to make.  </w:t>
      </w:r>
      <w:r w:rsidRPr="0010454F">
        <w:rPr>
          <w:rFonts w:ascii="Arial" w:hAnsi="Arial" w:cs="Arial"/>
          <w:color w:val="7B7B7B" w:themeColor="accent3" w:themeShade="BF"/>
          <w:sz w:val="22"/>
          <w:szCs w:val="22"/>
          <w:lang w:val="en-GB"/>
        </w:rPr>
        <w:t xml:space="preserve"> </w:t>
      </w:r>
    </w:p>
    <w:p w14:paraId="2DFAEA59" w14:textId="0DFD13D4" w:rsidR="000B66DE" w:rsidRPr="0010454F" w:rsidRDefault="000B66DE" w:rsidP="002A37BB">
      <w:pPr>
        <w:jc w:val="both"/>
        <w:rPr>
          <w:rFonts w:ascii="Arial" w:hAnsi="Arial" w:cs="Arial"/>
          <w:color w:val="7B7B7B" w:themeColor="accent3" w:themeShade="BF"/>
          <w:sz w:val="22"/>
          <w:szCs w:val="22"/>
          <w:lang w:val="en-GB"/>
        </w:rPr>
      </w:pPr>
    </w:p>
    <w:p w14:paraId="05E4CDC3" w14:textId="6D98D83F" w:rsidR="00F11BC4" w:rsidRPr="0010454F" w:rsidRDefault="000B66DE" w:rsidP="0010454F">
      <w:p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t>Section 440</w:t>
      </w:r>
      <w:r w:rsidR="00F11BC4" w:rsidRPr="0010454F">
        <w:rPr>
          <w:rFonts w:ascii="Arial" w:hAnsi="Arial" w:cs="Arial"/>
          <w:color w:val="7B7B7B" w:themeColor="accent3" w:themeShade="BF"/>
          <w:sz w:val="22"/>
          <w:szCs w:val="22"/>
          <w:lang w:val="en-GB"/>
        </w:rPr>
        <w:t>(1)</w:t>
      </w:r>
      <w:r w:rsidRPr="0010454F">
        <w:rPr>
          <w:rFonts w:ascii="Arial" w:hAnsi="Arial" w:cs="Arial"/>
          <w:color w:val="7B7B7B" w:themeColor="accent3" w:themeShade="BF"/>
          <w:sz w:val="22"/>
          <w:szCs w:val="22"/>
          <w:lang w:val="en-GB"/>
        </w:rPr>
        <w:t xml:space="preserve"> of the IRDA</w:t>
      </w:r>
      <w:r w:rsidR="00F11BC4" w:rsidRPr="0010454F">
        <w:rPr>
          <w:rFonts w:ascii="Arial" w:hAnsi="Arial" w:cs="Arial"/>
          <w:color w:val="7B7B7B" w:themeColor="accent3" w:themeShade="BF"/>
          <w:sz w:val="22"/>
          <w:szCs w:val="22"/>
          <w:lang w:val="en-GB"/>
        </w:rPr>
        <w:t xml:space="preserve"> states: </w:t>
      </w:r>
    </w:p>
    <w:p w14:paraId="1BACCF64" w14:textId="4F9CF563" w:rsidR="00F11BC4" w:rsidRPr="0010454F" w:rsidRDefault="00F11BC4" w:rsidP="0010454F">
      <w:pPr>
        <w:jc w:val="both"/>
        <w:rPr>
          <w:rFonts w:ascii="Arial" w:hAnsi="Arial" w:cs="Arial"/>
          <w:color w:val="7B7B7B" w:themeColor="accent3" w:themeShade="BF"/>
          <w:sz w:val="22"/>
          <w:szCs w:val="22"/>
          <w:lang w:val="en-GB"/>
        </w:rPr>
      </w:pPr>
    </w:p>
    <w:p w14:paraId="537EAA6F" w14:textId="70A40A3E" w:rsidR="00F11BC4" w:rsidRPr="0010454F" w:rsidRDefault="00F11BC4" w:rsidP="0010454F">
      <w:p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t xml:space="preserve">“No person may, at any time after the commencement, and before the conclusion, of any proceedings by a company:  </w:t>
      </w:r>
    </w:p>
    <w:p w14:paraId="1236C1D7" w14:textId="6029CD7B" w:rsidR="00F11BC4" w:rsidRPr="0010454F" w:rsidRDefault="00F11BC4" w:rsidP="0010454F">
      <w:pPr>
        <w:jc w:val="both"/>
        <w:rPr>
          <w:rFonts w:ascii="Arial" w:hAnsi="Arial" w:cs="Arial"/>
          <w:color w:val="7B7B7B" w:themeColor="accent3" w:themeShade="BF"/>
          <w:sz w:val="22"/>
          <w:szCs w:val="22"/>
          <w:lang w:val="en-GB"/>
        </w:rPr>
      </w:pPr>
    </w:p>
    <w:p w14:paraId="790D0106" w14:textId="714E3D63" w:rsidR="00F11BC4" w:rsidRPr="0010454F" w:rsidRDefault="00F11BC4" w:rsidP="0010454F">
      <w:p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t>terminate or amend, or claim an accelerated payment or forfeiture of the term under, any agreement (including a security agreement) with the company; or</w:t>
      </w:r>
    </w:p>
    <w:p w14:paraId="3EBCC352" w14:textId="4ED476D7" w:rsidR="00F11BC4" w:rsidRPr="0010454F" w:rsidRDefault="00F11BC4" w:rsidP="0010454F">
      <w:p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t>terminate or modify any right or obligation under any agreement (including a security agreement) with the company,</w:t>
      </w:r>
    </w:p>
    <w:p w14:paraId="47DFF27F" w14:textId="307AA633" w:rsidR="00F11BC4" w:rsidRPr="0010454F" w:rsidRDefault="00F11BC4" w:rsidP="0010454F">
      <w:p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t xml:space="preserve">by reason only that the proceedings are commenced or that the company is insolvent.  </w:t>
      </w:r>
    </w:p>
    <w:p w14:paraId="5C97BBE5" w14:textId="77777777" w:rsidR="00F11BC4" w:rsidRPr="0010454F" w:rsidRDefault="00F11BC4" w:rsidP="0010454F">
      <w:pPr>
        <w:jc w:val="both"/>
        <w:rPr>
          <w:rFonts w:ascii="Arial" w:hAnsi="Arial" w:cs="Arial"/>
          <w:color w:val="7B7B7B" w:themeColor="accent3" w:themeShade="BF"/>
          <w:sz w:val="22"/>
          <w:szCs w:val="22"/>
          <w:lang w:val="en-GB"/>
        </w:rPr>
      </w:pPr>
    </w:p>
    <w:p w14:paraId="5F6F41A9" w14:textId="5989C241" w:rsidR="00AC2C04" w:rsidRPr="0010454F" w:rsidRDefault="00AC2C04" w:rsidP="002A37BB">
      <w:p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t>Evidently, the operation of s440 is aimed at attempting to preserve the status quo of any contracts that the debtor company is currently a party and assist in any restructuring procedure.</w:t>
      </w:r>
      <w:r w:rsidRPr="0010454F">
        <w:rPr>
          <w:color w:val="7B7B7B" w:themeColor="accent3" w:themeShade="BF"/>
          <w:vertAlign w:val="superscript"/>
          <w:lang w:val="en-GB"/>
        </w:rPr>
        <w:footnoteReference w:id="12"/>
      </w:r>
      <w:r w:rsidRPr="0010454F">
        <w:rPr>
          <w:rFonts w:ascii="Arial" w:hAnsi="Arial" w:cs="Arial"/>
          <w:color w:val="7B7B7B" w:themeColor="accent3" w:themeShade="BF"/>
          <w:sz w:val="22"/>
          <w:szCs w:val="22"/>
          <w:lang w:val="en-GB"/>
        </w:rPr>
        <w:t xml:space="preserve">  </w:t>
      </w:r>
      <w:r w:rsidR="00D23F5A" w:rsidRPr="0010454F">
        <w:rPr>
          <w:rFonts w:ascii="Arial" w:hAnsi="Arial" w:cs="Arial"/>
          <w:color w:val="7B7B7B" w:themeColor="accent3" w:themeShade="BF"/>
          <w:sz w:val="22"/>
          <w:szCs w:val="22"/>
          <w:lang w:val="en-GB"/>
        </w:rPr>
        <w:t xml:space="preserve">The regime is still limited in that the ipso facto regime does not prevent the counterparty from finding another way to cause the contract to be terminated, rather it is only in circumstances where the company has </w:t>
      </w:r>
      <w:r w:rsidR="00D86779" w:rsidRPr="0010454F">
        <w:rPr>
          <w:rFonts w:ascii="Arial" w:hAnsi="Arial" w:cs="Arial"/>
          <w:color w:val="7B7B7B" w:themeColor="accent3" w:themeShade="BF"/>
          <w:sz w:val="22"/>
          <w:szCs w:val="22"/>
          <w:lang w:val="en-GB"/>
        </w:rPr>
        <w:t xml:space="preserve">engaged in either judicial management or a scheme of arrangement.  </w:t>
      </w:r>
    </w:p>
    <w:p w14:paraId="1CEFE34D" w14:textId="77777777" w:rsidR="000B66DE" w:rsidRPr="0010454F" w:rsidRDefault="000B66DE" w:rsidP="002A37BB">
      <w:pPr>
        <w:jc w:val="both"/>
        <w:rPr>
          <w:rFonts w:ascii="Arial" w:hAnsi="Arial" w:cs="Arial"/>
          <w:color w:val="7B7B7B" w:themeColor="accent3" w:themeShade="BF"/>
          <w:sz w:val="22"/>
          <w:szCs w:val="22"/>
          <w:lang w:val="en-GB"/>
        </w:rPr>
      </w:pPr>
    </w:p>
    <w:p w14:paraId="72F57A5C" w14:textId="5CBA57F3" w:rsidR="00544127" w:rsidRPr="0010454F" w:rsidRDefault="000D101F" w:rsidP="002A37BB">
      <w:pPr>
        <w:jc w:val="both"/>
        <w:rPr>
          <w:rFonts w:ascii="Arial" w:hAnsi="Arial" w:cs="Arial"/>
          <w:b/>
          <w:bCs/>
          <w:color w:val="7B7B7B" w:themeColor="accent3" w:themeShade="BF"/>
          <w:sz w:val="22"/>
          <w:szCs w:val="22"/>
          <w:lang w:val="en-GB"/>
        </w:rPr>
      </w:pPr>
      <w:r w:rsidRPr="0010454F">
        <w:rPr>
          <w:rFonts w:ascii="Arial" w:hAnsi="Arial" w:cs="Arial"/>
          <w:b/>
          <w:bCs/>
          <w:color w:val="7B7B7B" w:themeColor="accent3" w:themeShade="BF"/>
          <w:sz w:val="22"/>
          <w:szCs w:val="22"/>
          <w:lang w:val="en-GB"/>
        </w:rPr>
        <w:t>Wrongful Trading</w:t>
      </w:r>
      <w:r w:rsidR="000B66DE" w:rsidRPr="0010454F">
        <w:rPr>
          <w:rFonts w:ascii="Arial" w:hAnsi="Arial" w:cs="Arial"/>
          <w:b/>
          <w:bCs/>
          <w:color w:val="7B7B7B" w:themeColor="accent3" w:themeShade="BF"/>
          <w:sz w:val="22"/>
          <w:szCs w:val="22"/>
          <w:lang w:val="en-GB"/>
        </w:rPr>
        <w:t xml:space="preserve"> and the IRDA </w:t>
      </w:r>
    </w:p>
    <w:p w14:paraId="73CCE93B" w14:textId="171C621D" w:rsidR="000B66DE" w:rsidRDefault="000B66DE" w:rsidP="002A37BB">
      <w:pPr>
        <w:jc w:val="both"/>
        <w:rPr>
          <w:rFonts w:ascii="Arial" w:hAnsi="Arial" w:cs="Arial"/>
          <w:color w:val="7B7B7B" w:themeColor="accent3" w:themeShade="BF"/>
          <w:sz w:val="22"/>
          <w:szCs w:val="22"/>
          <w:lang w:val="en-GB"/>
        </w:rPr>
      </w:pPr>
    </w:p>
    <w:p w14:paraId="36ECB8BE" w14:textId="4EDC2DA2" w:rsidR="000B66DE" w:rsidRPr="0010454F" w:rsidRDefault="00C93146" w:rsidP="002A37BB">
      <w:p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t xml:space="preserve">The introduction of the IRDA saw reforms to the fraudulent and insolvent trading provisions within Singapore, but also saw the introduction of the wrongful trading provisions.  As a starting point, a company is trading wrongfully if either of the following occurs:  </w:t>
      </w:r>
    </w:p>
    <w:p w14:paraId="6FCF8574" w14:textId="3AFFF3C3" w:rsidR="00C93146" w:rsidRPr="0010454F" w:rsidRDefault="00C93146" w:rsidP="002A37BB">
      <w:pPr>
        <w:jc w:val="both"/>
        <w:rPr>
          <w:rFonts w:ascii="Arial" w:hAnsi="Arial" w:cs="Arial"/>
          <w:color w:val="7B7B7B" w:themeColor="accent3" w:themeShade="BF"/>
          <w:sz w:val="22"/>
          <w:szCs w:val="22"/>
          <w:lang w:val="en-GB"/>
        </w:rPr>
      </w:pPr>
    </w:p>
    <w:p w14:paraId="08375E07" w14:textId="596F0BD9" w:rsidR="00C93146" w:rsidRPr="0010454F" w:rsidRDefault="00C93146" w:rsidP="0010454F">
      <w:p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t>the company, whilst insolvent, incurs debts or liabilities without a reasonable prospect of meeting them in full;</w:t>
      </w:r>
      <w:r w:rsidRPr="0010454F">
        <w:rPr>
          <w:color w:val="7B7B7B" w:themeColor="accent3" w:themeShade="BF"/>
          <w:vertAlign w:val="superscript"/>
          <w:lang w:val="en-GB"/>
        </w:rPr>
        <w:footnoteReference w:id="13"/>
      </w:r>
      <w:r w:rsidRPr="0010454F">
        <w:rPr>
          <w:rFonts w:ascii="Arial" w:hAnsi="Arial" w:cs="Arial"/>
          <w:color w:val="7B7B7B" w:themeColor="accent3" w:themeShade="BF"/>
          <w:sz w:val="22"/>
          <w:szCs w:val="22"/>
          <w:lang w:val="en-GB"/>
        </w:rPr>
        <w:t xml:space="preserve"> or </w:t>
      </w:r>
    </w:p>
    <w:p w14:paraId="36A931C5" w14:textId="4AF7311A" w:rsidR="00C93146" w:rsidRPr="0010454F" w:rsidRDefault="00C93146" w:rsidP="0010454F">
      <w:p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t>the company incurs debts or liabilities that it has no reasonable prospect of meeting in full and that will ultimately result in the company becoming insolvent.</w:t>
      </w:r>
      <w:r w:rsidRPr="0010454F">
        <w:rPr>
          <w:color w:val="7B7B7B" w:themeColor="accent3" w:themeShade="BF"/>
          <w:vertAlign w:val="superscript"/>
          <w:lang w:val="en-GB"/>
        </w:rPr>
        <w:footnoteReference w:id="14"/>
      </w:r>
      <w:r w:rsidRPr="0010454F">
        <w:rPr>
          <w:rFonts w:ascii="Arial" w:hAnsi="Arial" w:cs="Arial"/>
          <w:color w:val="7B7B7B" w:themeColor="accent3" w:themeShade="BF"/>
          <w:sz w:val="22"/>
          <w:szCs w:val="22"/>
          <w:vertAlign w:val="superscript"/>
          <w:lang w:val="en-GB"/>
        </w:rPr>
        <w:t xml:space="preserve"> </w:t>
      </w:r>
    </w:p>
    <w:p w14:paraId="08239C66" w14:textId="7F3A7D1E" w:rsidR="00C93146" w:rsidRPr="0010454F" w:rsidRDefault="00C93146" w:rsidP="00C93146">
      <w:pPr>
        <w:jc w:val="both"/>
        <w:rPr>
          <w:rFonts w:ascii="Arial" w:hAnsi="Arial" w:cs="Arial"/>
          <w:color w:val="7B7B7B" w:themeColor="accent3" w:themeShade="BF"/>
          <w:sz w:val="22"/>
          <w:szCs w:val="22"/>
          <w:lang w:val="en-GB"/>
        </w:rPr>
      </w:pPr>
    </w:p>
    <w:p w14:paraId="528D4092" w14:textId="3B965BF6" w:rsidR="00C93146" w:rsidRPr="0010454F" w:rsidRDefault="00655695" w:rsidP="00C93146">
      <w:p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t>The new responsibility for wrongful trading occurs where during the process of judicial management; winding up or any proceedings against a company, the Court is given the power to make an order that the person who was party to the company trading in this manner is personally responsible (with no limitation of liability), for all or any of the debts of the company (as may be directed by the Court) if that person knew that the company was trading wrongfully, or as an officer of the company, ought to have known that the company was trading wrongfully.</w:t>
      </w:r>
      <w:r w:rsidRPr="0010454F">
        <w:rPr>
          <w:color w:val="7B7B7B" w:themeColor="accent3" w:themeShade="BF"/>
          <w:vertAlign w:val="superscript"/>
          <w:lang w:val="en-GB"/>
        </w:rPr>
        <w:footnoteReference w:id="15"/>
      </w:r>
      <w:r w:rsidRPr="0010454F">
        <w:rPr>
          <w:rFonts w:ascii="Arial" w:hAnsi="Arial" w:cs="Arial"/>
          <w:color w:val="7B7B7B" w:themeColor="accent3" w:themeShade="BF"/>
          <w:sz w:val="22"/>
          <w:szCs w:val="22"/>
          <w:lang w:val="en-GB"/>
        </w:rPr>
        <w:t xml:space="preserve">  </w:t>
      </w:r>
    </w:p>
    <w:p w14:paraId="1252BF17" w14:textId="0B799D37" w:rsidR="00E92F78" w:rsidRPr="0010454F" w:rsidRDefault="00E92F78" w:rsidP="00C93146">
      <w:pPr>
        <w:jc w:val="both"/>
        <w:rPr>
          <w:rFonts w:ascii="Arial" w:hAnsi="Arial" w:cs="Arial"/>
          <w:color w:val="7B7B7B" w:themeColor="accent3" w:themeShade="BF"/>
          <w:sz w:val="22"/>
          <w:szCs w:val="22"/>
          <w:lang w:val="en-GB"/>
        </w:rPr>
      </w:pPr>
    </w:p>
    <w:p w14:paraId="539101E0" w14:textId="7713B4C8" w:rsidR="00E92F78" w:rsidRPr="0010454F" w:rsidRDefault="00E92F78" w:rsidP="00C93146">
      <w:p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t>This new legislative provision is an extremely powerful tool for creditors and liquidators to rely upon, particularly given that these provisions extend outside of the ‘debtor’ company rather than sonly directors or officers of the debtor company, meaning that creditors or the liquidator may be able to pursue other persons, even including financiers or other stakeholders.</w:t>
      </w:r>
      <w:r w:rsidRPr="0010454F">
        <w:rPr>
          <w:color w:val="7B7B7B" w:themeColor="accent3" w:themeShade="BF"/>
          <w:vertAlign w:val="superscript"/>
          <w:lang w:val="en-GB"/>
        </w:rPr>
        <w:footnoteReference w:id="16"/>
      </w:r>
      <w:r w:rsidRPr="0010454F">
        <w:rPr>
          <w:rFonts w:ascii="Arial" w:hAnsi="Arial" w:cs="Arial"/>
          <w:color w:val="7B7B7B" w:themeColor="accent3" w:themeShade="BF"/>
          <w:sz w:val="22"/>
          <w:szCs w:val="22"/>
          <w:lang w:val="en-GB"/>
        </w:rPr>
        <w:t xml:space="preserve"> Similarly, the wrongful trading provisions do not require any form of criminal liability for a </w:t>
      </w:r>
      <w:r w:rsidR="00B170F8" w:rsidRPr="0010454F">
        <w:rPr>
          <w:rFonts w:ascii="Arial" w:hAnsi="Arial" w:cs="Arial"/>
          <w:color w:val="7B7B7B" w:themeColor="accent3" w:themeShade="BF"/>
          <w:sz w:val="22"/>
          <w:szCs w:val="22"/>
          <w:lang w:val="en-GB"/>
        </w:rPr>
        <w:lastRenderedPageBreak/>
        <w:t>p</w:t>
      </w:r>
      <w:r w:rsidRPr="0010454F">
        <w:rPr>
          <w:rFonts w:ascii="Arial" w:hAnsi="Arial" w:cs="Arial"/>
          <w:color w:val="7B7B7B" w:themeColor="accent3" w:themeShade="BF"/>
          <w:sz w:val="22"/>
          <w:szCs w:val="22"/>
          <w:lang w:val="en-GB"/>
        </w:rPr>
        <w:t>erson to be held personally liable for the wrongful trading, unlike insolvent and fraud trading which first requires criminal liability to hold a director a director personally liable.</w:t>
      </w:r>
      <w:r w:rsidRPr="0010454F">
        <w:rPr>
          <w:color w:val="7B7B7B" w:themeColor="accent3" w:themeShade="BF"/>
          <w:vertAlign w:val="superscript"/>
          <w:lang w:val="en-GB"/>
        </w:rPr>
        <w:footnoteReference w:id="17"/>
      </w:r>
      <w:r w:rsidRPr="0010454F">
        <w:rPr>
          <w:rFonts w:ascii="Arial" w:hAnsi="Arial" w:cs="Arial"/>
          <w:color w:val="7B7B7B" w:themeColor="accent3" w:themeShade="BF"/>
          <w:sz w:val="22"/>
          <w:szCs w:val="22"/>
          <w:lang w:val="en-GB"/>
        </w:rPr>
        <w:t xml:space="preserve">  </w:t>
      </w:r>
    </w:p>
    <w:p w14:paraId="703729DF" w14:textId="77777777" w:rsidR="007E40F0" w:rsidRPr="00323BF3" w:rsidRDefault="007E40F0" w:rsidP="009E3EA0">
      <w:pPr>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5C20A198" w:rsidR="00DF75F8" w:rsidRPr="002A37BB" w:rsidRDefault="00DF75F8" w:rsidP="002A37BB">
      <w:pPr>
        <w:jc w:val="both"/>
        <w:rPr>
          <w:rFonts w:ascii="Arial" w:hAnsi="Arial" w:cs="Arial"/>
          <w:sz w:val="22"/>
          <w:szCs w:val="22"/>
        </w:rPr>
      </w:pPr>
    </w:p>
    <w:p w14:paraId="29C164B3" w14:textId="3D52E68E" w:rsidR="003F5522" w:rsidRDefault="003F552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Judicial management and liquidation are both useful tools in Singapore when it comes to insolvency and restructuring. Whilst both are useful tools, they are also considerably different, and their objectives and outcomes are different. These differences, and the uses of each judicial management and liquidation will be discussed in the following.  </w:t>
      </w:r>
    </w:p>
    <w:p w14:paraId="06836511" w14:textId="77777777" w:rsidR="003F5522" w:rsidRDefault="003F5522" w:rsidP="002A37BB">
      <w:pPr>
        <w:jc w:val="both"/>
        <w:rPr>
          <w:rFonts w:ascii="Arial" w:hAnsi="Arial" w:cs="Arial"/>
          <w:color w:val="7B7B7B" w:themeColor="accent3" w:themeShade="BF"/>
          <w:sz w:val="22"/>
          <w:szCs w:val="22"/>
          <w:lang w:val="en-GB"/>
        </w:rPr>
      </w:pPr>
    </w:p>
    <w:p w14:paraId="7A312712" w14:textId="7BF0E9F4" w:rsidR="003F5522" w:rsidRPr="00B40AAD" w:rsidRDefault="003F5522" w:rsidP="002A37BB">
      <w:pPr>
        <w:jc w:val="both"/>
        <w:rPr>
          <w:rFonts w:ascii="Arial" w:hAnsi="Arial" w:cs="Arial"/>
          <w:color w:val="7B7B7B" w:themeColor="accent3" w:themeShade="BF"/>
          <w:sz w:val="22"/>
          <w:szCs w:val="22"/>
          <w:lang w:val="en-GB"/>
        </w:rPr>
      </w:pPr>
      <w:r w:rsidRPr="00B40AAD">
        <w:rPr>
          <w:rFonts w:ascii="Arial" w:hAnsi="Arial" w:cs="Arial"/>
          <w:color w:val="7B7B7B" w:themeColor="accent3" w:themeShade="BF"/>
          <w:sz w:val="22"/>
          <w:szCs w:val="22"/>
          <w:lang w:val="en-GB"/>
        </w:rPr>
        <w:t xml:space="preserve">Judicial management: </w:t>
      </w:r>
    </w:p>
    <w:p w14:paraId="0A9F35E4" w14:textId="18E31A96" w:rsidR="00B40AAD" w:rsidRDefault="00B40AAD" w:rsidP="002A37BB">
      <w:pPr>
        <w:jc w:val="both"/>
        <w:rPr>
          <w:rFonts w:ascii="Arial" w:hAnsi="Arial" w:cs="Arial"/>
          <w:color w:val="7B7B7B" w:themeColor="accent3" w:themeShade="BF"/>
          <w:sz w:val="22"/>
          <w:szCs w:val="22"/>
          <w:lang w:val="en-GB"/>
        </w:rPr>
      </w:pPr>
    </w:p>
    <w:p w14:paraId="3331BC33" w14:textId="6C847BA5" w:rsidR="00065884" w:rsidRDefault="00B40AA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 and foremost, judicial management, unlike liquidation is</w:t>
      </w:r>
      <w:r w:rsidR="007D431D">
        <w:rPr>
          <w:rFonts w:ascii="Arial" w:hAnsi="Arial" w:cs="Arial"/>
          <w:color w:val="7B7B7B" w:themeColor="accent3" w:themeShade="BF"/>
          <w:sz w:val="22"/>
          <w:szCs w:val="22"/>
          <w:lang w:val="en-GB"/>
        </w:rPr>
        <w:t xml:space="preserve">, by definition, </w:t>
      </w:r>
      <w:r>
        <w:rPr>
          <w:rFonts w:ascii="Arial" w:hAnsi="Arial" w:cs="Arial"/>
          <w:color w:val="7B7B7B" w:themeColor="accent3" w:themeShade="BF"/>
          <w:sz w:val="22"/>
          <w:szCs w:val="22"/>
          <w:lang w:val="en-GB"/>
        </w:rPr>
        <w:t xml:space="preserve">a corporate </w:t>
      </w:r>
      <w:r w:rsidR="00065884">
        <w:rPr>
          <w:rFonts w:ascii="Arial" w:hAnsi="Arial" w:cs="Arial"/>
          <w:color w:val="7B7B7B" w:themeColor="accent3" w:themeShade="BF"/>
          <w:sz w:val="22"/>
          <w:szCs w:val="22"/>
          <w:lang w:val="en-GB"/>
        </w:rPr>
        <w:t>rescue</w:t>
      </w:r>
      <w:r>
        <w:rPr>
          <w:rFonts w:ascii="Arial" w:hAnsi="Arial" w:cs="Arial"/>
          <w:color w:val="7B7B7B" w:themeColor="accent3" w:themeShade="BF"/>
          <w:sz w:val="22"/>
          <w:szCs w:val="22"/>
          <w:lang w:val="en-GB"/>
        </w:rPr>
        <w:t xml:space="preserve"> mechanism under the </w:t>
      </w:r>
      <w:r w:rsidR="00065884">
        <w:rPr>
          <w:rFonts w:ascii="Arial" w:hAnsi="Arial" w:cs="Arial"/>
          <w:color w:val="7B7B7B" w:themeColor="accent3" w:themeShade="BF"/>
          <w:sz w:val="22"/>
          <w:szCs w:val="22"/>
          <w:lang w:val="en-GB"/>
        </w:rPr>
        <w:t>IRDA. The purpose of judicial management is to ensure the survival of the company, or part or whole thereof as a going concern;</w:t>
      </w:r>
      <w:r w:rsidR="00065884">
        <w:rPr>
          <w:rStyle w:val="FootnoteReference"/>
          <w:rFonts w:ascii="Arial" w:hAnsi="Arial" w:cs="Arial"/>
          <w:color w:val="7B7B7B" w:themeColor="accent3" w:themeShade="BF"/>
          <w:sz w:val="22"/>
          <w:szCs w:val="22"/>
          <w:lang w:val="en-GB"/>
        </w:rPr>
        <w:footnoteReference w:id="18"/>
      </w:r>
      <w:r w:rsidR="00065884">
        <w:rPr>
          <w:rFonts w:ascii="Arial" w:hAnsi="Arial" w:cs="Arial"/>
          <w:color w:val="7B7B7B" w:themeColor="accent3" w:themeShade="BF"/>
          <w:sz w:val="22"/>
          <w:szCs w:val="22"/>
          <w:lang w:val="en-GB"/>
        </w:rPr>
        <w:t xml:space="preserve"> to enable </w:t>
      </w:r>
      <w:r w:rsidR="00DE5848">
        <w:rPr>
          <w:rFonts w:ascii="Arial" w:hAnsi="Arial" w:cs="Arial"/>
          <w:color w:val="7B7B7B" w:themeColor="accent3" w:themeShade="BF"/>
          <w:sz w:val="22"/>
          <w:szCs w:val="22"/>
          <w:lang w:val="en-GB"/>
        </w:rPr>
        <w:t>the approval pursuant to section 210 of the Companies Act or section 71 of either a compromise or an arrangement between the company and applicable persons;</w:t>
      </w:r>
      <w:r w:rsidR="00DE5848">
        <w:rPr>
          <w:rStyle w:val="FootnoteReference"/>
          <w:rFonts w:ascii="Arial" w:hAnsi="Arial" w:cs="Arial"/>
          <w:color w:val="7B7B7B" w:themeColor="accent3" w:themeShade="BF"/>
          <w:sz w:val="22"/>
          <w:szCs w:val="22"/>
          <w:lang w:val="en-GB"/>
        </w:rPr>
        <w:footnoteReference w:id="19"/>
      </w:r>
      <w:r w:rsidR="00DE5848">
        <w:rPr>
          <w:rFonts w:ascii="Arial" w:hAnsi="Arial" w:cs="Arial"/>
          <w:color w:val="7B7B7B" w:themeColor="accent3" w:themeShade="BF"/>
          <w:sz w:val="22"/>
          <w:szCs w:val="22"/>
          <w:lang w:val="en-GB"/>
        </w:rPr>
        <w:t xml:space="preserve"> or to provide a more advantageous realisation of the company’s assets or property than on a winding up.</w:t>
      </w:r>
      <w:r w:rsidR="00DE5848">
        <w:rPr>
          <w:rStyle w:val="FootnoteReference"/>
          <w:rFonts w:ascii="Arial" w:hAnsi="Arial" w:cs="Arial"/>
          <w:color w:val="7B7B7B" w:themeColor="accent3" w:themeShade="BF"/>
          <w:sz w:val="22"/>
          <w:szCs w:val="22"/>
          <w:lang w:val="en-GB"/>
        </w:rPr>
        <w:footnoteReference w:id="20"/>
      </w:r>
      <w:r w:rsidR="00DE5848">
        <w:rPr>
          <w:rFonts w:ascii="Arial" w:hAnsi="Arial" w:cs="Arial"/>
          <w:color w:val="7B7B7B" w:themeColor="accent3" w:themeShade="BF"/>
          <w:sz w:val="22"/>
          <w:szCs w:val="22"/>
          <w:lang w:val="en-GB"/>
        </w:rPr>
        <w:t xml:space="preserve"> </w:t>
      </w:r>
    </w:p>
    <w:p w14:paraId="43040E4C" w14:textId="144573F2" w:rsidR="00CD74F3" w:rsidRDefault="00CD74F3" w:rsidP="002A37BB">
      <w:pPr>
        <w:jc w:val="both"/>
        <w:rPr>
          <w:rFonts w:ascii="Arial" w:hAnsi="Arial" w:cs="Arial"/>
          <w:color w:val="7B7B7B" w:themeColor="accent3" w:themeShade="BF"/>
          <w:sz w:val="22"/>
          <w:szCs w:val="22"/>
          <w:lang w:val="en-GB"/>
        </w:rPr>
      </w:pPr>
    </w:p>
    <w:p w14:paraId="7C61C92D" w14:textId="2FA9154F" w:rsidR="00670218" w:rsidRDefault="00CD74F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terms of the process of judicial </w:t>
      </w:r>
      <w:r w:rsidR="00BC7649">
        <w:rPr>
          <w:rFonts w:ascii="Arial" w:hAnsi="Arial" w:cs="Arial"/>
          <w:color w:val="7B7B7B" w:themeColor="accent3" w:themeShade="BF"/>
          <w:sz w:val="22"/>
          <w:szCs w:val="22"/>
          <w:lang w:val="en-GB"/>
        </w:rPr>
        <w:t xml:space="preserve">management, </w:t>
      </w:r>
      <w:r w:rsidR="00670218">
        <w:rPr>
          <w:rFonts w:ascii="Arial" w:hAnsi="Arial" w:cs="Arial"/>
          <w:color w:val="7B7B7B" w:themeColor="accent3" w:themeShade="BF"/>
          <w:sz w:val="22"/>
          <w:szCs w:val="22"/>
          <w:lang w:val="en-GB"/>
        </w:rPr>
        <w:t>an insolvency practitioner is appointed as a manager of the Company by a court, in circumstances where the company is unable, or likely to become unable to pay its debts, and that there is a reasonably probability of rehabilitating the company; or preserving all or part of the company as a going concern, or a stated above, the interests of creditors would be better served as opposed to through a winding up process.</w:t>
      </w:r>
      <w:r w:rsidR="00670218">
        <w:rPr>
          <w:rStyle w:val="FootnoteReference"/>
          <w:rFonts w:ascii="Arial" w:hAnsi="Arial" w:cs="Arial"/>
          <w:color w:val="7B7B7B" w:themeColor="accent3" w:themeShade="BF"/>
          <w:sz w:val="22"/>
          <w:szCs w:val="22"/>
          <w:lang w:val="en-GB"/>
        </w:rPr>
        <w:footnoteReference w:id="21"/>
      </w:r>
      <w:r w:rsidR="003E7F0D">
        <w:rPr>
          <w:rFonts w:ascii="Arial" w:hAnsi="Arial" w:cs="Arial"/>
          <w:color w:val="7B7B7B" w:themeColor="accent3" w:themeShade="BF"/>
          <w:sz w:val="22"/>
          <w:szCs w:val="22"/>
          <w:lang w:val="en-GB"/>
        </w:rPr>
        <w:t xml:space="preserve"> Once appointed, the judicial manager must ensure that they perform their functions to achieve the purposes of judicial management,</w:t>
      </w:r>
      <w:r w:rsidR="003E7F0D">
        <w:rPr>
          <w:rStyle w:val="FootnoteReference"/>
          <w:rFonts w:ascii="Arial" w:hAnsi="Arial" w:cs="Arial"/>
          <w:color w:val="7B7B7B" w:themeColor="accent3" w:themeShade="BF"/>
          <w:sz w:val="22"/>
          <w:szCs w:val="22"/>
          <w:lang w:val="en-GB"/>
        </w:rPr>
        <w:footnoteReference w:id="22"/>
      </w:r>
      <w:r w:rsidR="003E7F0D">
        <w:rPr>
          <w:rFonts w:ascii="Arial" w:hAnsi="Arial" w:cs="Arial"/>
          <w:color w:val="7B7B7B" w:themeColor="accent3" w:themeShade="BF"/>
          <w:sz w:val="22"/>
          <w:szCs w:val="22"/>
          <w:lang w:val="en-GB"/>
        </w:rPr>
        <w:t xml:space="preserve"> as set out above, and ensure that they perform their duties in the interests of the creditors as a whole,</w:t>
      </w:r>
      <w:r w:rsidR="003E7F0D">
        <w:rPr>
          <w:rStyle w:val="FootnoteReference"/>
          <w:rFonts w:ascii="Arial" w:hAnsi="Arial" w:cs="Arial"/>
          <w:color w:val="7B7B7B" w:themeColor="accent3" w:themeShade="BF"/>
          <w:sz w:val="22"/>
          <w:szCs w:val="22"/>
          <w:lang w:val="en-GB"/>
        </w:rPr>
        <w:footnoteReference w:id="23"/>
      </w:r>
      <w:r w:rsidR="003E7F0D">
        <w:rPr>
          <w:rFonts w:ascii="Arial" w:hAnsi="Arial" w:cs="Arial"/>
          <w:color w:val="7B7B7B" w:themeColor="accent3" w:themeShade="BF"/>
          <w:sz w:val="22"/>
          <w:szCs w:val="22"/>
          <w:lang w:val="en-GB"/>
        </w:rPr>
        <w:t xml:space="preserve"> as quickly and efficiently as possible,</w:t>
      </w:r>
      <w:r w:rsidR="003E7F0D">
        <w:rPr>
          <w:rStyle w:val="FootnoteReference"/>
          <w:rFonts w:ascii="Arial" w:hAnsi="Arial" w:cs="Arial"/>
          <w:color w:val="7B7B7B" w:themeColor="accent3" w:themeShade="BF"/>
          <w:sz w:val="22"/>
          <w:szCs w:val="22"/>
          <w:lang w:val="en-GB"/>
        </w:rPr>
        <w:footnoteReference w:id="24"/>
      </w:r>
      <w:r w:rsidR="003E7F0D">
        <w:rPr>
          <w:rFonts w:ascii="Arial" w:hAnsi="Arial" w:cs="Arial"/>
          <w:color w:val="7B7B7B" w:themeColor="accent3" w:themeShade="BF"/>
          <w:sz w:val="22"/>
          <w:szCs w:val="22"/>
          <w:lang w:val="en-GB"/>
        </w:rPr>
        <w:t xml:space="preserve"> and remember that upon appointment, their role is that of an officer of the Court.</w:t>
      </w:r>
      <w:r w:rsidR="003E7F0D">
        <w:rPr>
          <w:rStyle w:val="FootnoteReference"/>
          <w:rFonts w:ascii="Arial" w:hAnsi="Arial" w:cs="Arial"/>
          <w:color w:val="7B7B7B" w:themeColor="accent3" w:themeShade="BF"/>
          <w:sz w:val="22"/>
          <w:szCs w:val="22"/>
          <w:lang w:val="en-GB"/>
        </w:rPr>
        <w:footnoteReference w:id="25"/>
      </w:r>
      <w:r w:rsidR="003E7F0D">
        <w:rPr>
          <w:rFonts w:ascii="Arial" w:hAnsi="Arial" w:cs="Arial"/>
          <w:color w:val="7B7B7B" w:themeColor="accent3" w:themeShade="BF"/>
          <w:sz w:val="22"/>
          <w:szCs w:val="22"/>
          <w:lang w:val="en-GB"/>
        </w:rPr>
        <w:t xml:space="preserve">  </w:t>
      </w:r>
    </w:p>
    <w:p w14:paraId="04A3458E" w14:textId="06B00180" w:rsidR="00356AD9" w:rsidRDefault="00356AD9" w:rsidP="002A37BB">
      <w:pPr>
        <w:jc w:val="both"/>
        <w:rPr>
          <w:rFonts w:ascii="Arial" w:hAnsi="Arial" w:cs="Arial"/>
          <w:color w:val="7B7B7B" w:themeColor="accent3" w:themeShade="BF"/>
          <w:sz w:val="22"/>
          <w:szCs w:val="22"/>
          <w:lang w:val="en-GB"/>
        </w:rPr>
      </w:pPr>
    </w:p>
    <w:p w14:paraId="293645B9" w14:textId="7E11A8E1" w:rsidR="00356AD9" w:rsidRDefault="00356AD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judicial management process, the creditors have a limited role except where the Creditors Committee is convened.</w:t>
      </w:r>
      <w:r>
        <w:rPr>
          <w:rStyle w:val="FootnoteReference"/>
          <w:rFonts w:ascii="Arial" w:hAnsi="Arial" w:cs="Arial"/>
          <w:color w:val="7B7B7B" w:themeColor="accent3" w:themeShade="BF"/>
          <w:sz w:val="22"/>
          <w:szCs w:val="22"/>
          <w:lang w:val="en-GB"/>
        </w:rPr>
        <w:footnoteReference w:id="26"/>
      </w:r>
      <w:r>
        <w:rPr>
          <w:rFonts w:ascii="Arial" w:hAnsi="Arial" w:cs="Arial"/>
          <w:color w:val="7B7B7B" w:themeColor="accent3" w:themeShade="BF"/>
          <w:sz w:val="22"/>
          <w:szCs w:val="22"/>
          <w:lang w:val="en-GB"/>
        </w:rPr>
        <w:t xml:space="preserve"> The Creditors Committee is given the power to require the judicial manager to provide it with information with respect to the conduct of the judicial management process.  </w:t>
      </w:r>
    </w:p>
    <w:p w14:paraId="3DBA4C58" w14:textId="2F0F9DCB" w:rsidR="007D431D" w:rsidRDefault="007D431D" w:rsidP="002A37BB">
      <w:pPr>
        <w:jc w:val="both"/>
        <w:rPr>
          <w:rFonts w:ascii="Arial" w:hAnsi="Arial" w:cs="Arial"/>
          <w:color w:val="7B7B7B" w:themeColor="accent3" w:themeShade="BF"/>
          <w:sz w:val="22"/>
          <w:szCs w:val="22"/>
          <w:lang w:val="en-GB"/>
        </w:rPr>
      </w:pPr>
    </w:p>
    <w:p w14:paraId="46133BA0" w14:textId="23E5D9B0" w:rsidR="0049097F" w:rsidRPr="0010454F" w:rsidRDefault="0049097F" w:rsidP="00087F21">
      <w:p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t xml:space="preserve">Singapore, like many jurisdictions around the world, has number of forms of liquidation available. The three types of liquidation are members voluntary liquidation, creditors voluntary </w:t>
      </w:r>
      <w:r w:rsidR="00F47460" w:rsidRPr="0010454F">
        <w:rPr>
          <w:rFonts w:ascii="Arial" w:hAnsi="Arial" w:cs="Arial"/>
          <w:color w:val="7B7B7B" w:themeColor="accent3" w:themeShade="BF"/>
          <w:sz w:val="22"/>
          <w:szCs w:val="22"/>
          <w:lang w:val="en-GB"/>
        </w:rPr>
        <w:t>liquidation and</w:t>
      </w:r>
      <w:r w:rsidRPr="0010454F">
        <w:rPr>
          <w:rFonts w:ascii="Arial" w:hAnsi="Arial" w:cs="Arial"/>
          <w:color w:val="7B7B7B" w:themeColor="accent3" w:themeShade="BF"/>
          <w:sz w:val="22"/>
          <w:szCs w:val="22"/>
          <w:lang w:val="en-GB"/>
        </w:rPr>
        <w:t xml:space="preserve"> compulsory liquidation. </w:t>
      </w:r>
    </w:p>
    <w:p w14:paraId="1E4A1D43" w14:textId="1C515C79" w:rsidR="0049097F" w:rsidRPr="0010454F" w:rsidRDefault="0049097F" w:rsidP="00087F21">
      <w:pPr>
        <w:jc w:val="both"/>
        <w:rPr>
          <w:rFonts w:ascii="Arial" w:hAnsi="Arial" w:cs="Arial"/>
          <w:color w:val="7B7B7B" w:themeColor="accent3" w:themeShade="BF"/>
          <w:sz w:val="22"/>
          <w:szCs w:val="22"/>
          <w:lang w:val="en-GB"/>
        </w:rPr>
      </w:pPr>
    </w:p>
    <w:p w14:paraId="2E424BC6" w14:textId="734E016A" w:rsidR="0049097F" w:rsidRPr="0010454F" w:rsidRDefault="0049097F" w:rsidP="00087F21">
      <w:p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lastRenderedPageBreak/>
        <w:t xml:space="preserve">Despite the various forms of liquidation, the intent of each process is effectively the same – that is, to bring the Company to an end by dissolution, and to ensure that a fair distribution amongst creditors and other stakeholders occurs.  </w:t>
      </w:r>
    </w:p>
    <w:p w14:paraId="2DED77C8" w14:textId="0A18FB37" w:rsidR="0049097F" w:rsidRPr="0010454F" w:rsidRDefault="0049097F" w:rsidP="00087F21">
      <w:pPr>
        <w:jc w:val="both"/>
        <w:rPr>
          <w:rFonts w:ascii="Arial" w:hAnsi="Arial" w:cs="Arial"/>
          <w:color w:val="7B7B7B" w:themeColor="accent3" w:themeShade="BF"/>
          <w:sz w:val="22"/>
          <w:szCs w:val="22"/>
          <w:lang w:val="en-GB"/>
        </w:rPr>
      </w:pPr>
    </w:p>
    <w:p w14:paraId="7B6A325C" w14:textId="12992A49" w:rsidR="0049097F" w:rsidRDefault="0049097F" w:rsidP="00087F21">
      <w:pPr>
        <w:jc w:val="both"/>
        <w:rPr>
          <w:rFonts w:ascii="Arial" w:hAnsi="Arial" w:cs="Arial"/>
          <w:color w:val="7B7B7B" w:themeColor="accent3" w:themeShade="BF"/>
          <w:sz w:val="22"/>
          <w:szCs w:val="22"/>
          <w:lang w:val="en-GB"/>
        </w:rPr>
      </w:pPr>
      <w:r w:rsidRPr="0010454F">
        <w:rPr>
          <w:rFonts w:ascii="Arial" w:hAnsi="Arial" w:cs="Arial"/>
          <w:color w:val="7B7B7B" w:themeColor="accent3" w:themeShade="BF"/>
          <w:sz w:val="22"/>
          <w:szCs w:val="22"/>
          <w:lang w:val="en-GB"/>
        </w:rPr>
        <w:t>A</w:t>
      </w:r>
      <w:r w:rsidR="00F47460">
        <w:rPr>
          <w:rFonts w:ascii="Arial" w:hAnsi="Arial" w:cs="Arial"/>
          <w:color w:val="7B7B7B" w:themeColor="accent3" w:themeShade="BF"/>
          <w:sz w:val="22"/>
          <w:szCs w:val="22"/>
          <w:lang w:val="en-GB"/>
        </w:rPr>
        <w:t xml:space="preserve">s the name suggests, a </w:t>
      </w:r>
      <w:r w:rsidRPr="0010454F">
        <w:rPr>
          <w:rFonts w:ascii="Arial" w:hAnsi="Arial" w:cs="Arial"/>
          <w:color w:val="7B7B7B" w:themeColor="accent3" w:themeShade="BF"/>
          <w:sz w:val="22"/>
          <w:szCs w:val="22"/>
          <w:lang w:val="en-GB"/>
        </w:rPr>
        <w:t>Members Voluntary Liquidation</w:t>
      </w:r>
      <w:r w:rsidR="007A45A3" w:rsidRPr="0010454F">
        <w:rPr>
          <w:rFonts w:ascii="Arial" w:hAnsi="Arial" w:cs="Arial"/>
          <w:color w:val="7B7B7B" w:themeColor="accent3" w:themeShade="BF"/>
          <w:sz w:val="22"/>
          <w:szCs w:val="22"/>
          <w:lang w:val="en-GB"/>
        </w:rPr>
        <w:t xml:space="preserve"> is only available to a company that is </w:t>
      </w:r>
      <w:proofErr w:type="gramStart"/>
      <w:r w:rsidR="007A45A3" w:rsidRPr="0010454F">
        <w:rPr>
          <w:rFonts w:ascii="Arial" w:hAnsi="Arial" w:cs="Arial"/>
          <w:color w:val="7B7B7B" w:themeColor="accent3" w:themeShade="BF"/>
          <w:sz w:val="22"/>
          <w:szCs w:val="22"/>
          <w:lang w:val="en-GB"/>
        </w:rPr>
        <w:t xml:space="preserve">solvent, </w:t>
      </w:r>
      <w:r w:rsidR="00F47460">
        <w:rPr>
          <w:rFonts w:ascii="Arial" w:hAnsi="Arial" w:cs="Arial"/>
          <w:color w:val="7B7B7B" w:themeColor="accent3" w:themeShade="BF"/>
          <w:sz w:val="22"/>
          <w:szCs w:val="22"/>
          <w:lang w:val="en-GB"/>
        </w:rPr>
        <w:t>and</w:t>
      </w:r>
      <w:proofErr w:type="gramEnd"/>
      <w:r w:rsidR="00F47460">
        <w:rPr>
          <w:rFonts w:ascii="Arial" w:hAnsi="Arial" w:cs="Arial"/>
          <w:color w:val="7B7B7B" w:themeColor="accent3" w:themeShade="BF"/>
          <w:sz w:val="22"/>
          <w:szCs w:val="22"/>
          <w:lang w:val="en-GB"/>
        </w:rPr>
        <w:t xml:space="preserve"> requires the support of the members.  As well as a</w:t>
      </w:r>
      <w:r w:rsidR="007A45A3" w:rsidRPr="0010454F">
        <w:rPr>
          <w:rFonts w:ascii="Arial" w:hAnsi="Arial" w:cs="Arial"/>
          <w:color w:val="7B7B7B" w:themeColor="accent3" w:themeShade="BF"/>
          <w:sz w:val="22"/>
          <w:szCs w:val="22"/>
          <w:lang w:val="en-GB"/>
        </w:rPr>
        <w:t xml:space="preserve"> </w:t>
      </w:r>
      <w:proofErr w:type="gramStart"/>
      <w:r w:rsidR="007A45A3" w:rsidRPr="0010454F">
        <w:rPr>
          <w:rFonts w:ascii="Arial" w:hAnsi="Arial" w:cs="Arial"/>
          <w:color w:val="7B7B7B" w:themeColor="accent3" w:themeShade="BF"/>
          <w:sz w:val="22"/>
          <w:szCs w:val="22"/>
          <w:lang w:val="en-GB"/>
        </w:rPr>
        <w:t>members</w:t>
      </w:r>
      <w:proofErr w:type="gramEnd"/>
      <w:r w:rsidR="007A45A3" w:rsidRPr="0010454F">
        <w:rPr>
          <w:rFonts w:ascii="Arial" w:hAnsi="Arial" w:cs="Arial"/>
          <w:color w:val="7B7B7B" w:themeColor="accent3" w:themeShade="BF"/>
          <w:sz w:val="22"/>
          <w:szCs w:val="22"/>
          <w:lang w:val="en-GB"/>
        </w:rPr>
        <w:t xml:space="preserve"> resolution to wind up the company, the directors must also ensure that they provide a declaration of solvency.</w:t>
      </w:r>
      <w:r w:rsidR="007A45A3" w:rsidRPr="0010454F">
        <w:rPr>
          <w:color w:val="7B7B7B" w:themeColor="accent3" w:themeShade="BF"/>
          <w:vertAlign w:val="superscript"/>
        </w:rPr>
        <w:footnoteReference w:id="27"/>
      </w:r>
      <w:r w:rsidR="007A45A3" w:rsidRPr="0010454F">
        <w:rPr>
          <w:rFonts w:ascii="Arial" w:hAnsi="Arial" w:cs="Arial"/>
          <w:color w:val="7B7B7B" w:themeColor="accent3" w:themeShade="BF"/>
          <w:sz w:val="22"/>
          <w:szCs w:val="22"/>
          <w:lang w:val="en-GB"/>
        </w:rPr>
        <w:t xml:space="preserve"> </w:t>
      </w:r>
    </w:p>
    <w:p w14:paraId="39979C91" w14:textId="085E31AF" w:rsidR="00F47460" w:rsidRDefault="00F47460" w:rsidP="00087F21">
      <w:pPr>
        <w:jc w:val="both"/>
        <w:rPr>
          <w:rFonts w:ascii="Arial" w:hAnsi="Arial" w:cs="Arial"/>
          <w:color w:val="7B7B7B" w:themeColor="accent3" w:themeShade="BF"/>
          <w:sz w:val="22"/>
          <w:szCs w:val="22"/>
          <w:lang w:val="en-GB"/>
        </w:rPr>
      </w:pPr>
    </w:p>
    <w:p w14:paraId="20A4B33C" w14:textId="3D5AE54B" w:rsidR="00F47460" w:rsidRDefault="00F47460"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Creditors Voluntary Liquidation occurs where the company is insolvent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are unable to pay the debts), and the directors are unable to make the same solvency declaration. In this scenario, the company must convene a meeting of its creditors, as well as its members and approve the plan for voluntary winding up.  </w:t>
      </w:r>
    </w:p>
    <w:p w14:paraId="631B526C" w14:textId="2A35F3D2" w:rsidR="00F47460" w:rsidRDefault="00F47460" w:rsidP="00087F21">
      <w:pPr>
        <w:jc w:val="both"/>
        <w:rPr>
          <w:rFonts w:ascii="Arial" w:hAnsi="Arial" w:cs="Arial"/>
          <w:color w:val="7B7B7B" w:themeColor="accent3" w:themeShade="BF"/>
          <w:sz w:val="22"/>
          <w:szCs w:val="22"/>
          <w:lang w:val="en-GB"/>
        </w:rPr>
      </w:pPr>
    </w:p>
    <w:p w14:paraId="2E91F14B" w14:textId="78420219" w:rsidR="00B170F8" w:rsidRDefault="00F47460"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Compulsory Liquidation can occur where any number of persons may be able to present to the Court, an application for a company to be wound up. These eligible persons can include the company itself, any director (note that it is any, not all), any creditor; the liquidator and even a judicial manager.</w:t>
      </w:r>
      <w:r>
        <w:rPr>
          <w:rStyle w:val="FootnoteReference"/>
          <w:rFonts w:ascii="Arial" w:hAnsi="Arial" w:cs="Arial"/>
          <w:color w:val="7B7B7B" w:themeColor="accent3" w:themeShade="BF"/>
          <w:sz w:val="22"/>
          <w:szCs w:val="22"/>
          <w:lang w:val="en-GB"/>
        </w:rPr>
        <w:footnoteReference w:id="28"/>
      </w:r>
      <w:r>
        <w:rPr>
          <w:rFonts w:ascii="Arial" w:hAnsi="Arial" w:cs="Arial"/>
          <w:color w:val="7B7B7B" w:themeColor="accent3" w:themeShade="BF"/>
          <w:sz w:val="22"/>
          <w:szCs w:val="22"/>
          <w:lang w:val="en-GB"/>
        </w:rPr>
        <w:t xml:space="preserve"> The Court may then order the winding u</w:t>
      </w:r>
      <w:r w:rsidR="00356AD9">
        <w:rPr>
          <w:rFonts w:ascii="Arial" w:hAnsi="Arial" w:cs="Arial"/>
          <w:color w:val="7B7B7B" w:themeColor="accent3" w:themeShade="BF"/>
          <w:sz w:val="22"/>
          <w:szCs w:val="22"/>
          <w:lang w:val="en-GB"/>
        </w:rPr>
        <w:t>p on any number of grounds, but notably the company has resolved to be wound up by the court, the company is unable to pay its debts or the directors have acted in a manner that is either unfair to members or in their own interests.</w:t>
      </w:r>
      <w:r w:rsidR="00356AD9">
        <w:rPr>
          <w:rStyle w:val="FootnoteReference"/>
          <w:rFonts w:ascii="Arial" w:hAnsi="Arial" w:cs="Arial"/>
          <w:color w:val="7B7B7B" w:themeColor="accent3" w:themeShade="BF"/>
          <w:sz w:val="22"/>
          <w:szCs w:val="22"/>
          <w:lang w:val="en-GB"/>
        </w:rPr>
        <w:footnoteReference w:id="29"/>
      </w:r>
      <w:r w:rsidR="00356AD9">
        <w:rPr>
          <w:rFonts w:ascii="Arial" w:hAnsi="Arial" w:cs="Arial"/>
          <w:color w:val="7B7B7B" w:themeColor="accent3" w:themeShade="BF"/>
          <w:sz w:val="22"/>
          <w:szCs w:val="22"/>
          <w:lang w:val="en-GB"/>
        </w:rPr>
        <w:t xml:space="preserve">  </w:t>
      </w:r>
    </w:p>
    <w:p w14:paraId="17577936" w14:textId="11D1D779" w:rsidR="00356AD9" w:rsidRDefault="00356AD9" w:rsidP="00087F21">
      <w:pPr>
        <w:jc w:val="both"/>
        <w:rPr>
          <w:rFonts w:ascii="Arial" w:hAnsi="Arial" w:cs="Arial"/>
          <w:color w:val="7B7B7B" w:themeColor="accent3" w:themeShade="BF"/>
          <w:sz w:val="22"/>
          <w:szCs w:val="22"/>
          <w:lang w:val="en-GB"/>
        </w:rPr>
      </w:pPr>
    </w:p>
    <w:p w14:paraId="055121B1" w14:textId="1A0CF1CD" w:rsidR="003D6F37" w:rsidRDefault="003D6F37"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Unfortunately, judicial management has often been criticised because it will often not result in a successful turn around and eventually an application will be made to convert the process away from judicial management to liquidation pursuant to section 118 of the IRDA. Often, the judicial management process is seen as the first step towards the liquidation of a company,</w:t>
      </w:r>
      <w:r>
        <w:rPr>
          <w:rStyle w:val="FootnoteReference"/>
          <w:rFonts w:ascii="Arial" w:hAnsi="Arial" w:cs="Arial"/>
          <w:color w:val="7B7B7B" w:themeColor="accent3" w:themeShade="BF"/>
          <w:sz w:val="22"/>
          <w:szCs w:val="22"/>
          <w:lang w:val="en-GB"/>
        </w:rPr>
        <w:footnoteReference w:id="30"/>
      </w:r>
      <w:r>
        <w:rPr>
          <w:rFonts w:ascii="Arial" w:hAnsi="Arial" w:cs="Arial"/>
          <w:color w:val="7B7B7B" w:themeColor="accent3" w:themeShade="BF"/>
          <w:sz w:val="22"/>
          <w:szCs w:val="22"/>
          <w:lang w:val="en-GB"/>
        </w:rPr>
        <w:t xml:space="preserve"> which limits the acceptance of such a procedure.  However, arguments can be made for directors to favour judicial management, for their own protection from civil or criminal penalties in the event that there are any allegations of wrongful or </w:t>
      </w:r>
      <w:r w:rsidR="006C4333">
        <w:rPr>
          <w:rFonts w:ascii="Arial" w:hAnsi="Arial" w:cs="Arial"/>
          <w:color w:val="7B7B7B" w:themeColor="accent3" w:themeShade="BF"/>
          <w:sz w:val="22"/>
          <w:szCs w:val="22"/>
          <w:lang w:val="en-GB"/>
        </w:rPr>
        <w:t>fraudulent</w:t>
      </w:r>
      <w:r>
        <w:rPr>
          <w:rFonts w:ascii="Arial" w:hAnsi="Arial" w:cs="Arial"/>
          <w:color w:val="7B7B7B" w:themeColor="accent3" w:themeShade="BF"/>
          <w:sz w:val="22"/>
          <w:szCs w:val="22"/>
          <w:lang w:val="en-GB"/>
        </w:rPr>
        <w:t xml:space="preserve"> trading</w:t>
      </w:r>
      <w:r w:rsidR="006C4333">
        <w:rPr>
          <w:rFonts w:ascii="Arial" w:hAnsi="Arial" w:cs="Arial"/>
          <w:color w:val="7B7B7B" w:themeColor="accent3" w:themeShade="BF"/>
          <w:sz w:val="22"/>
          <w:szCs w:val="22"/>
          <w:lang w:val="en-GB"/>
        </w:rPr>
        <w:t xml:space="preserve"> (although arguably a judicial manager can still bring such claims against the directors).</w:t>
      </w:r>
      <w:r w:rsidR="006C4333">
        <w:rPr>
          <w:rStyle w:val="FootnoteReference"/>
          <w:rFonts w:ascii="Arial" w:hAnsi="Arial" w:cs="Arial"/>
          <w:color w:val="7B7B7B" w:themeColor="accent3" w:themeShade="BF"/>
          <w:sz w:val="22"/>
          <w:szCs w:val="22"/>
          <w:lang w:val="en-GB"/>
        </w:rPr>
        <w:footnoteReference w:id="31"/>
      </w:r>
      <w:r w:rsidR="006C4333">
        <w:rPr>
          <w:rFonts w:ascii="Arial" w:hAnsi="Arial" w:cs="Arial"/>
          <w:color w:val="7B7B7B" w:themeColor="accent3" w:themeShade="BF"/>
          <w:sz w:val="22"/>
          <w:szCs w:val="22"/>
          <w:lang w:val="en-GB"/>
        </w:rPr>
        <w:t xml:space="preserve"> </w:t>
      </w:r>
    </w:p>
    <w:p w14:paraId="7B271683" w14:textId="77777777" w:rsidR="003D6F37" w:rsidRDefault="003D6F37" w:rsidP="00087F21">
      <w:pPr>
        <w:jc w:val="both"/>
        <w:rPr>
          <w:rFonts w:ascii="Arial" w:hAnsi="Arial" w:cs="Arial"/>
          <w:color w:val="7B7B7B" w:themeColor="accent3" w:themeShade="BF"/>
          <w:sz w:val="22"/>
          <w:szCs w:val="22"/>
          <w:lang w:val="en-GB"/>
        </w:rPr>
      </w:pPr>
    </w:p>
    <w:p w14:paraId="1D3B9375" w14:textId="4FFD40D2" w:rsidR="00356AD9" w:rsidRDefault="00356AD9"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Compared to a judicial management process, there is more creditor involvement in liquidation despite the existence of the Creditors Committee as detailed above. Further</w:t>
      </w:r>
      <w:r w:rsidR="003D6F3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outcomes between the two processes are quite different, in that liquidation results in the inevitable closure of a company whilst judicial management hold on to the hope that there may be an ability to effectively turn the company around, or at least a portion of the company around.  </w:t>
      </w:r>
      <w:r w:rsidR="003D6F37">
        <w:rPr>
          <w:rFonts w:ascii="Arial" w:hAnsi="Arial" w:cs="Arial"/>
          <w:color w:val="7B7B7B" w:themeColor="accent3" w:themeShade="BF"/>
          <w:sz w:val="22"/>
          <w:szCs w:val="22"/>
          <w:lang w:val="en-GB"/>
        </w:rPr>
        <w:t xml:space="preserve">It would also be prudent to consider the role of the creditor within judicial management, in that as a creditor, it may be favourable to replace the management of the failing company, and have the company be turned around and receive a better outcome, which is one the purposes of judicial management.  </w:t>
      </w:r>
    </w:p>
    <w:p w14:paraId="318AFC04" w14:textId="410D6094" w:rsidR="00356AD9" w:rsidRDefault="00356AD9" w:rsidP="00087F21">
      <w:pPr>
        <w:jc w:val="both"/>
        <w:rPr>
          <w:rFonts w:ascii="Arial" w:hAnsi="Arial" w:cs="Arial"/>
          <w:color w:val="7B7B7B" w:themeColor="accent3" w:themeShade="BF"/>
          <w:sz w:val="22"/>
          <w:szCs w:val="22"/>
          <w:lang w:val="en-GB"/>
        </w:rPr>
      </w:pPr>
    </w:p>
    <w:p w14:paraId="393EE655" w14:textId="3D17192E" w:rsidR="00F72901" w:rsidRDefault="00F72901" w:rsidP="00087F21">
      <w:pPr>
        <w:jc w:val="both"/>
        <w:rPr>
          <w:rFonts w:ascii="Arial" w:hAnsi="Arial" w:cs="Arial"/>
          <w:color w:val="7B7B7B" w:themeColor="accent3" w:themeShade="BF"/>
          <w:sz w:val="22"/>
          <w:szCs w:val="22"/>
          <w:lang w:val="en-GB"/>
        </w:rPr>
      </w:pPr>
    </w:p>
    <w:p w14:paraId="3A2DCC6F" w14:textId="0A08862F" w:rsidR="00F72901" w:rsidRDefault="00F72901" w:rsidP="00087F21">
      <w:pPr>
        <w:jc w:val="both"/>
        <w:rPr>
          <w:rFonts w:ascii="Arial" w:hAnsi="Arial" w:cs="Arial"/>
          <w:color w:val="7B7B7B" w:themeColor="accent3" w:themeShade="BF"/>
          <w:sz w:val="22"/>
          <w:szCs w:val="22"/>
          <w:lang w:val="en-GB"/>
        </w:rPr>
      </w:pPr>
    </w:p>
    <w:p w14:paraId="041073F9" w14:textId="063DC218" w:rsidR="00F72901" w:rsidRDefault="00F72901" w:rsidP="00087F21">
      <w:pPr>
        <w:jc w:val="both"/>
        <w:rPr>
          <w:rFonts w:ascii="Arial" w:hAnsi="Arial" w:cs="Arial"/>
          <w:color w:val="7B7B7B" w:themeColor="accent3" w:themeShade="BF"/>
          <w:sz w:val="22"/>
          <w:szCs w:val="22"/>
          <w:lang w:val="en-GB"/>
        </w:rPr>
      </w:pPr>
    </w:p>
    <w:p w14:paraId="0A4BD3C3" w14:textId="1A07866E" w:rsidR="00F72901" w:rsidRDefault="00F72901" w:rsidP="00087F21">
      <w:pPr>
        <w:jc w:val="both"/>
        <w:rPr>
          <w:rFonts w:ascii="Arial" w:hAnsi="Arial" w:cs="Arial"/>
          <w:color w:val="7B7B7B" w:themeColor="accent3" w:themeShade="BF"/>
          <w:sz w:val="22"/>
          <w:szCs w:val="22"/>
          <w:lang w:val="en-GB"/>
        </w:rPr>
      </w:pPr>
    </w:p>
    <w:p w14:paraId="2DBCF258" w14:textId="44A9DF47" w:rsidR="00F72901" w:rsidRDefault="00F72901" w:rsidP="00087F21">
      <w:pPr>
        <w:jc w:val="both"/>
        <w:rPr>
          <w:rFonts w:ascii="Arial" w:hAnsi="Arial" w:cs="Arial"/>
          <w:color w:val="7B7B7B" w:themeColor="accent3" w:themeShade="BF"/>
          <w:sz w:val="22"/>
          <w:szCs w:val="22"/>
          <w:lang w:val="en-GB"/>
        </w:rPr>
      </w:pPr>
    </w:p>
    <w:p w14:paraId="43E7814E" w14:textId="77777777" w:rsidR="00F72901" w:rsidRDefault="00F72901" w:rsidP="00087F21">
      <w:pPr>
        <w:jc w:val="both"/>
        <w:rPr>
          <w:rFonts w:ascii="Arial" w:hAnsi="Arial" w:cs="Arial"/>
          <w:color w:val="7B7B7B" w:themeColor="accent3" w:themeShade="BF"/>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lastRenderedPageBreak/>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0"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xml:space="preserve">, Thailand and </w:t>
      </w:r>
      <w:proofErr w:type="gramStart"/>
      <w:r>
        <w:rPr>
          <w:rFonts w:ascii="Arial" w:hAnsi="Arial" w:cs="Arial"/>
          <w:sz w:val="22"/>
          <w:szCs w:val="22"/>
          <w:lang w:val="en-GB"/>
        </w:rPr>
        <w:t>Cambodia;</w:t>
      </w:r>
      <w:proofErr w:type="gramEnd"/>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 xml:space="preserve">has three </w:t>
      </w:r>
      <w:proofErr w:type="gramStart"/>
      <w:r w:rsidR="00AB4451">
        <w:rPr>
          <w:rFonts w:ascii="Arial" w:hAnsi="Arial" w:cs="Arial"/>
          <w:sz w:val="22"/>
          <w:szCs w:val="22"/>
          <w:lang w:val="en-GB"/>
        </w:rPr>
        <w:t>wholly</w:t>
      </w:r>
      <w:r w:rsidR="00AB6201">
        <w:rPr>
          <w:rFonts w:ascii="Arial" w:hAnsi="Arial" w:cs="Arial"/>
          <w:sz w:val="22"/>
          <w:szCs w:val="22"/>
          <w:lang w:val="en-GB"/>
        </w:rPr>
        <w:t>-</w:t>
      </w:r>
      <w:r w:rsidR="00AB4451">
        <w:rPr>
          <w:rFonts w:ascii="Arial" w:hAnsi="Arial" w:cs="Arial"/>
          <w:sz w:val="22"/>
          <w:szCs w:val="22"/>
          <w:lang w:val="en-GB"/>
        </w:rPr>
        <w:t>owned</w:t>
      </w:r>
      <w:proofErr w:type="gramEnd"/>
      <w:r w:rsidR="00AB4451">
        <w:rPr>
          <w:rFonts w:ascii="Arial" w:hAnsi="Arial" w:cs="Arial"/>
          <w:sz w:val="22"/>
          <w:szCs w:val="22"/>
          <w:lang w:val="en-GB"/>
        </w:rPr>
        <w:t xml:space="preserve">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w:t>
      </w:r>
      <w:proofErr w:type="gramStart"/>
      <w:r w:rsidR="0007291B">
        <w:rPr>
          <w:rFonts w:ascii="Arial" w:hAnsi="Arial" w:cs="Arial"/>
          <w:sz w:val="22"/>
          <w:szCs w:val="22"/>
          <w:lang w:val="en-GB"/>
        </w:rPr>
        <w:t>Ltd;</w:t>
      </w:r>
      <w:proofErr w:type="gramEnd"/>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lastRenderedPageBreak/>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proofErr w:type="gramStart"/>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proofErr w:type="gramEnd"/>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5807A94A" w:rsidR="00CF14BE" w:rsidRPr="00CF14BE" w:rsidRDefault="00631DDB" w:rsidP="00BE65AA">
      <w:pPr>
        <w:pStyle w:val="ListParagraph"/>
        <w:numPr>
          <w:ilvl w:val="0"/>
          <w:numId w:val="3"/>
        </w:numPr>
        <w:ind w:left="426"/>
        <w:jc w:val="both"/>
        <w:rPr>
          <w:lang w:val="en-GB"/>
        </w:rPr>
      </w:pPr>
      <w:proofErr w:type="gramStart"/>
      <w:r>
        <w:rPr>
          <w:rFonts w:ascii="Arial" w:hAnsi="Arial" w:cs="Arial"/>
          <w:sz w:val="22"/>
          <w:szCs w:val="22"/>
          <w:lang w:val="en-GB"/>
        </w:rPr>
        <w:t>Assuming  that</w:t>
      </w:r>
      <w:proofErr w:type="gramEnd"/>
      <w:r>
        <w:rPr>
          <w:rFonts w:ascii="Arial" w:hAnsi="Arial" w:cs="Arial"/>
          <w:sz w:val="22"/>
          <w:szCs w:val="22"/>
          <w:lang w:val="en-GB"/>
        </w:rPr>
        <w:t xml:space="preserve">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30A844DC" w14:textId="097EEE74" w:rsidR="001A007A" w:rsidRPr="009E3DF6" w:rsidRDefault="002E6F86" w:rsidP="009E3DF6">
      <w:pPr>
        <w:ind w:left="66"/>
        <w:jc w:val="both"/>
        <w:rPr>
          <w:rFonts w:ascii="Arial" w:hAnsi="Arial" w:cs="Arial"/>
          <w:sz w:val="22"/>
          <w:szCs w:val="22"/>
          <w:lang w:val="en-GB"/>
        </w:rPr>
      </w:pPr>
      <w:r>
        <w:rPr>
          <w:rFonts w:ascii="Arial" w:hAnsi="Arial" w:cs="Arial"/>
          <w:color w:val="7B7B7B" w:themeColor="accent3" w:themeShade="BF"/>
          <w:sz w:val="22"/>
          <w:szCs w:val="22"/>
          <w:lang w:val="en-GB"/>
        </w:rPr>
        <w:t>Pursuant</w:t>
      </w:r>
      <w:r w:rsidR="0018544B">
        <w:rPr>
          <w:rFonts w:ascii="Arial" w:hAnsi="Arial" w:cs="Arial"/>
          <w:color w:val="7B7B7B" w:themeColor="accent3" w:themeShade="BF"/>
          <w:sz w:val="22"/>
          <w:szCs w:val="22"/>
          <w:lang w:val="en-GB"/>
        </w:rPr>
        <w:t xml:space="preserve"> to section 89(1) of the Insolvency, Restructuring and Dissolution Act 2018, the purpose of Judicial </w:t>
      </w:r>
      <w:r w:rsidR="00666581">
        <w:rPr>
          <w:rFonts w:ascii="Arial" w:hAnsi="Arial" w:cs="Arial"/>
          <w:color w:val="7B7B7B" w:themeColor="accent3" w:themeShade="BF"/>
          <w:sz w:val="22"/>
          <w:szCs w:val="22"/>
          <w:lang w:val="en-GB"/>
        </w:rPr>
        <w:t>M</w:t>
      </w:r>
      <w:r w:rsidR="0018544B">
        <w:rPr>
          <w:rFonts w:ascii="Arial" w:hAnsi="Arial" w:cs="Arial"/>
          <w:color w:val="7B7B7B" w:themeColor="accent3" w:themeShade="BF"/>
          <w:sz w:val="22"/>
          <w:szCs w:val="22"/>
          <w:lang w:val="en-GB"/>
        </w:rPr>
        <w:t xml:space="preserve">anagement </w:t>
      </w:r>
      <w:r w:rsidR="00666581">
        <w:rPr>
          <w:rFonts w:ascii="Arial" w:hAnsi="Arial" w:cs="Arial"/>
          <w:color w:val="7B7B7B" w:themeColor="accent3" w:themeShade="BF"/>
          <w:sz w:val="22"/>
          <w:szCs w:val="22"/>
          <w:lang w:val="en-GB"/>
        </w:rPr>
        <w:t>is for the survival of the company (or part thereof) as a going concern, to reach a compromise or arraignment between the Company and a creditor (or class of creditors)</w:t>
      </w:r>
      <w:r>
        <w:rPr>
          <w:rFonts w:ascii="Arial" w:hAnsi="Arial" w:cs="Arial"/>
          <w:color w:val="7B7B7B" w:themeColor="accent3" w:themeShade="BF"/>
          <w:sz w:val="22"/>
          <w:szCs w:val="22"/>
          <w:lang w:val="en-GB"/>
        </w:rPr>
        <w:t>, or to have a better realisation of the assets and property of the Company than may otherwise occur through a winding up.  In making an application to the Court for judicial management, it must be demonstrated that the company is, or will likely become unable to pay its debts;</w:t>
      </w:r>
      <w:r>
        <w:rPr>
          <w:rStyle w:val="FootnoteReference"/>
          <w:rFonts w:ascii="Arial" w:hAnsi="Arial" w:cs="Arial"/>
          <w:color w:val="7B7B7B" w:themeColor="accent3" w:themeShade="BF"/>
          <w:sz w:val="22"/>
          <w:szCs w:val="22"/>
          <w:lang w:val="en-GB"/>
        </w:rPr>
        <w:footnoteReference w:id="32"/>
      </w:r>
      <w:r>
        <w:rPr>
          <w:rFonts w:ascii="Arial" w:hAnsi="Arial" w:cs="Arial"/>
          <w:color w:val="7B7B7B" w:themeColor="accent3" w:themeShade="BF"/>
          <w:sz w:val="22"/>
          <w:szCs w:val="22"/>
          <w:lang w:val="en-GB"/>
        </w:rPr>
        <w:t xml:space="preserve"> and that the granting of such an order would serve the purposes of judicial management.</w:t>
      </w:r>
      <w:r>
        <w:rPr>
          <w:rStyle w:val="FootnoteReference"/>
          <w:rFonts w:ascii="Arial" w:hAnsi="Arial" w:cs="Arial"/>
          <w:color w:val="7B7B7B" w:themeColor="accent3" w:themeShade="BF"/>
          <w:sz w:val="22"/>
          <w:szCs w:val="22"/>
          <w:lang w:val="en-GB"/>
        </w:rPr>
        <w:footnoteReference w:id="33"/>
      </w:r>
      <w:r>
        <w:rPr>
          <w:rFonts w:ascii="Arial" w:hAnsi="Arial" w:cs="Arial"/>
          <w:color w:val="7B7B7B" w:themeColor="accent3" w:themeShade="BF"/>
          <w:sz w:val="22"/>
          <w:szCs w:val="22"/>
          <w:lang w:val="en-GB"/>
        </w:rPr>
        <w:t xml:space="preserve">  </w:t>
      </w:r>
    </w:p>
    <w:p w14:paraId="4266726E" w14:textId="77777777" w:rsidR="001A007A" w:rsidRDefault="001A007A" w:rsidP="00087F21">
      <w:pPr>
        <w:jc w:val="both"/>
        <w:rPr>
          <w:rFonts w:ascii="Arial" w:hAnsi="Arial" w:cs="Arial"/>
          <w:sz w:val="22"/>
          <w:szCs w:val="22"/>
          <w:lang w:val="en-GB"/>
        </w:rPr>
      </w:pPr>
    </w:p>
    <w:p w14:paraId="6F40BCE0" w14:textId="5B1B594F" w:rsidR="007F659B" w:rsidRDefault="00D10F73" w:rsidP="007A45A3">
      <w:pPr>
        <w:ind w:left="66"/>
        <w:jc w:val="both"/>
        <w:rPr>
          <w:rFonts w:ascii="Arial" w:hAnsi="Arial" w:cs="Arial"/>
          <w:color w:val="7B7B7B" w:themeColor="accent3" w:themeShade="BF"/>
          <w:sz w:val="22"/>
          <w:szCs w:val="22"/>
          <w:lang w:val="en-GB"/>
        </w:rPr>
      </w:pPr>
      <w:r w:rsidRPr="007A45A3">
        <w:rPr>
          <w:rFonts w:ascii="Arial" w:hAnsi="Arial" w:cs="Arial"/>
          <w:color w:val="7B7B7B" w:themeColor="accent3" w:themeShade="BF"/>
          <w:sz w:val="22"/>
          <w:szCs w:val="22"/>
          <w:lang w:val="en-GB"/>
        </w:rPr>
        <w:t xml:space="preserve">Rescue financing </w:t>
      </w:r>
      <w:r w:rsidR="007A45A3">
        <w:rPr>
          <w:rFonts w:ascii="Arial" w:hAnsi="Arial" w:cs="Arial"/>
          <w:color w:val="7B7B7B" w:themeColor="accent3" w:themeShade="BF"/>
          <w:sz w:val="22"/>
          <w:szCs w:val="22"/>
          <w:lang w:val="en-GB"/>
        </w:rPr>
        <w:t xml:space="preserve">is available where it is necessary for either or both </w:t>
      </w:r>
      <w:r w:rsidRPr="007A45A3">
        <w:rPr>
          <w:rFonts w:ascii="Arial" w:hAnsi="Arial" w:cs="Arial"/>
          <w:color w:val="7B7B7B" w:themeColor="accent3" w:themeShade="BF"/>
          <w:sz w:val="22"/>
          <w:szCs w:val="22"/>
          <w:lang w:val="en-GB"/>
        </w:rPr>
        <w:t>the survival of the debtor company</w:t>
      </w:r>
      <w:r w:rsidR="00BD424E">
        <w:rPr>
          <w:rFonts w:ascii="Arial" w:hAnsi="Arial" w:cs="Arial"/>
          <w:color w:val="7B7B7B" w:themeColor="accent3" w:themeShade="BF"/>
          <w:sz w:val="22"/>
          <w:szCs w:val="22"/>
          <w:lang w:val="en-GB"/>
        </w:rPr>
        <w:t xml:space="preserve"> (including a part of that company or the whole) as a going concern</w:t>
      </w:r>
      <w:r w:rsidRPr="007A45A3">
        <w:rPr>
          <w:rFonts w:ascii="Arial" w:hAnsi="Arial" w:cs="Arial"/>
          <w:color w:val="7B7B7B" w:themeColor="accent3" w:themeShade="BF"/>
          <w:sz w:val="22"/>
          <w:szCs w:val="22"/>
          <w:lang w:val="en-GB"/>
        </w:rPr>
        <w:t>;</w:t>
      </w:r>
      <w:r w:rsidR="00BD424E">
        <w:rPr>
          <w:rStyle w:val="FootnoteReference"/>
          <w:rFonts w:ascii="Arial" w:hAnsi="Arial" w:cs="Arial"/>
          <w:color w:val="7B7B7B" w:themeColor="accent3" w:themeShade="BF"/>
          <w:sz w:val="22"/>
          <w:szCs w:val="22"/>
          <w:lang w:val="en-GB"/>
        </w:rPr>
        <w:footnoteReference w:id="34"/>
      </w:r>
      <w:r w:rsidRPr="007A45A3">
        <w:rPr>
          <w:rFonts w:ascii="Arial" w:hAnsi="Arial" w:cs="Arial"/>
          <w:color w:val="7B7B7B" w:themeColor="accent3" w:themeShade="BF"/>
          <w:sz w:val="22"/>
          <w:szCs w:val="22"/>
          <w:lang w:val="en-GB"/>
        </w:rPr>
        <w:t xml:space="preserve"> or to ensure that a more advantageous realisation of the assets of a debtor than through a winding up order</w:t>
      </w:r>
      <w:r w:rsidR="00BD424E">
        <w:rPr>
          <w:rFonts w:ascii="Arial" w:hAnsi="Arial" w:cs="Arial"/>
          <w:color w:val="7B7B7B" w:themeColor="accent3" w:themeShade="BF"/>
          <w:sz w:val="22"/>
          <w:szCs w:val="22"/>
          <w:lang w:val="en-GB"/>
        </w:rPr>
        <w:t>;</w:t>
      </w:r>
      <w:r w:rsidRPr="007A45A3">
        <w:rPr>
          <w:color w:val="7B7B7B" w:themeColor="accent3" w:themeShade="BF"/>
          <w:vertAlign w:val="superscript"/>
        </w:rPr>
        <w:footnoteReference w:id="35"/>
      </w:r>
      <w:r w:rsidR="00BD424E">
        <w:rPr>
          <w:rFonts w:ascii="Arial" w:hAnsi="Arial" w:cs="Arial"/>
          <w:color w:val="7B7B7B" w:themeColor="accent3" w:themeShade="BF"/>
          <w:sz w:val="22"/>
          <w:szCs w:val="22"/>
          <w:lang w:val="en-GB"/>
        </w:rPr>
        <w:t xml:space="preserve"> or where the financing is necessary for the Court’s approval under section 210(4) of the Companies Act or section 71(5) of a compromise or arrangement </w:t>
      </w:r>
      <w:r w:rsidR="00BD424E">
        <w:rPr>
          <w:rFonts w:ascii="Arial" w:hAnsi="Arial" w:cs="Arial"/>
          <w:color w:val="7B7B7B" w:themeColor="accent3" w:themeShade="BF"/>
          <w:sz w:val="22"/>
          <w:szCs w:val="22"/>
          <w:vertAlign w:val="superscript"/>
          <w:lang w:val="en-GB"/>
        </w:rPr>
        <w:t xml:space="preserve">as </w:t>
      </w:r>
      <w:r w:rsidR="00BD424E">
        <w:rPr>
          <w:rFonts w:ascii="Arial" w:hAnsi="Arial" w:cs="Arial"/>
          <w:color w:val="7B7B7B" w:themeColor="accent3" w:themeShade="BF"/>
          <w:sz w:val="22"/>
          <w:szCs w:val="22"/>
          <w:lang w:val="en-GB"/>
        </w:rPr>
        <w:t xml:space="preserve">set out in section 210(5) of the </w:t>
      </w:r>
      <w:r w:rsidR="00E036D0">
        <w:rPr>
          <w:rFonts w:ascii="Arial" w:hAnsi="Arial" w:cs="Arial"/>
          <w:color w:val="7B7B7B" w:themeColor="accent3" w:themeShade="BF"/>
          <w:sz w:val="22"/>
          <w:szCs w:val="22"/>
          <w:lang w:val="en-GB"/>
        </w:rPr>
        <w:t>C</w:t>
      </w:r>
      <w:r w:rsidR="00BD424E">
        <w:rPr>
          <w:rFonts w:ascii="Arial" w:hAnsi="Arial" w:cs="Arial"/>
          <w:color w:val="7B7B7B" w:themeColor="accent3" w:themeShade="BF"/>
          <w:sz w:val="22"/>
          <w:szCs w:val="22"/>
          <w:lang w:val="en-GB"/>
        </w:rPr>
        <w:t>ompanies Act or section 71(1) involving the company that obtains the financing.</w:t>
      </w:r>
      <w:r w:rsidR="00BD424E">
        <w:rPr>
          <w:rStyle w:val="FootnoteReference"/>
          <w:rFonts w:ascii="Arial" w:hAnsi="Arial" w:cs="Arial"/>
          <w:color w:val="7B7B7B" w:themeColor="accent3" w:themeShade="BF"/>
          <w:sz w:val="22"/>
          <w:szCs w:val="22"/>
          <w:lang w:val="en-GB"/>
        </w:rPr>
        <w:footnoteReference w:id="36"/>
      </w:r>
      <w:r w:rsidR="00BD424E">
        <w:rPr>
          <w:rFonts w:ascii="Arial" w:hAnsi="Arial" w:cs="Arial"/>
          <w:color w:val="7B7B7B" w:themeColor="accent3" w:themeShade="BF"/>
          <w:sz w:val="22"/>
          <w:szCs w:val="22"/>
          <w:lang w:val="en-GB"/>
        </w:rPr>
        <w:t xml:space="preserve">  </w:t>
      </w:r>
    </w:p>
    <w:p w14:paraId="073845D3" w14:textId="14DB5B43" w:rsidR="00BD424E" w:rsidRDefault="00BD424E" w:rsidP="007A45A3">
      <w:pPr>
        <w:ind w:left="66"/>
        <w:jc w:val="both"/>
        <w:rPr>
          <w:rFonts w:ascii="Arial" w:hAnsi="Arial" w:cs="Arial"/>
          <w:color w:val="7B7B7B" w:themeColor="accent3" w:themeShade="BF"/>
          <w:sz w:val="22"/>
          <w:szCs w:val="22"/>
          <w:lang w:val="en-GB"/>
        </w:rPr>
      </w:pPr>
    </w:p>
    <w:p w14:paraId="3C77109F" w14:textId="7743BF1E" w:rsidR="00C861DA" w:rsidRDefault="00E036D0" w:rsidP="00E036D0">
      <w:pPr>
        <w:ind w:left="66"/>
        <w:jc w:val="both"/>
        <w:rPr>
          <w:rFonts w:ascii="Arial" w:hAnsi="Arial" w:cs="Arial"/>
          <w:color w:val="7B7B7B" w:themeColor="accent3" w:themeShade="BF"/>
          <w:sz w:val="22"/>
          <w:szCs w:val="22"/>
          <w:lang w:val="en-GB"/>
        </w:rPr>
      </w:pPr>
      <w:r w:rsidRPr="00E036D0">
        <w:rPr>
          <w:rFonts w:ascii="Arial" w:hAnsi="Arial" w:cs="Arial"/>
          <w:color w:val="7B7B7B" w:themeColor="accent3" w:themeShade="BF"/>
          <w:sz w:val="22"/>
          <w:szCs w:val="22"/>
          <w:lang w:val="en-GB"/>
        </w:rPr>
        <w:t>Given t</w:t>
      </w:r>
      <w:r>
        <w:rPr>
          <w:rFonts w:ascii="Arial" w:hAnsi="Arial" w:cs="Arial"/>
          <w:color w:val="7B7B7B" w:themeColor="accent3" w:themeShade="BF"/>
          <w:sz w:val="22"/>
          <w:szCs w:val="22"/>
          <w:lang w:val="en-GB"/>
        </w:rPr>
        <w:t>hat PEC is currently involved in judicial management proceedings, the subsidiaries may be placed into judicial management by a resolution of the creditors.</w:t>
      </w:r>
      <w:r>
        <w:rPr>
          <w:rStyle w:val="FootnoteReference"/>
          <w:rFonts w:ascii="Arial" w:hAnsi="Arial" w:cs="Arial"/>
          <w:color w:val="7B7B7B" w:themeColor="accent3" w:themeShade="BF"/>
          <w:sz w:val="22"/>
          <w:szCs w:val="22"/>
          <w:lang w:val="en-GB"/>
        </w:rPr>
        <w:footnoteReference w:id="37"/>
      </w:r>
      <w:r>
        <w:rPr>
          <w:rFonts w:ascii="Arial" w:hAnsi="Arial" w:cs="Arial"/>
          <w:color w:val="7B7B7B" w:themeColor="accent3" w:themeShade="BF"/>
          <w:sz w:val="22"/>
          <w:szCs w:val="22"/>
          <w:lang w:val="en-GB"/>
        </w:rPr>
        <w:t xml:space="preserve"> </w:t>
      </w:r>
      <w:r w:rsidR="00C861DA">
        <w:rPr>
          <w:rFonts w:ascii="Arial" w:hAnsi="Arial" w:cs="Arial"/>
          <w:color w:val="7B7B7B" w:themeColor="accent3" w:themeShade="BF"/>
          <w:sz w:val="22"/>
          <w:szCs w:val="22"/>
          <w:lang w:val="en-GB"/>
        </w:rPr>
        <w:t xml:space="preserve">The company must give at least seven </w:t>
      </w:r>
      <w:proofErr w:type="spellStart"/>
      <w:r w:rsidR="00C861DA">
        <w:rPr>
          <w:rFonts w:ascii="Arial" w:hAnsi="Arial" w:cs="Arial"/>
          <w:color w:val="7B7B7B" w:themeColor="accent3" w:themeShade="BF"/>
          <w:sz w:val="22"/>
          <w:szCs w:val="22"/>
          <w:lang w:val="en-GB"/>
        </w:rPr>
        <w:t>days notice</w:t>
      </w:r>
      <w:proofErr w:type="spellEnd"/>
      <w:r w:rsidR="00C861DA">
        <w:rPr>
          <w:rFonts w:ascii="Arial" w:hAnsi="Arial" w:cs="Arial"/>
          <w:color w:val="7B7B7B" w:themeColor="accent3" w:themeShade="BF"/>
          <w:sz w:val="22"/>
          <w:szCs w:val="22"/>
          <w:lang w:val="en-GB"/>
        </w:rPr>
        <w:t xml:space="preserve"> of its intention to propose to be placed under judicial management to the proposed interim judicial manager and any person who holds a charge over a majority of the company’s assets;</w:t>
      </w:r>
      <w:r w:rsidR="00C861DA">
        <w:rPr>
          <w:rStyle w:val="FootnoteReference"/>
          <w:rFonts w:ascii="Arial" w:hAnsi="Arial" w:cs="Arial"/>
          <w:color w:val="7B7B7B" w:themeColor="accent3" w:themeShade="BF"/>
          <w:sz w:val="22"/>
          <w:szCs w:val="22"/>
          <w:lang w:val="en-GB"/>
        </w:rPr>
        <w:footnoteReference w:id="38"/>
      </w:r>
      <w:r w:rsidR="00C861DA">
        <w:rPr>
          <w:rFonts w:ascii="Arial" w:hAnsi="Arial" w:cs="Arial"/>
          <w:color w:val="7B7B7B" w:themeColor="accent3" w:themeShade="BF"/>
          <w:sz w:val="22"/>
          <w:szCs w:val="22"/>
          <w:lang w:val="en-GB"/>
        </w:rPr>
        <w:t xml:space="preserve"> members resolve to appoint the interim judicial manager; holders of the charge agree to the appointment of the interim judicial manager</w:t>
      </w:r>
      <w:r w:rsidR="00A27EC7">
        <w:rPr>
          <w:rFonts w:ascii="Arial" w:hAnsi="Arial" w:cs="Arial"/>
          <w:color w:val="7B7B7B" w:themeColor="accent3" w:themeShade="BF"/>
          <w:sz w:val="22"/>
          <w:szCs w:val="22"/>
          <w:lang w:val="en-GB"/>
        </w:rPr>
        <w:t>;</w:t>
      </w:r>
      <w:r w:rsidR="00A27EC7">
        <w:rPr>
          <w:rStyle w:val="FootnoteReference"/>
          <w:rFonts w:ascii="Arial" w:hAnsi="Arial" w:cs="Arial"/>
          <w:color w:val="7B7B7B" w:themeColor="accent3" w:themeShade="BF"/>
          <w:sz w:val="22"/>
          <w:szCs w:val="22"/>
          <w:lang w:val="en-GB"/>
        </w:rPr>
        <w:footnoteReference w:id="39"/>
      </w:r>
      <w:r w:rsidR="00A27EC7">
        <w:rPr>
          <w:rFonts w:ascii="Arial" w:hAnsi="Arial" w:cs="Arial"/>
          <w:color w:val="7B7B7B" w:themeColor="accent3" w:themeShade="BF"/>
          <w:sz w:val="22"/>
          <w:szCs w:val="22"/>
          <w:lang w:val="en-GB"/>
        </w:rPr>
        <w:t xml:space="preserve"> the interim judicial manager is appointed within 21 days of the notice above,</w:t>
      </w:r>
      <w:r w:rsidR="00A27EC7">
        <w:rPr>
          <w:rStyle w:val="FootnoteReference"/>
          <w:rFonts w:ascii="Arial" w:hAnsi="Arial" w:cs="Arial"/>
          <w:color w:val="7B7B7B" w:themeColor="accent3" w:themeShade="BF"/>
          <w:sz w:val="22"/>
          <w:szCs w:val="22"/>
          <w:lang w:val="en-GB"/>
        </w:rPr>
        <w:footnoteReference w:id="40"/>
      </w:r>
      <w:r w:rsidR="00A27EC7">
        <w:rPr>
          <w:rFonts w:ascii="Arial" w:hAnsi="Arial" w:cs="Arial"/>
          <w:color w:val="7B7B7B" w:themeColor="accent3" w:themeShade="BF"/>
          <w:sz w:val="22"/>
          <w:szCs w:val="22"/>
          <w:lang w:val="en-GB"/>
        </w:rPr>
        <w:t xml:space="preserve">  the interim judicial manager and the board of directors are to lodge documents with the Official Receiver and the Registrar of Companies;</w:t>
      </w:r>
      <w:r w:rsidR="00A27EC7">
        <w:rPr>
          <w:rStyle w:val="FootnoteReference"/>
          <w:rFonts w:ascii="Arial" w:hAnsi="Arial" w:cs="Arial"/>
          <w:color w:val="7B7B7B" w:themeColor="accent3" w:themeShade="BF"/>
          <w:sz w:val="22"/>
          <w:szCs w:val="22"/>
          <w:lang w:val="en-GB"/>
        </w:rPr>
        <w:footnoteReference w:id="41"/>
      </w:r>
      <w:r w:rsidR="00A27EC7">
        <w:rPr>
          <w:rFonts w:ascii="Arial" w:hAnsi="Arial" w:cs="Arial"/>
          <w:color w:val="7B7B7B" w:themeColor="accent3" w:themeShade="BF"/>
          <w:sz w:val="22"/>
          <w:szCs w:val="22"/>
          <w:lang w:val="en-GB"/>
        </w:rPr>
        <w:t xml:space="preserve"> and the company must give notice to all creditors of a creditors meeting taking place within 30 days of the lodgement of documents by the interim judicial manger.</w:t>
      </w:r>
      <w:r w:rsidR="00A27EC7">
        <w:rPr>
          <w:rStyle w:val="FootnoteReference"/>
          <w:rFonts w:ascii="Arial" w:hAnsi="Arial" w:cs="Arial"/>
          <w:color w:val="7B7B7B" w:themeColor="accent3" w:themeShade="BF"/>
          <w:sz w:val="22"/>
          <w:szCs w:val="22"/>
          <w:lang w:val="en-GB"/>
        </w:rPr>
        <w:footnoteReference w:id="42"/>
      </w:r>
      <w:r w:rsidR="00A27EC7">
        <w:rPr>
          <w:rFonts w:ascii="Arial" w:hAnsi="Arial" w:cs="Arial"/>
          <w:color w:val="7B7B7B" w:themeColor="accent3" w:themeShade="BF"/>
          <w:sz w:val="22"/>
          <w:szCs w:val="22"/>
          <w:lang w:val="en-GB"/>
        </w:rPr>
        <w:t xml:space="preserve">  </w:t>
      </w:r>
    </w:p>
    <w:p w14:paraId="38C3D661" w14:textId="77777777" w:rsidR="00C861DA" w:rsidRDefault="00C861DA" w:rsidP="00E036D0">
      <w:pPr>
        <w:ind w:left="66"/>
        <w:jc w:val="both"/>
        <w:rPr>
          <w:rFonts w:ascii="Arial" w:hAnsi="Arial" w:cs="Arial"/>
          <w:color w:val="7B7B7B" w:themeColor="accent3" w:themeShade="BF"/>
          <w:sz w:val="22"/>
          <w:szCs w:val="22"/>
          <w:lang w:val="en-GB"/>
        </w:rPr>
      </w:pPr>
    </w:p>
    <w:p w14:paraId="0D949003" w14:textId="77777777" w:rsidR="00E036D0" w:rsidRDefault="00E036D0"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proofErr w:type="gramStart"/>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w:t>
      </w:r>
      <w:proofErr w:type="gramEnd"/>
      <w:r w:rsidR="00994947">
        <w:rPr>
          <w:rFonts w:ascii="Arial" w:hAnsi="Arial" w:cs="Arial"/>
          <w:sz w:val="22"/>
          <w:szCs w:val="22"/>
          <w:lang w:val="en-GB"/>
        </w:rPr>
        <w:t xml:space="preserve">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One particular</w:t>
      </w:r>
      <w:r w:rsidR="0007291B">
        <w:rPr>
          <w:rFonts w:ascii="Arial" w:hAnsi="Arial" w:cs="Arial"/>
          <w:sz w:val="22"/>
          <w:szCs w:val="22"/>
          <w:lang w:val="en-GB"/>
        </w:rPr>
        <w:t xml:space="preserve"> </w:t>
      </w:r>
      <w:r w:rsidR="00DC7761">
        <w:rPr>
          <w:rFonts w:ascii="Arial" w:hAnsi="Arial" w:cs="Arial"/>
          <w:sz w:val="22"/>
          <w:szCs w:val="22"/>
          <w:lang w:val="en-GB"/>
        </w:rPr>
        <w:t>private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6987BA9D" w14:textId="61E46CB9" w:rsidR="005C529D" w:rsidRDefault="005558DE" w:rsidP="005C529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only way that the moratoria may apply to PEC and subsidiaries may apply to the assets outside of Singapore is through the prevention of further execution or legal process </w:t>
      </w:r>
      <w:r w:rsidR="0010454F">
        <w:rPr>
          <w:rFonts w:ascii="Arial" w:hAnsi="Arial" w:cs="Arial"/>
          <w:color w:val="7B7B7B" w:themeColor="accent3" w:themeShade="BF"/>
          <w:sz w:val="22"/>
          <w:szCs w:val="22"/>
          <w:lang w:val="en-GB"/>
        </w:rPr>
        <w:t xml:space="preserve">without the consent of the judicial manager or leave of the Court as set out in sections 96(4)(c), (d) or (e). Arguably, where the Singapore Courts have in </w:t>
      </w:r>
      <w:proofErr w:type="spellStart"/>
      <w:r w:rsidR="0010454F">
        <w:rPr>
          <w:rFonts w:ascii="Arial" w:hAnsi="Arial" w:cs="Arial"/>
          <w:color w:val="7B7B7B" w:themeColor="accent3" w:themeShade="BF"/>
          <w:sz w:val="22"/>
          <w:szCs w:val="22"/>
          <w:lang w:val="en-GB"/>
        </w:rPr>
        <w:t>personam</w:t>
      </w:r>
      <w:proofErr w:type="spellEnd"/>
      <w:r w:rsidR="0010454F">
        <w:rPr>
          <w:rFonts w:ascii="Arial" w:hAnsi="Arial" w:cs="Arial"/>
          <w:color w:val="7B7B7B" w:themeColor="accent3" w:themeShade="BF"/>
          <w:sz w:val="22"/>
          <w:szCs w:val="22"/>
          <w:lang w:val="en-GB"/>
        </w:rPr>
        <w:t xml:space="preserve"> jurisdiction over the party seeking any such relief appropriate applications could be made within Singapore to restrain that party from commencing any other proceedings. </w:t>
      </w:r>
    </w:p>
    <w:p w14:paraId="4857F47A" w14:textId="714AC9C1" w:rsidR="005558DE" w:rsidRDefault="005558DE" w:rsidP="005C529D">
      <w:pPr>
        <w:autoSpaceDE w:val="0"/>
        <w:autoSpaceDN w:val="0"/>
        <w:adjustRightInd w:val="0"/>
        <w:jc w:val="both"/>
        <w:rPr>
          <w:rFonts w:ascii="Arial" w:hAnsi="Arial" w:cs="Arial"/>
          <w:color w:val="7B7B7B" w:themeColor="accent3" w:themeShade="BF"/>
          <w:sz w:val="22"/>
          <w:szCs w:val="22"/>
          <w:lang w:val="en-GB"/>
        </w:rPr>
      </w:pPr>
    </w:p>
    <w:p w14:paraId="4EB596F3" w14:textId="535CA003" w:rsidR="0010454F" w:rsidRDefault="005558DE" w:rsidP="0010454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it is arguable that where the Model Law has been adopted by the other jurisdiction, an application would be able to be made to the relevant courts for recognition. An interesting case, whilst it applied to schemes of arrangement, was the UK decision of H &amp; CS Holdings Pte Ltd v Glencore International AG</w:t>
      </w:r>
      <w:r>
        <w:rPr>
          <w:rStyle w:val="FootnoteReference"/>
          <w:rFonts w:ascii="Arial" w:hAnsi="Arial" w:cs="Arial"/>
          <w:color w:val="7B7B7B" w:themeColor="accent3" w:themeShade="BF"/>
          <w:sz w:val="22"/>
          <w:szCs w:val="22"/>
          <w:lang w:val="en-GB"/>
        </w:rPr>
        <w:footnoteReference w:id="43"/>
      </w:r>
      <w:r>
        <w:rPr>
          <w:rFonts w:ascii="Arial" w:hAnsi="Arial" w:cs="Arial"/>
          <w:color w:val="7B7B7B" w:themeColor="accent3" w:themeShade="BF"/>
          <w:sz w:val="22"/>
          <w:szCs w:val="22"/>
          <w:lang w:val="en-GB"/>
        </w:rPr>
        <w:t>, where a UK Court recognised the foreign main proceedings in Singapore, a granted relief pursuant to the moratoria set out in Singapore</w:t>
      </w:r>
      <w:r w:rsidR="0010454F">
        <w:rPr>
          <w:rFonts w:ascii="Arial" w:hAnsi="Arial" w:cs="Arial"/>
          <w:color w:val="7B7B7B" w:themeColor="accent3" w:themeShade="BF"/>
          <w:sz w:val="22"/>
          <w:szCs w:val="22"/>
          <w:lang w:val="en-GB"/>
        </w:rPr>
        <w:t xml:space="preserve">. </w:t>
      </w:r>
    </w:p>
    <w:p w14:paraId="237368BC" w14:textId="1D85BF61" w:rsidR="0010454F" w:rsidRDefault="0010454F" w:rsidP="0010454F">
      <w:pPr>
        <w:autoSpaceDE w:val="0"/>
        <w:autoSpaceDN w:val="0"/>
        <w:adjustRightInd w:val="0"/>
        <w:jc w:val="both"/>
        <w:rPr>
          <w:rFonts w:ascii="Arial" w:hAnsi="Arial" w:cs="Arial"/>
          <w:color w:val="7B7B7B" w:themeColor="accent3" w:themeShade="BF"/>
          <w:sz w:val="22"/>
          <w:szCs w:val="22"/>
          <w:lang w:val="en-GB"/>
        </w:rPr>
      </w:pPr>
    </w:p>
    <w:p w14:paraId="2F0B9FDE" w14:textId="5A5C5234" w:rsidR="0010454F" w:rsidRDefault="0010454F" w:rsidP="0010454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PEC has sought relief in other jurisdictions, it is likely that the at least the United States assets may be protected upon recognition under the Model Law, however in Malaysia and China it may be difficult to make such protections available. </w:t>
      </w:r>
    </w:p>
    <w:p w14:paraId="0D5B01BC" w14:textId="22CA80B7" w:rsidR="0010454F" w:rsidRDefault="0010454F" w:rsidP="0010454F">
      <w:pPr>
        <w:autoSpaceDE w:val="0"/>
        <w:autoSpaceDN w:val="0"/>
        <w:adjustRightInd w:val="0"/>
        <w:jc w:val="both"/>
        <w:rPr>
          <w:rFonts w:ascii="Arial" w:hAnsi="Arial" w:cs="Arial"/>
          <w:color w:val="7B7B7B" w:themeColor="accent3" w:themeShade="BF"/>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in order for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64A41979" w14:textId="5352482D" w:rsidR="00976404" w:rsidRDefault="00663CD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Singapore has the adopted the UNCITRAL Model Law on Cross-Border Insolvency through the 2017 amendment to the </w:t>
      </w:r>
      <w:r w:rsidR="0068493F">
        <w:rPr>
          <w:rFonts w:ascii="Arial" w:hAnsi="Arial" w:cs="Arial"/>
          <w:color w:val="7B7B7B" w:themeColor="accent3" w:themeShade="BF"/>
          <w:sz w:val="22"/>
          <w:szCs w:val="22"/>
          <w:lang w:val="en-GB"/>
        </w:rPr>
        <w:t>Companies Act</w:t>
      </w:r>
      <w:r>
        <w:rPr>
          <w:rFonts w:ascii="Arial" w:hAnsi="Arial" w:cs="Arial"/>
          <w:color w:val="7B7B7B" w:themeColor="accent3" w:themeShade="BF"/>
          <w:sz w:val="22"/>
          <w:szCs w:val="22"/>
          <w:lang w:val="en-GB"/>
        </w:rPr>
        <w:t xml:space="preserve">.  Further the Supreme Court </w:t>
      </w:r>
      <w:r w:rsidR="00976404">
        <w:rPr>
          <w:rFonts w:ascii="Arial" w:hAnsi="Arial" w:cs="Arial"/>
          <w:color w:val="7B7B7B" w:themeColor="accent3" w:themeShade="BF"/>
          <w:sz w:val="22"/>
          <w:szCs w:val="22"/>
          <w:lang w:val="en-GB"/>
        </w:rPr>
        <w:t>of Singapore has also adopted the Judicial guidelines.  These are both important statutes for the recognition of foreign insolvency proceedings</w:t>
      </w:r>
      <w:r w:rsidR="0068493F">
        <w:rPr>
          <w:rFonts w:ascii="Arial" w:hAnsi="Arial" w:cs="Arial"/>
          <w:color w:val="7B7B7B" w:themeColor="accent3" w:themeShade="BF"/>
          <w:sz w:val="22"/>
          <w:szCs w:val="22"/>
          <w:lang w:val="en-GB"/>
        </w:rPr>
        <w:t xml:space="preserve">, </w:t>
      </w:r>
      <w:proofErr w:type="gramStart"/>
      <w:r w:rsidR="0068493F">
        <w:rPr>
          <w:rFonts w:ascii="Arial" w:hAnsi="Arial" w:cs="Arial"/>
          <w:color w:val="7B7B7B" w:themeColor="accent3" w:themeShade="BF"/>
          <w:sz w:val="22"/>
          <w:szCs w:val="22"/>
          <w:lang w:val="en-GB"/>
        </w:rPr>
        <w:t>however</w:t>
      </w:r>
      <w:proofErr w:type="gramEnd"/>
      <w:r w:rsidR="0068493F">
        <w:rPr>
          <w:rFonts w:ascii="Arial" w:hAnsi="Arial" w:cs="Arial"/>
          <w:color w:val="7B7B7B" w:themeColor="accent3" w:themeShade="BF"/>
          <w:sz w:val="22"/>
          <w:szCs w:val="22"/>
          <w:lang w:val="en-GB"/>
        </w:rPr>
        <w:t xml:space="preserve"> have some distinct differences.  </w:t>
      </w:r>
      <w:r w:rsidR="00976404">
        <w:rPr>
          <w:rFonts w:ascii="Arial" w:hAnsi="Arial" w:cs="Arial"/>
          <w:color w:val="7B7B7B" w:themeColor="accent3" w:themeShade="BF"/>
          <w:sz w:val="22"/>
          <w:szCs w:val="22"/>
          <w:lang w:val="en-GB"/>
        </w:rPr>
        <w:t xml:space="preserve"> </w:t>
      </w:r>
      <w:r w:rsidR="004521DF">
        <w:rPr>
          <w:rFonts w:ascii="Arial" w:hAnsi="Arial" w:cs="Arial"/>
          <w:color w:val="7B7B7B" w:themeColor="accent3" w:themeShade="BF"/>
          <w:sz w:val="22"/>
          <w:szCs w:val="22"/>
          <w:lang w:val="en-GB"/>
        </w:rPr>
        <w:t xml:space="preserve">As an example, the Singapore legislation omits the word manifestly in terms of the public policy considerations, meaning that the Court has significantly more flexibility in accepting an application should the </w:t>
      </w:r>
      <w:r w:rsidR="004521DF">
        <w:rPr>
          <w:rFonts w:ascii="Arial" w:hAnsi="Arial" w:cs="Arial"/>
          <w:color w:val="7B7B7B" w:themeColor="accent3" w:themeShade="BF"/>
          <w:sz w:val="22"/>
          <w:szCs w:val="22"/>
          <w:lang w:val="en-GB"/>
        </w:rPr>
        <w:lastRenderedPageBreak/>
        <w:t xml:space="preserve">court. In the event of recognition pursuant to the Model </w:t>
      </w:r>
      <w:proofErr w:type="spellStart"/>
      <w:r w:rsidR="004521DF">
        <w:rPr>
          <w:rFonts w:ascii="Arial" w:hAnsi="Arial" w:cs="Arial"/>
          <w:color w:val="7B7B7B" w:themeColor="accent3" w:themeShade="BF"/>
          <w:sz w:val="22"/>
          <w:szCs w:val="22"/>
          <w:lang w:val="en-GB"/>
        </w:rPr>
        <w:t>Law</w:t>
      </w:r>
      <w:proofErr w:type="spellEnd"/>
      <w:r w:rsidR="004521DF">
        <w:rPr>
          <w:rFonts w:ascii="Arial" w:hAnsi="Arial" w:cs="Arial"/>
          <w:color w:val="7B7B7B" w:themeColor="accent3" w:themeShade="BF"/>
          <w:sz w:val="22"/>
          <w:szCs w:val="22"/>
          <w:lang w:val="en-GB"/>
        </w:rPr>
        <w:t xml:space="preserve"> (</w:t>
      </w:r>
      <w:proofErr w:type="gramStart"/>
      <w:r w:rsidR="004521DF">
        <w:rPr>
          <w:rFonts w:ascii="Arial" w:hAnsi="Arial" w:cs="Arial"/>
          <w:color w:val="7B7B7B" w:themeColor="accent3" w:themeShade="BF"/>
          <w:sz w:val="22"/>
          <w:szCs w:val="22"/>
          <w:lang w:val="en-GB"/>
        </w:rPr>
        <w:t>i.e.</w:t>
      </w:r>
      <w:proofErr w:type="gramEnd"/>
      <w:r w:rsidR="004521DF">
        <w:rPr>
          <w:rFonts w:ascii="Arial" w:hAnsi="Arial" w:cs="Arial"/>
          <w:color w:val="7B7B7B" w:themeColor="accent3" w:themeShade="BF"/>
          <w:sz w:val="22"/>
          <w:szCs w:val="22"/>
          <w:lang w:val="en-GB"/>
        </w:rPr>
        <w:t xml:space="preserve"> foreign main proceeding of foreign non-main proceedings.) However, depending on the cause of action or issue (including insolvency related judgments) any such recognition may cause an estoppel effect, severely limiting some causes of action under Singapore law.</w:t>
      </w:r>
    </w:p>
    <w:p w14:paraId="6248A4C7" w14:textId="77777777" w:rsidR="00976404" w:rsidRDefault="00976404" w:rsidP="00087F21">
      <w:pPr>
        <w:autoSpaceDE w:val="0"/>
        <w:autoSpaceDN w:val="0"/>
        <w:adjustRightInd w:val="0"/>
        <w:jc w:val="both"/>
        <w:rPr>
          <w:rFonts w:ascii="Arial" w:hAnsi="Arial" w:cs="Arial"/>
          <w:color w:val="7B7B7B" w:themeColor="accent3" w:themeShade="BF"/>
          <w:sz w:val="22"/>
          <w:szCs w:val="22"/>
          <w:lang w:val="en-GB"/>
        </w:rPr>
      </w:pPr>
    </w:p>
    <w:p w14:paraId="1F5CD344" w14:textId="02A96692" w:rsidR="002D3473" w:rsidRPr="00976404" w:rsidRDefault="00976404"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Singapore has also enacted </w:t>
      </w:r>
      <w:r w:rsidR="00663CD6">
        <w:rPr>
          <w:rFonts w:ascii="Arial" w:hAnsi="Arial" w:cs="Arial"/>
          <w:i/>
          <w:iCs/>
          <w:color w:val="7B7B7B" w:themeColor="accent3" w:themeShade="BF"/>
          <w:sz w:val="22"/>
          <w:szCs w:val="22"/>
          <w:lang w:val="en-GB"/>
        </w:rPr>
        <w:t>Reciprocal Enforcement of Commonwealth Judgments Act</w:t>
      </w:r>
      <w:r w:rsidR="000F0810">
        <w:rPr>
          <w:rFonts w:ascii="Arial" w:hAnsi="Arial" w:cs="Arial"/>
          <w:i/>
          <w:iCs/>
          <w:color w:val="7B7B7B" w:themeColor="accent3" w:themeShade="BF"/>
          <w:sz w:val="22"/>
          <w:szCs w:val="22"/>
          <w:lang w:val="en-GB"/>
        </w:rPr>
        <w:t xml:space="preserve"> </w:t>
      </w:r>
      <w:r w:rsidR="000F0810" w:rsidRPr="000F0810">
        <w:rPr>
          <w:rFonts w:ascii="Arial" w:hAnsi="Arial" w:cs="Arial"/>
          <w:color w:val="7B7B7B" w:themeColor="accent3" w:themeShade="BF"/>
          <w:sz w:val="22"/>
          <w:szCs w:val="22"/>
          <w:lang w:val="en-GB"/>
        </w:rPr>
        <w:t>(RECJA</w:t>
      </w:r>
      <w:r w:rsidR="000F081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as well as the </w:t>
      </w:r>
      <w:r>
        <w:rPr>
          <w:rFonts w:ascii="Arial" w:hAnsi="Arial" w:cs="Arial"/>
          <w:i/>
          <w:iCs/>
          <w:color w:val="7B7B7B" w:themeColor="accent3" w:themeShade="BF"/>
          <w:sz w:val="22"/>
          <w:szCs w:val="22"/>
          <w:lang w:val="en-GB"/>
        </w:rPr>
        <w:t>Reciprocal Enforcement of Foreign Judgments Act</w:t>
      </w:r>
      <w:r w:rsidRPr="00976404">
        <w:rPr>
          <w:rFonts w:ascii="Arial" w:hAnsi="Arial" w:cs="Arial"/>
          <w:color w:val="7B7B7B" w:themeColor="accent3" w:themeShade="BF"/>
          <w:sz w:val="22"/>
          <w:szCs w:val="22"/>
          <w:lang w:val="en-GB"/>
        </w:rPr>
        <w:t xml:space="preserve"> (REFJA)</w:t>
      </w:r>
      <w:r>
        <w:rPr>
          <w:rFonts w:ascii="Arial" w:hAnsi="Arial" w:cs="Arial"/>
          <w:color w:val="7B7B7B" w:themeColor="accent3" w:themeShade="BF"/>
          <w:sz w:val="22"/>
          <w:szCs w:val="22"/>
          <w:lang w:val="en-GB"/>
        </w:rPr>
        <w:t>. The REFJA is very limited in its application as only Hong Kong is a gazetted country that is recognised</w:t>
      </w:r>
      <w:r w:rsidR="000F081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for any form of recognition under this Law.   </w:t>
      </w:r>
    </w:p>
    <w:p w14:paraId="31AD1325" w14:textId="751B2E78" w:rsidR="00663CD6" w:rsidRDefault="00663CD6" w:rsidP="00087F21">
      <w:pPr>
        <w:autoSpaceDE w:val="0"/>
        <w:autoSpaceDN w:val="0"/>
        <w:adjustRightInd w:val="0"/>
        <w:jc w:val="both"/>
        <w:rPr>
          <w:rFonts w:ascii="Arial" w:hAnsi="Arial" w:cs="Arial"/>
          <w:i/>
          <w:iCs/>
          <w:color w:val="7B7B7B" w:themeColor="accent3" w:themeShade="BF"/>
          <w:sz w:val="22"/>
          <w:szCs w:val="22"/>
          <w:lang w:val="en-GB"/>
        </w:rPr>
      </w:pPr>
    </w:p>
    <w:p w14:paraId="2ED2A7C2" w14:textId="6854444A" w:rsidR="000F0810" w:rsidRPr="000F0810" w:rsidRDefault="000F0810"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Singapore has enacted the RECJA, which as the name suggests recognises judgments from both the United Kingdom and Australia (as the most commonly recognised), but also from a number of other Commonwealth Countries.</w:t>
      </w:r>
      <w:r>
        <w:rPr>
          <w:rStyle w:val="FootnoteReference"/>
          <w:rFonts w:ascii="Arial" w:hAnsi="Arial" w:cs="Arial"/>
          <w:color w:val="7B7B7B" w:themeColor="accent3" w:themeShade="BF"/>
          <w:sz w:val="22"/>
          <w:szCs w:val="22"/>
          <w:lang w:val="en-GB"/>
        </w:rPr>
        <w:footnoteReference w:id="44"/>
      </w:r>
      <w:r>
        <w:rPr>
          <w:rFonts w:ascii="Arial" w:hAnsi="Arial" w:cs="Arial"/>
          <w:color w:val="7B7B7B" w:themeColor="accent3" w:themeShade="BF"/>
          <w:sz w:val="22"/>
          <w:szCs w:val="22"/>
          <w:lang w:val="en-GB"/>
        </w:rPr>
        <w:t xml:space="preserve">  However, it is important to note that this legislation will be repealed and as such Singapore will move to a single statutory regime.</w:t>
      </w:r>
      <w:r>
        <w:rPr>
          <w:rStyle w:val="FootnoteReference"/>
          <w:rFonts w:ascii="Arial" w:hAnsi="Arial" w:cs="Arial"/>
          <w:color w:val="7B7B7B" w:themeColor="accent3" w:themeShade="BF"/>
          <w:sz w:val="22"/>
          <w:szCs w:val="22"/>
          <w:lang w:val="en-GB"/>
        </w:rPr>
        <w:footnoteReference w:id="45"/>
      </w:r>
      <w:r>
        <w:rPr>
          <w:rFonts w:ascii="Arial" w:hAnsi="Arial" w:cs="Arial"/>
          <w:color w:val="7B7B7B" w:themeColor="accent3" w:themeShade="BF"/>
          <w:sz w:val="22"/>
          <w:szCs w:val="22"/>
          <w:lang w:val="en-GB"/>
        </w:rPr>
        <w:t xml:space="preserve">  </w:t>
      </w:r>
    </w:p>
    <w:p w14:paraId="1EDD8CC8" w14:textId="77777777" w:rsidR="00663CD6" w:rsidRPr="00663CD6" w:rsidRDefault="00663CD6" w:rsidP="00087F21">
      <w:pPr>
        <w:autoSpaceDE w:val="0"/>
        <w:autoSpaceDN w:val="0"/>
        <w:adjustRightInd w:val="0"/>
        <w:jc w:val="both"/>
        <w:rPr>
          <w:rFonts w:ascii="Arial" w:hAnsi="Arial" w:cs="Arial"/>
          <w:i/>
          <w:iCs/>
          <w:sz w:val="22"/>
          <w:szCs w:val="22"/>
          <w:lang w:val="en-GB"/>
        </w:rPr>
      </w:pPr>
    </w:p>
    <w:p w14:paraId="4721A448" w14:textId="77777777" w:rsidR="002D3473" w:rsidRDefault="002D3473" w:rsidP="00087F21">
      <w:pPr>
        <w:autoSpaceDE w:val="0"/>
        <w:autoSpaceDN w:val="0"/>
        <w:adjustRightInd w:val="0"/>
        <w:jc w:val="both"/>
        <w:rPr>
          <w:rFonts w:ascii="Arial" w:hAnsi="Arial" w:cs="Arial"/>
          <w:sz w:val="22"/>
          <w:szCs w:val="22"/>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1732" w14:textId="77777777" w:rsidR="00AA6DF7" w:rsidRDefault="00AA6DF7">
      <w:r>
        <w:separator/>
      </w:r>
    </w:p>
  </w:endnote>
  <w:endnote w:type="continuationSeparator" w:id="0">
    <w:p w14:paraId="78EDE837" w14:textId="77777777" w:rsidR="00AA6DF7" w:rsidRDefault="00AA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09CBBDDF" w14:textId="3C9C3A70" w:rsidR="00241FA3" w:rsidRPr="009B4976" w:rsidRDefault="00EA4902" w:rsidP="009B4976">
    <w:pPr>
      <w:pStyle w:val="Footer"/>
      <w:ind w:right="360"/>
      <w:rPr>
        <w:rFonts w:ascii="Arial" w:hAnsi="Arial" w:cs="Arial"/>
        <w:sz w:val="18"/>
        <w:szCs w:val="18"/>
        <w:lang w:val="en-GB"/>
      </w:rPr>
    </w:pPr>
    <w:r w:rsidRPr="00EA4902">
      <w:rPr>
        <w:rFonts w:ascii="Arial" w:hAnsi="Arial" w:cs="Arial"/>
        <w:sz w:val="18"/>
        <w:szCs w:val="18"/>
        <w:lang w:val="en-GB"/>
      </w:rPr>
      <w:t>202021IFU-369</w:t>
    </w:r>
    <w:r w:rsidR="0007291B" w:rsidRPr="009B4976">
      <w:rPr>
        <w:rFonts w:ascii="Arial" w:hAnsi="Arial" w:cs="Arial"/>
        <w:sz w:val="18"/>
        <w:szCs w:val="18"/>
        <w:lang w:val="en-GB"/>
      </w:rPr>
      <w:t>.assessment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5B73" w14:textId="77777777" w:rsidR="00AA6DF7" w:rsidRDefault="00AA6DF7">
      <w:r>
        <w:separator/>
      </w:r>
    </w:p>
  </w:footnote>
  <w:footnote w:type="continuationSeparator" w:id="0">
    <w:p w14:paraId="4A82638E" w14:textId="77777777" w:rsidR="00AA6DF7" w:rsidRDefault="00AA6DF7">
      <w:r>
        <w:continuationSeparator/>
      </w:r>
    </w:p>
  </w:footnote>
  <w:footnote w:id="1">
    <w:p w14:paraId="3A8F4CF6" w14:textId="0ED12F00" w:rsidR="00425016" w:rsidRPr="00425016" w:rsidRDefault="00425016">
      <w:pPr>
        <w:pStyle w:val="FootnoteText"/>
        <w:rPr>
          <w:lang w:val="en-AU"/>
        </w:rPr>
      </w:pPr>
      <w:r>
        <w:rPr>
          <w:rStyle w:val="FootnoteReference"/>
        </w:rPr>
        <w:footnoteRef/>
      </w:r>
      <w:r>
        <w:t xml:space="preserve"> </w:t>
      </w:r>
      <w:r w:rsidRPr="00425016">
        <w:t>https://www.supremecourt.gov.sg/docs/default-source/module-document/registrarcircular/rc-1-2017---issuance-of-guidelines-for-communication-and-coorporation-between-courts-in-cross-border-insolvency-matters-.pdf</w:t>
      </w:r>
    </w:p>
  </w:footnote>
  <w:footnote w:id="2">
    <w:p w14:paraId="17DA899F" w14:textId="1D69EFB2" w:rsidR="00425016" w:rsidRPr="00425016" w:rsidRDefault="00425016">
      <w:pPr>
        <w:pStyle w:val="FootnoteText"/>
        <w:rPr>
          <w:lang w:val="en-AU"/>
        </w:rPr>
      </w:pPr>
      <w:r>
        <w:rPr>
          <w:rStyle w:val="FootnoteReference"/>
        </w:rPr>
        <w:footnoteRef/>
      </w:r>
      <w:r>
        <w:t xml:space="preserve"> </w:t>
      </w:r>
      <w:r w:rsidRPr="00425016">
        <w:t>https://www.supremecourt.gov.sg/news/media-releases/paving-the-way-for-improved-coordination-of-cross-border-insolvency-proceedings--adoption-of-the-guidelines-for-communication-and-cooperation-between-courts-in-cross-border-insolvency-matters</w:t>
      </w:r>
    </w:p>
  </w:footnote>
  <w:footnote w:id="3">
    <w:p w14:paraId="0030E68B" w14:textId="1E760562" w:rsidR="00884A57" w:rsidRPr="00884A57" w:rsidRDefault="00884A57">
      <w:pPr>
        <w:pStyle w:val="FootnoteText"/>
        <w:rPr>
          <w:lang w:val="en-AU"/>
        </w:rPr>
      </w:pPr>
      <w:r>
        <w:rPr>
          <w:rStyle w:val="FootnoteReference"/>
        </w:rPr>
        <w:footnoteRef/>
      </w:r>
      <w:r>
        <w:t xml:space="preserve"> </w:t>
      </w:r>
      <w:r>
        <w:rPr>
          <w:lang w:val="en-AU"/>
        </w:rPr>
        <w:t>IRDA s392</w:t>
      </w:r>
      <w:r w:rsidR="005C747D">
        <w:rPr>
          <w:lang w:val="en-AU"/>
        </w:rPr>
        <w:t>(1)</w:t>
      </w:r>
      <w:r>
        <w:rPr>
          <w:lang w:val="en-AU"/>
        </w:rPr>
        <w:t>(b)</w:t>
      </w:r>
    </w:p>
  </w:footnote>
  <w:footnote w:id="4">
    <w:p w14:paraId="329C2AB8" w14:textId="3887EFF4" w:rsidR="00884A57" w:rsidRPr="00884A57" w:rsidRDefault="00884A57">
      <w:pPr>
        <w:pStyle w:val="FootnoteText"/>
        <w:rPr>
          <w:lang w:val="en-AU"/>
        </w:rPr>
      </w:pPr>
      <w:r>
        <w:rPr>
          <w:rStyle w:val="FootnoteReference"/>
        </w:rPr>
        <w:footnoteRef/>
      </w:r>
      <w:r>
        <w:t xml:space="preserve"> IRDA s392</w:t>
      </w:r>
      <w:r w:rsidR="005C747D">
        <w:rPr>
          <w:lang w:val="en-AU"/>
        </w:rPr>
        <w:t>(1)</w:t>
      </w:r>
      <w:r>
        <w:t>(c)</w:t>
      </w:r>
    </w:p>
  </w:footnote>
  <w:footnote w:id="5">
    <w:p w14:paraId="78D8636E" w14:textId="520D3CE1" w:rsidR="00884A57" w:rsidRPr="00884A57" w:rsidRDefault="00884A57">
      <w:pPr>
        <w:pStyle w:val="FootnoteText"/>
        <w:rPr>
          <w:lang w:val="en-AU"/>
        </w:rPr>
      </w:pPr>
      <w:r>
        <w:rPr>
          <w:rStyle w:val="FootnoteReference"/>
        </w:rPr>
        <w:footnoteRef/>
      </w:r>
      <w:r>
        <w:t xml:space="preserve"> IRDA s392</w:t>
      </w:r>
      <w:r w:rsidR="005C747D">
        <w:rPr>
          <w:lang w:val="en-AU"/>
        </w:rPr>
        <w:t>(1)</w:t>
      </w:r>
      <w:r>
        <w:t>(d)</w:t>
      </w:r>
    </w:p>
  </w:footnote>
  <w:footnote w:id="6">
    <w:p w14:paraId="612A5BC6" w14:textId="094EEE27" w:rsidR="00884A57" w:rsidRPr="00884A57" w:rsidRDefault="00884A57">
      <w:pPr>
        <w:pStyle w:val="FootnoteText"/>
        <w:rPr>
          <w:lang w:val="en-AU"/>
        </w:rPr>
      </w:pPr>
      <w:r>
        <w:rPr>
          <w:rStyle w:val="FootnoteReference"/>
        </w:rPr>
        <w:footnoteRef/>
      </w:r>
      <w:r>
        <w:t xml:space="preserve"> </w:t>
      </w:r>
      <w:r>
        <w:rPr>
          <w:lang w:val="en-AU"/>
        </w:rPr>
        <w:t>IRDA s392</w:t>
      </w:r>
      <w:r w:rsidR="005C747D">
        <w:rPr>
          <w:lang w:val="en-AU"/>
        </w:rPr>
        <w:t>(1)</w:t>
      </w:r>
      <w:r>
        <w:rPr>
          <w:lang w:val="en-AU"/>
        </w:rPr>
        <w:t>(</w:t>
      </w:r>
      <w:r w:rsidR="005C747D">
        <w:rPr>
          <w:lang w:val="en-AU"/>
        </w:rPr>
        <w:t xml:space="preserve">a). </w:t>
      </w:r>
    </w:p>
  </w:footnote>
  <w:footnote w:id="7">
    <w:p w14:paraId="7C98B50A" w14:textId="29EA9A74" w:rsidR="005C747D" w:rsidRPr="005C747D" w:rsidRDefault="005C747D">
      <w:pPr>
        <w:pStyle w:val="FootnoteText"/>
        <w:rPr>
          <w:lang w:val="en-AU"/>
        </w:rPr>
      </w:pPr>
      <w:r>
        <w:rPr>
          <w:rStyle w:val="FootnoteReference"/>
        </w:rPr>
        <w:footnoteRef/>
      </w:r>
      <w:r>
        <w:t xml:space="preserve"> </w:t>
      </w:r>
      <w:r>
        <w:rPr>
          <w:lang w:val="en-AU"/>
        </w:rPr>
        <w:t xml:space="preserve">IRDA s393(1). </w:t>
      </w:r>
    </w:p>
  </w:footnote>
  <w:footnote w:id="8">
    <w:p w14:paraId="75F94E54" w14:textId="08D4C7DB" w:rsidR="005C747D" w:rsidRPr="005C747D" w:rsidRDefault="005C747D">
      <w:pPr>
        <w:pStyle w:val="FootnoteText"/>
        <w:rPr>
          <w:lang w:val="en-AU"/>
        </w:rPr>
      </w:pPr>
      <w:r>
        <w:rPr>
          <w:rStyle w:val="FootnoteReference"/>
        </w:rPr>
        <w:footnoteRef/>
      </w:r>
      <w:r>
        <w:t xml:space="preserve"> </w:t>
      </w:r>
      <w:r>
        <w:rPr>
          <w:lang w:val="en-AU"/>
        </w:rPr>
        <w:t>IRDA s394(1)</w:t>
      </w:r>
    </w:p>
  </w:footnote>
  <w:footnote w:id="9">
    <w:p w14:paraId="43F9ECB0" w14:textId="00C88285" w:rsidR="005C747D" w:rsidRPr="005C747D" w:rsidRDefault="005C747D">
      <w:pPr>
        <w:pStyle w:val="FootnoteText"/>
        <w:rPr>
          <w:lang w:val="en-AU"/>
        </w:rPr>
      </w:pPr>
      <w:r>
        <w:rPr>
          <w:rStyle w:val="FootnoteReference"/>
        </w:rPr>
        <w:footnoteRef/>
      </w:r>
      <w:r>
        <w:t xml:space="preserve"> </w:t>
      </w:r>
      <w:r>
        <w:rPr>
          <w:lang w:val="en-AU"/>
        </w:rPr>
        <w:t xml:space="preserve">IRDA s395(1). </w:t>
      </w:r>
    </w:p>
  </w:footnote>
  <w:footnote w:id="10">
    <w:p w14:paraId="6AC2BA4F" w14:textId="0817A087" w:rsidR="005C747D" w:rsidRPr="005C747D" w:rsidRDefault="005C747D">
      <w:pPr>
        <w:pStyle w:val="FootnoteText"/>
        <w:rPr>
          <w:lang w:val="en-AU"/>
        </w:rPr>
      </w:pPr>
      <w:r>
        <w:rPr>
          <w:rStyle w:val="FootnoteReference"/>
        </w:rPr>
        <w:footnoteRef/>
      </w:r>
      <w:r>
        <w:t xml:space="preserve"> IRDA s396. </w:t>
      </w:r>
    </w:p>
  </w:footnote>
  <w:footnote w:id="11">
    <w:p w14:paraId="4DB7727D" w14:textId="0976471A" w:rsidR="00AC2C04" w:rsidRPr="00AC2C04" w:rsidRDefault="00AC2C04">
      <w:pPr>
        <w:pStyle w:val="FootnoteText"/>
        <w:rPr>
          <w:lang w:val="en-AU"/>
        </w:rPr>
      </w:pPr>
      <w:r>
        <w:rPr>
          <w:rStyle w:val="FootnoteReference"/>
        </w:rPr>
        <w:footnoteRef/>
      </w:r>
      <w:r>
        <w:t xml:space="preserve"> </w:t>
      </w:r>
      <w:r>
        <w:rPr>
          <w:lang w:val="en-AU"/>
        </w:rPr>
        <w:t xml:space="preserve">Tan, </w:t>
      </w:r>
      <w:proofErr w:type="spellStart"/>
      <w:r>
        <w:rPr>
          <w:lang w:val="en-AU"/>
        </w:rPr>
        <w:t>Meiyen</w:t>
      </w:r>
      <w:proofErr w:type="spellEnd"/>
      <w:r>
        <w:rPr>
          <w:lang w:val="en-AU"/>
        </w:rPr>
        <w:t xml:space="preserve"> and Han, Keith; A Comparative Look at the Ipso Facto Regime; [2021] SAL </w:t>
      </w:r>
      <w:proofErr w:type="spellStart"/>
      <w:r>
        <w:rPr>
          <w:lang w:val="en-AU"/>
        </w:rPr>
        <w:t>Prac</w:t>
      </w:r>
      <w:proofErr w:type="spellEnd"/>
      <w:r>
        <w:rPr>
          <w:lang w:val="en-AU"/>
        </w:rPr>
        <w:t xml:space="preserve"> 12, page 3. </w:t>
      </w:r>
    </w:p>
  </w:footnote>
  <w:footnote w:id="12">
    <w:p w14:paraId="65216C60" w14:textId="198C9C42" w:rsidR="00AC2C04" w:rsidRPr="00AC2C04" w:rsidRDefault="00AC2C04">
      <w:pPr>
        <w:pStyle w:val="FootnoteText"/>
        <w:rPr>
          <w:lang w:val="en-AU"/>
        </w:rPr>
      </w:pPr>
      <w:r>
        <w:rPr>
          <w:rStyle w:val="FootnoteReference"/>
        </w:rPr>
        <w:footnoteRef/>
      </w:r>
      <w:r>
        <w:t xml:space="preserve"> </w:t>
      </w:r>
      <w:r>
        <w:rPr>
          <w:lang w:val="en-AU"/>
        </w:rPr>
        <w:t xml:space="preserve">Tan, </w:t>
      </w:r>
      <w:proofErr w:type="spellStart"/>
      <w:r>
        <w:rPr>
          <w:lang w:val="en-AU"/>
        </w:rPr>
        <w:t>Meiyen</w:t>
      </w:r>
      <w:proofErr w:type="spellEnd"/>
      <w:r>
        <w:rPr>
          <w:lang w:val="en-AU"/>
        </w:rPr>
        <w:t xml:space="preserve"> and Han, Keith; A Comparative Look at the Ipso Facto Regime; [2021] SAL </w:t>
      </w:r>
      <w:proofErr w:type="spellStart"/>
      <w:r>
        <w:rPr>
          <w:lang w:val="en-AU"/>
        </w:rPr>
        <w:t>Prac</w:t>
      </w:r>
      <w:proofErr w:type="spellEnd"/>
      <w:r>
        <w:rPr>
          <w:lang w:val="en-AU"/>
        </w:rPr>
        <w:t xml:space="preserve"> 12, page 4.</w:t>
      </w:r>
    </w:p>
  </w:footnote>
  <w:footnote w:id="13">
    <w:p w14:paraId="14267739" w14:textId="449B4BF6" w:rsidR="00C93146" w:rsidRPr="00C93146" w:rsidRDefault="00C93146">
      <w:pPr>
        <w:pStyle w:val="FootnoteText"/>
        <w:rPr>
          <w:lang w:val="en-AU"/>
        </w:rPr>
      </w:pPr>
      <w:r>
        <w:rPr>
          <w:rStyle w:val="FootnoteReference"/>
        </w:rPr>
        <w:footnoteRef/>
      </w:r>
      <w:r>
        <w:t xml:space="preserve"> </w:t>
      </w:r>
      <w:r>
        <w:rPr>
          <w:lang w:val="en-AU"/>
        </w:rPr>
        <w:t>IRDA s239(12)(a)</w:t>
      </w:r>
    </w:p>
  </w:footnote>
  <w:footnote w:id="14">
    <w:p w14:paraId="28F1612C" w14:textId="14924895" w:rsidR="00C93146" w:rsidRPr="00C93146" w:rsidRDefault="00C93146">
      <w:pPr>
        <w:pStyle w:val="FootnoteText"/>
        <w:rPr>
          <w:lang w:val="en-AU"/>
        </w:rPr>
      </w:pPr>
      <w:r>
        <w:rPr>
          <w:rStyle w:val="FootnoteReference"/>
        </w:rPr>
        <w:footnoteRef/>
      </w:r>
      <w:r>
        <w:t xml:space="preserve"> </w:t>
      </w:r>
      <w:r>
        <w:rPr>
          <w:lang w:val="en-AU"/>
        </w:rPr>
        <w:t xml:space="preserve">IRDA s239(12)(b). </w:t>
      </w:r>
    </w:p>
  </w:footnote>
  <w:footnote w:id="15">
    <w:p w14:paraId="173021B7" w14:textId="782A1DA5" w:rsidR="00655695" w:rsidRPr="00655695" w:rsidRDefault="00655695">
      <w:pPr>
        <w:pStyle w:val="FootnoteText"/>
        <w:rPr>
          <w:lang w:val="en-AU"/>
        </w:rPr>
      </w:pPr>
      <w:r>
        <w:rPr>
          <w:rStyle w:val="FootnoteReference"/>
        </w:rPr>
        <w:footnoteRef/>
      </w:r>
      <w:r>
        <w:t xml:space="preserve"> </w:t>
      </w:r>
      <w:r>
        <w:rPr>
          <w:lang w:val="en-AU"/>
        </w:rPr>
        <w:t>IRDA s239(1).</w:t>
      </w:r>
    </w:p>
  </w:footnote>
  <w:footnote w:id="16">
    <w:p w14:paraId="71C00712" w14:textId="126AFF84" w:rsidR="00E92F78" w:rsidRPr="00E92F78" w:rsidRDefault="00E92F78">
      <w:pPr>
        <w:pStyle w:val="FootnoteText"/>
        <w:rPr>
          <w:lang w:val="en-AU"/>
        </w:rPr>
      </w:pPr>
      <w:r>
        <w:rPr>
          <w:rStyle w:val="FootnoteReference"/>
        </w:rPr>
        <w:footnoteRef/>
      </w:r>
      <w:r>
        <w:t xml:space="preserve"> </w:t>
      </w:r>
      <w:r>
        <w:rPr>
          <w:lang w:val="en-AU"/>
        </w:rPr>
        <w:t>Steele, Stacey; Insolvency Law Response to COVID-19: What does the Temporary Relief from Wrongful Trading tell us about Singapore’s New Insolvency Law Regime, Page 2 &lt;</w:t>
      </w:r>
      <w:r w:rsidRPr="00E92F78">
        <w:rPr>
          <w:lang w:val="en-AU"/>
        </w:rPr>
        <w:t>https://law.unimelb.edu.au/__data/assets/pdf_file/0012/3397089/Steele_Wrongful-Trading-Singapore.pdf</w:t>
      </w:r>
      <w:r>
        <w:rPr>
          <w:lang w:val="en-AU"/>
        </w:rPr>
        <w:t>&gt;</w:t>
      </w:r>
    </w:p>
  </w:footnote>
  <w:footnote w:id="17">
    <w:p w14:paraId="3AF73A5D" w14:textId="74197B49" w:rsidR="00E92F78" w:rsidRPr="00E92F78" w:rsidRDefault="00E92F78">
      <w:pPr>
        <w:pStyle w:val="FootnoteText"/>
        <w:rPr>
          <w:lang w:val="en-AU"/>
        </w:rPr>
      </w:pPr>
      <w:r>
        <w:rPr>
          <w:rStyle w:val="FootnoteReference"/>
        </w:rPr>
        <w:footnoteRef/>
      </w:r>
      <w:r>
        <w:t xml:space="preserve"> Steele, Stacey; Ramsay, Ian and Miranda Webster; Insolvency Law Reform in Australia and Singapore: Directors’ Liability for Insolvent Trading and Wrongful Trading, International Insolvency Review, </w:t>
      </w:r>
      <w:r w:rsidR="00757835">
        <w:t xml:space="preserve">Vol 28, No.3, 2019, pp 363-391, page 397.  </w:t>
      </w:r>
    </w:p>
  </w:footnote>
  <w:footnote w:id="18">
    <w:p w14:paraId="0371EFAB" w14:textId="541FB3A2" w:rsidR="00065884" w:rsidRPr="00065884" w:rsidRDefault="00065884">
      <w:pPr>
        <w:pStyle w:val="FootnoteText"/>
        <w:rPr>
          <w:lang w:val="en-AU"/>
        </w:rPr>
      </w:pPr>
      <w:r>
        <w:rPr>
          <w:rStyle w:val="FootnoteReference"/>
        </w:rPr>
        <w:footnoteRef/>
      </w:r>
      <w:r>
        <w:t xml:space="preserve"> </w:t>
      </w:r>
      <w:r>
        <w:rPr>
          <w:lang w:val="en-AU"/>
        </w:rPr>
        <w:t>IRDA s89(1)(a)</w:t>
      </w:r>
      <w:r w:rsidR="00DE5848">
        <w:rPr>
          <w:lang w:val="en-AU"/>
        </w:rPr>
        <w:t>.</w:t>
      </w:r>
    </w:p>
  </w:footnote>
  <w:footnote w:id="19">
    <w:p w14:paraId="157A1932" w14:textId="5F3B225E" w:rsidR="00DE5848" w:rsidRPr="00DE5848" w:rsidRDefault="00DE5848">
      <w:pPr>
        <w:pStyle w:val="FootnoteText"/>
        <w:rPr>
          <w:lang w:val="en-AU"/>
        </w:rPr>
      </w:pPr>
      <w:r>
        <w:rPr>
          <w:rStyle w:val="FootnoteReference"/>
        </w:rPr>
        <w:footnoteRef/>
      </w:r>
      <w:r>
        <w:t xml:space="preserve"> </w:t>
      </w:r>
      <w:r>
        <w:rPr>
          <w:lang w:val="en-AU"/>
        </w:rPr>
        <w:t>IRDA s89(1)(b).</w:t>
      </w:r>
    </w:p>
  </w:footnote>
  <w:footnote w:id="20">
    <w:p w14:paraId="7B7F814C" w14:textId="4F7E0826" w:rsidR="00DE5848" w:rsidRPr="00DE5848" w:rsidRDefault="00DE5848">
      <w:pPr>
        <w:pStyle w:val="FootnoteText"/>
        <w:rPr>
          <w:lang w:val="en-AU"/>
        </w:rPr>
      </w:pPr>
      <w:r>
        <w:rPr>
          <w:rStyle w:val="FootnoteReference"/>
        </w:rPr>
        <w:footnoteRef/>
      </w:r>
      <w:r>
        <w:t xml:space="preserve"> </w:t>
      </w:r>
      <w:r>
        <w:rPr>
          <w:lang w:val="en-AU"/>
        </w:rPr>
        <w:t xml:space="preserve">IRDA s89(1)(c). </w:t>
      </w:r>
    </w:p>
  </w:footnote>
  <w:footnote w:id="21">
    <w:p w14:paraId="1B938641" w14:textId="48ECFD66" w:rsidR="00670218" w:rsidRPr="00670218" w:rsidRDefault="00670218">
      <w:pPr>
        <w:pStyle w:val="FootnoteText"/>
        <w:rPr>
          <w:lang w:val="en-AU"/>
        </w:rPr>
      </w:pPr>
      <w:r>
        <w:rPr>
          <w:rStyle w:val="FootnoteReference"/>
        </w:rPr>
        <w:footnoteRef/>
      </w:r>
      <w:r>
        <w:t xml:space="preserve"> </w:t>
      </w:r>
      <w:r>
        <w:rPr>
          <w:lang w:val="en-AU"/>
        </w:rPr>
        <w:t xml:space="preserve">IRDA s90. </w:t>
      </w:r>
    </w:p>
  </w:footnote>
  <w:footnote w:id="22">
    <w:p w14:paraId="623AFBE3" w14:textId="47F75E65" w:rsidR="003E7F0D" w:rsidRPr="003E7F0D" w:rsidRDefault="003E7F0D">
      <w:pPr>
        <w:pStyle w:val="FootnoteText"/>
        <w:rPr>
          <w:lang w:val="en-AU"/>
        </w:rPr>
      </w:pPr>
      <w:r>
        <w:rPr>
          <w:rStyle w:val="FootnoteReference"/>
        </w:rPr>
        <w:footnoteRef/>
      </w:r>
      <w:r>
        <w:t xml:space="preserve"> </w:t>
      </w:r>
      <w:r>
        <w:rPr>
          <w:lang w:val="en-AU"/>
        </w:rPr>
        <w:t xml:space="preserve">IRDA s89(1). </w:t>
      </w:r>
    </w:p>
  </w:footnote>
  <w:footnote w:id="23">
    <w:p w14:paraId="29D54356" w14:textId="21D358B7" w:rsidR="003E7F0D" w:rsidRPr="003E7F0D" w:rsidRDefault="003E7F0D">
      <w:pPr>
        <w:pStyle w:val="FootnoteText"/>
        <w:rPr>
          <w:lang w:val="en-AU"/>
        </w:rPr>
      </w:pPr>
      <w:r>
        <w:rPr>
          <w:rStyle w:val="FootnoteReference"/>
        </w:rPr>
        <w:footnoteRef/>
      </w:r>
      <w:r>
        <w:t xml:space="preserve"> </w:t>
      </w:r>
      <w:r>
        <w:rPr>
          <w:lang w:val="en-AU"/>
        </w:rPr>
        <w:t>IRDA s89(2).</w:t>
      </w:r>
    </w:p>
  </w:footnote>
  <w:footnote w:id="24">
    <w:p w14:paraId="37910833" w14:textId="43FF29A4" w:rsidR="003E7F0D" w:rsidRPr="003E7F0D" w:rsidRDefault="003E7F0D">
      <w:pPr>
        <w:pStyle w:val="FootnoteText"/>
        <w:rPr>
          <w:lang w:val="en-AU"/>
        </w:rPr>
      </w:pPr>
      <w:r>
        <w:rPr>
          <w:rStyle w:val="FootnoteReference"/>
        </w:rPr>
        <w:footnoteRef/>
      </w:r>
      <w:r>
        <w:t xml:space="preserve"> </w:t>
      </w:r>
      <w:r>
        <w:rPr>
          <w:lang w:val="en-AU"/>
        </w:rPr>
        <w:t>IRDA s89(3).</w:t>
      </w:r>
    </w:p>
  </w:footnote>
  <w:footnote w:id="25">
    <w:p w14:paraId="7328827D" w14:textId="61E8BCBD" w:rsidR="003E7F0D" w:rsidRPr="003E7F0D" w:rsidRDefault="003E7F0D">
      <w:pPr>
        <w:pStyle w:val="FootnoteText"/>
        <w:rPr>
          <w:lang w:val="en-AU"/>
        </w:rPr>
      </w:pPr>
      <w:r>
        <w:rPr>
          <w:rStyle w:val="FootnoteReference"/>
        </w:rPr>
        <w:footnoteRef/>
      </w:r>
      <w:r>
        <w:t xml:space="preserve"> </w:t>
      </w:r>
      <w:r>
        <w:rPr>
          <w:lang w:val="en-AU"/>
        </w:rPr>
        <w:t xml:space="preserve">IRDA s89(4). </w:t>
      </w:r>
    </w:p>
  </w:footnote>
  <w:footnote w:id="26">
    <w:p w14:paraId="5D53C126" w14:textId="5597F7B5" w:rsidR="00356AD9" w:rsidRPr="00356AD9" w:rsidRDefault="00356AD9">
      <w:pPr>
        <w:pStyle w:val="FootnoteText"/>
        <w:rPr>
          <w:lang w:val="en-AU"/>
        </w:rPr>
      </w:pPr>
      <w:r>
        <w:rPr>
          <w:rStyle w:val="FootnoteReference"/>
        </w:rPr>
        <w:footnoteRef/>
      </w:r>
      <w:r>
        <w:t xml:space="preserve"> IRDA s109(1). </w:t>
      </w:r>
    </w:p>
  </w:footnote>
  <w:footnote w:id="27">
    <w:p w14:paraId="6D2951D9" w14:textId="03648E31" w:rsidR="007A45A3" w:rsidRPr="007A45A3" w:rsidRDefault="007A45A3">
      <w:pPr>
        <w:pStyle w:val="FootnoteText"/>
        <w:rPr>
          <w:lang w:val="en-AU"/>
        </w:rPr>
      </w:pPr>
      <w:r>
        <w:rPr>
          <w:rStyle w:val="FootnoteReference"/>
        </w:rPr>
        <w:footnoteRef/>
      </w:r>
      <w:r>
        <w:t xml:space="preserve"> </w:t>
      </w:r>
      <w:r>
        <w:rPr>
          <w:lang w:val="en-AU"/>
        </w:rPr>
        <w:t xml:space="preserve">IRDA s163. </w:t>
      </w:r>
    </w:p>
  </w:footnote>
  <w:footnote w:id="28">
    <w:p w14:paraId="1239CDFA" w14:textId="43E4B8EB" w:rsidR="00F47460" w:rsidRPr="00F47460" w:rsidRDefault="00F47460">
      <w:pPr>
        <w:pStyle w:val="FootnoteText"/>
        <w:rPr>
          <w:lang w:val="en-AU"/>
        </w:rPr>
      </w:pPr>
      <w:r>
        <w:rPr>
          <w:rStyle w:val="FootnoteReference"/>
        </w:rPr>
        <w:footnoteRef/>
      </w:r>
      <w:r>
        <w:t xml:space="preserve"> </w:t>
      </w:r>
      <w:r>
        <w:rPr>
          <w:lang w:val="en-AU"/>
        </w:rPr>
        <w:t xml:space="preserve">IRDA s124(1). </w:t>
      </w:r>
    </w:p>
  </w:footnote>
  <w:footnote w:id="29">
    <w:p w14:paraId="54065B48" w14:textId="192786DB" w:rsidR="00356AD9" w:rsidRPr="00356AD9" w:rsidRDefault="00356AD9">
      <w:pPr>
        <w:pStyle w:val="FootnoteText"/>
        <w:rPr>
          <w:lang w:val="en-AU"/>
        </w:rPr>
      </w:pPr>
      <w:r>
        <w:rPr>
          <w:rStyle w:val="FootnoteReference"/>
        </w:rPr>
        <w:footnoteRef/>
      </w:r>
      <w:r>
        <w:t xml:space="preserve"> </w:t>
      </w:r>
      <w:r>
        <w:rPr>
          <w:lang w:val="en-AU"/>
        </w:rPr>
        <w:t xml:space="preserve">IRDA s125(1).  </w:t>
      </w:r>
    </w:p>
  </w:footnote>
  <w:footnote w:id="30">
    <w:p w14:paraId="4F48A508" w14:textId="590B74E0" w:rsidR="003D6F37" w:rsidRPr="003D6F37" w:rsidRDefault="003D6F37" w:rsidP="003D6F37">
      <w:pPr>
        <w:rPr>
          <w:lang w:val="en-AU"/>
        </w:rPr>
      </w:pPr>
      <w:r>
        <w:rPr>
          <w:rStyle w:val="FootnoteReference"/>
        </w:rPr>
        <w:footnoteRef/>
      </w:r>
      <w:r>
        <w:t xml:space="preserve"> </w:t>
      </w:r>
      <w:r w:rsidRPr="003D6F37">
        <w:rPr>
          <w:szCs w:val="20"/>
          <w:lang w:val="en-AU"/>
        </w:rPr>
        <w:t>Report of the Insolvency Law Committee: Final Report 2013, at Chapter 6, paragraph 11; Committee to Strengthen Singapore as an International Centre for Debt Restructuring, Report of the Committee (2016)</w:t>
      </w:r>
      <w:r>
        <w:rPr>
          <w:szCs w:val="20"/>
          <w:lang w:val="en-AU"/>
        </w:rPr>
        <w:t xml:space="preserve"> </w:t>
      </w:r>
      <w:r w:rsidRPr="003D6F37">
        <w:rPr>
          <w:szCs w:val="20"/>
          <w:lang w:val="en-AU"/>
        </w:rPr>
        <w:t>paragraph 2.12</w:t>
      </w:r>
      <w:r>
        <w:rPr>
          <w:szCs w:val="20"/>
          <w:lang w:val="en-AU"/>
        </w:rPr>
        <w:t xml:space="preserve">. </w:t>
      </w:r>
    </w:p>
  </w:footnote>
  <w:footnote w:id="31">
    <w:p w14:paraId="31C22A84" w14:textId="755B23D4" w:rsidR="006C4333" w:rsidRPr="006C4333" w:rsidRDefault="006C4333">
      <w:pPr>
        <w:pStyle w:val="FootnoteText"/>
        <w:rPr>
          <w:lang w:val="en-AU"/>
        </w:rPr>
      </w:pPr>
      <w:r>
        <w:rPr>
          <w:rStyle w:val="FootnoteReference"/>
        </w:rPr>
        <w:footnoteRef/>
      </w:r>
      <w:r>
        <w:t xml:space="preserve"> IRDA s239.  </w:t>
      </w:r>
    </w:p>
  </w:footnote>
  <w:footnote w:id="32">
    <w:p w14:paraId="5B478E15" w14:textId="1ED68715" w:rsidR="002E6F86" w:rsidRPr="002E6F86" w:rsidRDefault="002E6F86">
      <w:pPr>
        <w:pStyle w:val="FootnoteText"/>
        <w:rPr>
          <w:lang w:val="en-AU"/>
        </w:rPr>
      </w:pPr>
      <w:r>
        <w:rPr>
          <w:rStyle w:val="FootnoteReference"/>
        </w:rPr>
        <w:footnoteRef/>
      </w:r>
      <w:r>
        <w:t xml:space="preserve"> IRDA </w:t>
      </w:r>
      <w:r w:rsidR="00356AD9">
        <w:t>s</w:t>
      </w:r>
      <w:r>
        <w:t>91(1)(a).</w:t>
      </w:r>
    </w:p>
  </w:footnote>
  <w:footnote w:id="33">
    <w:p w14:paraId="7CA1FC11" w14:textId="2708E6BB" w:rsidR="002E6F86" w:rsidRPr="002E6F86" w:rsidRDefault="002E6F86">
      <w:pPr>
        <w:pStyle w:val="FootnoteText"/>
        <w:rPr>
          <w:lang w:val="en-AU"/>
        </w:rPr>
      </w:pPr>
      <w:r>
        <w:rPr>
          <w:rStyle w:val="FootnoteReference"/>
        </w:rPr>
        <w:footnoteRef/>
      </w:r>
      <w:r>
        <w:t xml:space="preserve"> IRDA s91(1)(b).</w:t>
      </w:r>
    </w:p>
  </w:footnote>
  <w:footnote w:id="34">
    <w:p w14:paraId="1C86E7BE" w14:textId="1B884CF5" w:rsidR="00BD424E" w:rsidRPr="00BD424E" w:rsidRDefault="00BD424E">
      <w:pPr>
        <w:pStyle w:val="FootnoteText"/>
        <w:rPr>
          <w:lang w:val="en-AU"/>
        </w:rPr>
      </w:pPr>
      <w:r>
        <w:rPr>
          <w:rStyle w:val="FootnoteReference"/>
        </w:rPr>
        <w:footnoteRef/>
      </w:r>
      <w:r>
        <w:t xml:space="preserve"> </w:t>
      </w:r>
      <w:r>
        <w:rPr>
          <w:lang w:val="en-AU"/>
        </w:rPr>
        <w:t xml:space="preserve">IRDA s101(10)(a). </w:t>
      </w:r>
    </w:p>
  </w:footnote>
  <w:footnote w:id="35">
    <w:p w14:paraId="741EC6D1" w14:textId="453EBF39" w:rsidR="00D10F73" w:rsidRPr="00D10F73" w:rsidRDefault="00D10F73">
      <w:pPr>
        <w:pStyle w:val="FootnoteText"/>
        <w:rPr>
          <w:lang w:val="en-AU"/>
        </w:rPr>
      </w:pPr>
      <w:r>
        <w:rPr>
          <w:rStyle w:val="FootnoteReference"/>
        </w:rPr>
        <w:footnoteRef/>
      </w:r>
      <w:r>
        <w:t xml:space="preserve"> </w:t>
      </w:r>
      <w:r>
        <w:rPr>
          <w:lang w:val="en-AU"/>
        </w:rPr>
        <w:t>IRDA s</w:t>
      </w:r>
      <w:r w:rsidR="00BD424E">
        <w:rPr>
          <w:lang w:val="en-AU"/>
        </w:rPr>
        <w:t>101</w:t>
      </w:r>
      <w:r>
        <w:rPr>
          <w:lang w:val="en-AU"/>
        </w:rPr>
        <w:t>(</w:t>
      </w:r>
      <w:r w:rsidR="00BD424E">
        <w:rPr>
          <w:lang w:val="en-AU"/>
        </w:rPr>
        <w:t>10</w:t>
      </w:r>
      <w:r>
        <w:rPr>
          <w:lang w:val="en-AU"/>
        </w:rPr>
        <w:t>)</w:t>
      </w:r>
      <w:r w:rsidR="00BD424E">
        <w:rPr>
          <w:lang w:val="en-AU"/>
        </w:rPr>
        <w:t>(c)</w:t>
      </w:r>
      <w:r>
        <w:rPr>
          <w:lang w:val="en-AU"/>
        </w:rPr>
        <w:t xml:space="preserve">. </w:t>
      </w:r>
    </w:p>
  </w:footnote>
  <w:footnote w:id="36">
    <w:p w14:paraId="38C81D84" w14:textId="133AD7A9" w:rsidR="00BD424E" w:rsidRPr="00BD424E" w:rsidRDefault="00BD424E">
      <w:pPr>
        <w:pStyle w:val="FootnoteText"/>
        <w:rPr>
          <w:lang w:val="en-AU"/>
        </w:rPr>
      </w:pPr>
      <w:r>
        <w:rPr>
          <w:rStyle w:val="FootnoteReference"/>
        </w:rPr>
        <w:footnoteRef/>
      </w:r>
      <w:r>
        <w:t xml:space="preserve"> </w:t>
      </w:r>
      <w:r>
        <w:rPr>
          <w:lang w:val="en-AU"/>
        </w:rPr>
        <w:t>IRDA s101(10)(b).</w:t>
      </w:r>
    </w:p>
  </w:footnote>
  <w:footnote w:id="37">
    <w:p w14:paraId="774111E1" w14:textId="53701BBA" w:rsidR="00E036D0" w:rsidRPr="00E036D0" w:rsidRDefault="00E036D0">
      <w:pPr>
        <w:pStyle w:val="FootnoteText"/>
        <w:rPr>
          <w:lang w:val="en-AU"/>
        </w:rPr>
      </w:pPr>
      <w:r>
        <w:rPr>
          <w:rStyle w:val="FootnoteReference"/>
        </w:rPr>
        <w:footnoteRef/>
      </w:r>
      <w:r>
        <w:t xml:space="preserve"> </w:t>
      </w:r>
      <w:r>
        <w:rPr>
          <w:lang w:val="en-AU"/>
        </w:rPr>
        <w:t>IRDA s94</w:t>
      </w:r>
      <w:r w:rsidR="00C861DA">
        <w:rPr>
          <w:lang w:val="en-AU"/>
        </w:rPr>
        <w:t xml:space="preserve"> (1). </w:t>
      </w:r>
    </w:p>
  </w:footnote>
  <w:footnote w:id="38">
    <w:p w14:paraId="3AB2E1B4" w14:textId="505BB2A6" w:rsidR="00C861DA" w:rsidRPr="00C861DA" w:rsidRDefault="00C861DA">
      <w:pPr>
        <w:pStyle w:val="FootnoteText"/>
        <w:rPr>
          <w:lang w:val="en-AU"/>
        </w:rPr>
      </w:pPr>
      <w:r>
        <w:rPr>
          <w:rStyle w:val="FootnoteReference"/>
        </w:rPr>
        <w:footnoteRef/>
      </w:r>
      <w:r>
        <w:t xml:space="preserve"> </w:t>
      </w:r>
      <w:r w:rsidR="00A27EC7">
        <w:rPr>
          <w:lang w:val="en-AU"/>
        </w:rPr>
        <w:t>IRDA s94 (2).</w:t>
      </w:r>
    </w:p>
  </w:footnote>
  <w:footnote w:id="39">
    <w:p w14:paraId="2C78BCD8" w14:textId="6EAA0268" w:rsidR="00A27EC7" w:rsidRPr="00A27EC7" w:rsidRDefault="00A27EC7">
      <w:pPr>
        <w:pStyle w:val="FootnoteText"/>
        <w:rPr>
          <w:lang w:val="en-AU"/>
        </w:rPr>
      </w:pPr>
      <w:r>
        <w:rPr>
          <w:rStyle w:val="FootnoteReference"/>
        </w:rPr>
        <w:footnoteRef/>
      </w:r>
      <w:r>
        <w:t xml:space="preserve"> </w:t>
      </w:r>
      <w:r>
        <w:rPr>
          <w:lang w:val="en-AU"/>
        </w:rPr>
        <w:t>IRDA s94 (3)(d).</w:t>
      </w:r>
    </w:p>
  </w:footnote>
  <w:footnote w:id="40">
    <w:p w14:paraId="648CF4F1" w14:textId="17354D78" w:rsidR="00A27EC7" w:rsidRPr="00A27EC7" w:rsidRDefault="00A27EC7">
      <w:pPr>
        <w:pStyle w:val="FootnoteText"/>
        <w:rPr>
          <w:lang w:val="en-AU"/>
        </w:rPr>
      </w:pPr>
      <w:r>
        <w:rPr>
          <w:rStyle w:val="FootnoteReference"/>
        </w:rPr>
        <w:footnoteRef/>
      </w:r>
      <w:r>
        <w:t xml:space="preserve"> </w:t>
      </w:r>
      <w:r>
        <w:rPr>
          <w:lang w:val="en-AU"/>
        </w:rPr>
        <w:t>IRDA s94 (3)(c).</w:t>
      </w:r>
    </w:p>
  </w:footnote>
  <w:footnote w:id="41">
    <w:p w14:paraId="7D07EBB0" w14:textId="72E9B9F9" w:rsidR="00A27EC7" w:rsidRPr="00A27EC7" w:rsidRDefault="00A27EC7">
      <w:pPr>
        <w:pStyle w:val="FootnoteText"/>
        <w:rPr>
          <w:lang w:val="en-AU"/>
        </w:rPr>
      </w:pPr>
      <w:r>
        <w:rPr>
          <w:rStyle w:val="FootnoteReference"/>
        </w:rPr>
        <w:footnoteRef/>
      </w:r>
      <w:r w:rsidRPr="00A27EC7">
        <w:rPr>
          <w:lang w:val="en-AU"/>
        </w:rPr>
        <w:t xml:space="preserve"> </w:t>
      </w:r>
      <w:r>
        <w:rPr>
          <w:lang w:val="en-AU"/>
        </w:rPr>
        <w:t>IRDA s94 (3)(e) and (f).</w:t>
      </w:r>
    </w:p>
  </w:footnote>
  <w:footnote w:id="42">
    <w:p w14:paraId="39E35E5A" w14:textId="4389A8F3" w:rsidR="00A27EC7" w:rsidRPr="00A27EC7" w:rsidRDefault="00A27EC7">
      <w:pPr>
        <w:pStyle w:val="FootnoteText"/>
        <w:rPr>
          <w:lang w:val="en-AU"/>
        </w:rPr>
      </w:pPr>
      <w:r>
        <w:rPr>
          <w:rStyle w:val="FootnoteReference"/>
        </w:rPr>
        <w:footnoteRef/>
      </w:r>
      <w:r>
        <w:t xml:space="preserve"> </w:t>
      </w:r>
      <w:r>
        <w:rPr>
          <w:lang w:val="en-AU"/>
        </w:rPr>
        <w:t>IRDA s94 (11).</w:t>
      </w:r>
    </w:p>
  </w:footnote>
  <w:footnote w:id="43">
    <w:p w14:paraId="393F0CED" w14:textId="7E7200E2" w:rsidR="005558DE" w:rsidRPr="005558DE" w:rsidRDefault="005558DE">
      <w:pPr>
        <w:pStyle w:val="FootnoteText"/>
        <w:rPr>
          <w:lang w:val="en-AU"/>
        </w:rPr>
      </w:pPr>
      <w:r>
        <w:rPr>
          <w:rStyle w:val="FootnoteReference"/>
        </w:rPr>
        <w:footnoteRef/>
      </w:r>
      <w:r>
        <w:t xml:space="preserve"> </w:t>
      </w:r>
      <w:r>
        <w:rPr>
          <w:lang w:val="en-AU"/>
        </w:rPr>
        <w:t>[2019] EWHC 1459 (Ch)</w:t>
      </w:r>
    </w:p>
  </w:footnote>
  <w:footnote w:id="44">
    <w:p w14:paraId="7C785A36" w14:textId="3A32212C" w:rsidR="000F0810" w:rsidRPr="000F0810" w:rsidRDefault="000F0810">
      <w:pPr>
        <w:pStyle w:val="FootnoteText"/>
        <w:rPr>
          <w:lang w:val="en-AU"/>
        </w:rPr>
      </w:pPr>
      <w:r>
        <w:rPr>
          <w:rStyle w:val="FootnoteReference"/>
        </w:rPr>
        <w:footnoteRef/>
      </w:r>
      <w:r>
        <w:t xml:space="preserve"> </w:t>
      </w:r>
      <w:r w:rsidRPr="000F0810">
        <w:t>https://cacj-ajp.org/singapore/legal-system/singapore-laws/key-legislation/reciprocal-enforcement-of-commonwealth-judgments-act/</w:t>
      </w:r>
    </w:p>
  </w:footnote>
  <w:footnote w:id="45">
    <w:p w14:paraId="0B12D55D" w14:textId="3D151514" w:rsidR="000F0810" w:rsidRPr="000F0810" w:rsidRDefault="000F0810" w:rsidP="000F0810">
      <w:pPr>
        <w:rPr>
          <w:rFonts w:ascii="Times New Roman" w:hAnsi="Times New Roman" w:cs="Times New Roman"/>
          <w:sz w:val="24"/>
          <w:lang w:val="en-AU" w:eastAsia="en-GB"/>
        </w:rPr>
      </w:pPr>
      <w:r>
        <w:rPr>
          <w:rStyle w:val="FootnoteReference"/>
        </w:rPr>
        <w:footnoteRef/>
      </w:r>
      <w:r>
        <w:t xml:space="preserve"> </w:t>
      </w:r>
      <w:r>
        <w:rPr>
          <w:szCs w:val="20"/>
          <w:lang w:val="en-AU"/>
        </w:rPr>
        <w:t>Re</w:t>
      </w:r>
      <w:r w:rsidRPr="000F0810">
        <w:rPr>
          <w:szCs w:val="20"/>
          <w:lang w:val="en-AU"/>
        </w:rPr>
        <w:t>ciprocal Enforcement of Commonwealth Judgments (Repeal) Act 2019</w:t>
      </w:r>
    </w:p>
    <w:p w14:paraId="03CCBD27" w14:textId="6C90109F" w:rsidR="000F0810" w:rsidRPr="000F0810" w:rsidRDefault="000F0810">
      <w:pPr>
        <w:pStyle w:val="FootnoteText"/>
        <w:rPr>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7DCF"/>
    <w:multiLevelType w:val="hybridMultilevel"/>
    <w:tmpl w:val="8B56ED90"/>
    <w:lvl w:ilvl="0" w:tplc="94D080FC">
      <w:start w:val="1"/>
      <w:numFmt w:val="lowerRoman"/>
      <w:lvlText w:val="(%1)"/>
      <w:lvlJc w:val="left"/>
      <w:pPr>
        <w:ind w:left="1080" w:hanging="72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50D6E"/>
    <w:multiLevelType w:val="hybridMultilevel"/>
    <w:tmpl w:val="EDC07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5" w15:restartNumberingAfterBreak="0">
    <w:nsid w:val="1E9E3E50"/>
    <w:multiLevelType w:val="hybridMultilevel"/>
    <w:tmpl w:val="657A583A"/>
    <w:lvl w:ilvl="0" w:tplc="E536F6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7"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8" w15:restartNumberingAfterBreak="0">
    <w:nsid w:val="30EA3FAC"/>
    <w:multiLevelType w:val="hybridMultilevel"/>
    <w:tmpl w:val="C5329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1"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9803F4"/>
    <w:multiLevelType w:val="hybridMultilevel"/>
    <w:tmpl w:val="E558161A"/>
    <w:lvl w:ilvl="0" w:tplc="94D080FC">
      <w:start w:val="1"/>
      <w:numFmt w:val="lowerRoman"/>
      <w:lvlText w:val="(%1)"/>
      <w:lvlJc w:val="left"/>
      <w:pPr>
        <w:ind w:left="1080" w:hanging="72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1E7144"/>
    <w:multiLevelType w:val="hybridMultilevel"/>
    <w:tmpl w:val="1E0AE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9D4A7B"/>
    <w:multiLevelType w:val="hybridMultilevel"/>
    <w:tmpl w:val="3F4CD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23"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2"/>
  </w:num>
  <w:num w:numId="5">
    <w:abstractNumId w:val="11"/>
  </w:num>
  <w:num w:numId="6">
    <w:abstractNumId w:val="22"/>
  </w:num>
  <w:num w:numId="7">
    <w:abstractNumId w:val="4"/>
  </w:num>
  <w:num w:numId="8">
    <w:abstractNumId w:val="19"/>
  </w:num>
  <w:num w:numId="9">
    <w:abstractNumId w:val="21"/>
  </w:num>
  <w:num w:numId="10">
    <w:abstractNumId w:val="9"/>
  </w:num>
  <w:num w:numId="11">
    <w:abstractNumId w:val="18"/>
  </w:num>
  <w:num w:numId="12">
    <w:abstractNumId w:val="12"/>
  </w:num>
  <w:num w:numId="13">
    <w:abstractNumId w:val="13"/>
  </w:num>
  <w:num w:numId="14">
    <w:abstractNumId w:val="1"/>
  </w:num>
  <w:num w:numId="15">
    <w:abstractNumId w:val="16"/>
  </w:num>
  <w:num w:numId="16">
    <w:abstractNumId w:val="20"/>
  </w:num>
  <w:num w:numId="17">
    <w:abstractNumId w:val="23"/>
  </w:num>
  <w:num w:numId="18">
    <w:abstractNumId w:val="14"/>
  </w:num>
  <w:num w:numId="19">
    <w:abstractNumId w:val="0"/>
  </w:num>
  <w:num w:numId="20">
    <w:abstractNumId w:val="15"/>
  </w:num>
  <w:num w:numId="21">
    <w:abstractNumId w:val="17"/>
  </w:num>
  <w:num w:numId="22">
    <w:abstractNumId w:val="5"/>
  </w:num>
  <w:num w:numId="23">
    <w:abstractNumId w:val="3"/>
  </w:num>
  <w:num w:numId="2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74"/>
    <w:rsid w:val="000020A1"/>
    <w:rsid w:val="000036E5"/>
    <w:rsid w:val="00010BA0"/>
    <w:rsid w:val="00013617"/>
    <w:rsid w:val="00015FF5"/>
    <w:rsid w:val="00020557"/>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5884"/>
    <w:rsid w:val="00067A22"/>
    <w:rsid w:val="0007291B"/>
    <w:rsid w:val="00082609"/>
    <w:rsid w:val="000851CC"/>
    <w:rsid w:val="00087F21"/>
    <w:rsid w:val="00093BE8"/>
    <w:rsid w:val="000A407B"/>
    <w:rsid w:val="000A68ED"/>
    <w:rsid w:val="000B4074"/>
    <w:rsid w:val="000B5FF1"/>
    <w:rsid w:val="000B609F"/>
    <w:rsid w:val="000B66DE"/>
    <w:rsid w:val="000C2AB6"/>
    <w:rsid w:val="000D101F"/>
    <w:rsid w:val="000D2BEC"/>
    <w:rsid w:val="000D55A8"/>
    <w:rsid w:val="000E1246"/>
    <w:rsid w:val="000E4841"/>
    <w:rsid w:val="000F0810"/>
    <w:rsid w:val="000F0B79"/>
    <w:rsid w:val="000F0CF2"/>
    <w:rsid w:val="000F1677"/>
    <w:rsid w:val="000F3D6C"/>
    <w:rsid w:val="00101707"/>
    <w:rsid w:val="00102CC9"/>
    <w:rsid w:val="0010454F"/>
    <w:rsid w:val="0010593A"/>
    <w:rsid w:val="00105948"/>
    <w:rsid w:val="0011473D"/>
    <w:rsid w:val="00115C85"/>
    <w:rsid w:val="00121199"/>
    <w:rsid w:val="00123855"/>
    <w:rsid w:val="00126A4D"/>
    <w:rsid w:val="0013379E"/>
    <w:rsid w:val="0014171F"/>
    <w:rsid w:val="0014622C"/>
    <w:rsid w:val="00151F58"/>
    <w:rsid w:val="00152348"/>
    <w:rsid w:val="00152FD4"/>
    <w:rsid w:val="0015456D"/>
    <w:rsid w:val="00155FA2"/>
    <w:rsid w:val="00161F1B"/>
    <w:rsid w:val="00162829"/>
    <w:rsid w:val="0016368E"/>
    <w:rsid w:val="00166A82"/>
    <w:rsid w:val="00180548"/>
    <w:rsid w:val="00180AC4"/>
    <w:rsid w:val="00180CCE"/>
    <w:rsid w:val="00181A91"/>
    <w:rsid w:val="0018267A"/>
    <w:rsid w:val="00182779"/>
    <w:rsid w:val="001830DF"/>
    <w:rsid w:val="0018544B"/>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2ED2"/>
    <w:rsid w:val="001F7412"/>
    <w:rsid w:val="0020090A"/>
    <w:rsid w:val="00202DFE"/>
    <w:rsid w:val="0020725B"/>
    <w:rsid w:val="002110F1"/>
    <w:rsid w:val="002208D9"/>
    <w:rsid w:val="00223CAE"/>
    <w:rsid w:val="00226EAA"/>
    <w:rsid w:val="002311E3"/>
    <w:rsid w:val="002356EA"/>
    <w:rsid w:val="00235D7D"/>
    <w:rsid w:val="00240B0E"/>
    <w:rsid w:val="0024116D"/>
    <w:rsid w:val="00241B44"/>
    <w:rsid w:val="00241FA3"/>
    <w:rsid w:val="00245EFB"/>
    <w:rsid w:val="0024716F"/>
    <w:rsid w:val="0025386E"/>
    <w:rsid w:val="00255890"/>
    <w:rsid w:val="00262940"/>
    <w:rsid w:val="002638B0"/>
    <w:rsid w:val="0026647A"/>
    <w:rsid w:val="002668D3"/>
    <w:rsid w:val="0027247F"/>
    <w:rsid w:val="0027299F"/>
    <w:rsid w:val="00284EBE"/>
    <w:rsid w:val="002903A7"/>
    <w:rsid w:val="0029433F"/>
    <w:rsid w:val="00294829"/>
    <w:rsid w:val="0029690F"/>
    <w:rsid w:val="00297C8A"/>
    <w:rsid w:val="002A2A60"/>
    <w:rsid w:val="002A37BB"/>
    <w:rsid w:val="002B1C45"/>
    <w:rsid w:val="002B2F4C"/>
    <w:rsid w:val="002B2F9F"/>
    <w:rsid w:val="002C13C8"/>
    <w:rsid w:val="002C3547"/>
    <w:rsid w:val="002C72F3"/>
    <w:rsid w:val="002D0021"/>
    <w:rsid w:val="002D0C55"/>
    <w:rsid w:val="002D299D"/>
    <w:rsid w:val="002D3473"/>
    <w:rsid w:val="002E38E2"/>
    <w:rsid w:val="002E6F86"/>
    <w:rsid w:val="002F1956"/>
    <w:rsid w:val="002F3440"/>
    <w:rsid w:val="002F36AA"/>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56AD9"/>
    <w:rsid w:val="00361A0A"/>
    <w:rsid w:val="00361BAA"/>
    <w:rsid w:val="00364836"/>
    <w:rsid w:val="0036565C"/>
    <w:rsid w:val="0036625E"/>
    <w:rsid w:val="0037465A"/>
    <w:rsid w:val="00376303"/>
    <w:rsid w:val="00380BAB"/>
    <w:rsid w:val="00382C98"/>
    <w:rsid w:val="0038533C"/>
    <w:rsid w:val="00386568"/>
    <w:rsid w:val="00390B57"/>
    <w:rsid w:val="003948D5"/>
    <w:rsid w:val="00396821"/>
    <w:rsid w:val="00397D3A"/>
    <w:rsid w:val="003A051E"/>
    <w:rsid w:val="003B170F"/>
    <w:rsid w:val="003B3C5F"/>
    <w:rsid w:val="003B6014"/>
    <w:rsid w:val="003C4471"/>
    <w:rsid w:val="003D0A6D"/>
    <w:rsid w:val="003D1EF3"/>
    <w:rsid w:val="003D55C1"/>
    <w:rsid w:val="003D6F37"/>
    <w:rsid w:val="003D70A7"/>
    <w:rsid w:val="003E0B16"/>
    <w:rsid w:val="003E22E2"/>
    <w:rsid w:val="003E67D1"/>
    <w:rsid w:val="003E7F0D"/>
    <w:rsid w:val="003F5522"/>
    <w:rsid w:val="003F6783"/>
    <w:rsid w:val="00404329"/>
    <w:rsid w:val="00405DC1"/>
    <w:rsid w:val="00406AE7"/>
    <w:rsid w:val="00415F1F"/>
    <w:rsid w:val="00416B96"/>
    <w:rsid w:val="0042108F"/>
    <w:rsid w:val="004226ED"/>
    <w:rsid w:val="00425016"/>
    <w:rsid w:val="00430C5C"/>
    <w:rsid w:val="00430FED"/>
    <w:rsid w:val="00434A8C"/>
    <w:rsid w:val="00437297"/>
    <w:rsid w:val="004414E6"/>
    <w:rsid w:val="00442A83"/>
    <w:rsid w:val="00444284"/>
    <w:rsid w:val="00445CE6"/>
    <w:rsid w:val="004521DF"/>
    <w:rsid w:val="004534C2"/>
    <w:rsid w:val="0045446F"/>
    <w:rsid w:val="0045683E"/>
    <w:rsid w:val="00465497"/>
    <w:rsid w:val="0046555A"/>
    <w:rsid w:val="00477C72"/>
    <w:rsid w:val="0049097F"/>
    <w:rsid w:val="00491675"/>
    <w:rsid w:val="00493855"/>
    <w:rsid w:val="00494E28"/>
    <w:rsid w:val="00495E79"/>
    <w:rsid w:val="004A2D83"/>
    <w:rsid w:val="004A57DD"/>
    <w:rsid w:val="004A7B51"/>
    <w:rsid w:val="004A7D71"/>
    <w:rsid w:val="004A7EF3"/>
    <w:rsid w:val="004B11FD"/>
    <w:rsid w:val="004B23A2"/>
    <w:rsid w:val="004D1A5A"/>
    <w:rsid w:val="004D1C16"/>
    <w:rsid w:val="004D2FFF"/>
    <w:rsid w:val="004D363D"/>
    <w:rsid w:val="004D3721"/>
    <w:rsid w:val="004D64F9"/>
    <w:rsid w:val="004D7749"/>
    <w:rsid w:val="004E30B0"/>
    <w:rsid w:val="004E3A6B"/>
    <w:rsid w:val="004E622C"/>
    <w:rsid w:val="004E6D1C"/>
    <w:rsid w:val="004E7D70"/>
    <w:rsid w:val="004F5DE9"/>
    <w:rsid w:val="004F5FDF"/>
    <w:rsid w:val="0050319C"/>
    <w:rsid w:val="00510B34"/>
    <w:rsid w:val="005177FE"/>
    <w:rsid w:val="0052263B"/>
    <w:rsid w:val="00524728"/>
    <w:rsid w:val="005312B3"/>
    <w:rsid w:val="00531721"/>
    <w:rsid w:val="005331CA"/>
    <w:rsid w:val="00537970"/>
    <w:rsid w:val="00540E3A"/>
    <w:rsid w:val="00544127"/>
    <w:rsid w:val="00545EF1"/>
    <w:rsid w:val="005463A9"/>
    <w:rsid w:val="00546D65"/>
    <w:rsid w:val="00547196"/>
    <w:rsid w:val="00553EB2"/>
    <w:rsid w:val="005558DE"/>
    <w:rsid w:val="00560534"/>
    <w:rsid w:val="0056391B"/>
    <w:rsid w:val="005650E2"/>
    <w:rsid w:val="00567AD7"/>
    <w:rsid w:val="005758A7"/>
    <w:rsid w:val="00575B2D"/>
    <w:rsid w:val="005771EA"/>
    <w:rsid w:val="0058230B"/>
    <w:rsid w:val="005833D0"/>
    <w:rsid w:val="005846F3"/>
    <w:rsid w:val="0058622F"/>
    <w:rsid w:val="00592F82"/>
    <w:rsid w:val="00593113"/>
    <w:rsid w:val="005A0CCA"/>
    <w:rsid w:val="005A6ED5"/>
    <w:rsid w:val="005A6FF2"/>
    <w:rsid w:val="005A726D"/>
    <w:rsid w:val="005B5514"/>
    <w:rsid w:val="005B67AC"/>
    <w:rsid w:val="005B79F4"/>
    <w:rsid w:val="005C1A62"/>
    <w:rsid w:val="005C523F"/>
    <w:rsid w:val="005C529D"/>
    <w:rsid w:val="005C5B99"/>
    <w:rsid w:val="005C747D"/>
    <w:rsid w:val="005D0680"/>
    <w:rsid w:val="005D16DD"/>
    <w:rsid w:val="005D43E0"/>
    <w:rsid w:val="005D58A3"/>
    <w:rsid w:val="005E1B79"/>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542"/>
    <w:rsid w:val="00631DDB"/>
    <w:rsid w:val="00632E44"/>
    <w:rsid w:val="00634622"/>
    <w:rsid w:val="006358BA"/>
    <w:rsid w:val="00636808"/>
    <w:rsid w:val="0063729B"/>
    <w:rsid w:val="00641515"/>
    <w:rsid w:val="00645F3A"/>
    <w:rsid w:val="006532AA"/>
    <w:rsid w:val="00654AF0"/>
    <w:rsid w:val="00654C2F"/>
    <w:rsid w:val="00654C95"/>
    <w:rsid w:val="00655695"/>
    <w:rsid w:val="00657087"/>
    <w:rsid w:val="00661BA6"/>
    <w:rsid w:val="00661D51"/>
    <w:rsid w:val="006639DB"/>
    <w:rsid w:val="00663CD6"/>
    <w:rsid w:val="006661EF"/>
    <w:rsid w:val="00666581"/>
    <w:rsid w:val="00667F67"/>
    <w:rsid w:val="00670218"/>
    <w:rsid w:val="00670CB1"/>
    <w:rsid w:val="00677534"/>
    <w:rsid w:val="00677AEB"/>
    <w:rsid w:val="00680EF2"/>
    <w:rsid w:val="00684441"/>
    <w:rsid w:val="0068493F"/>
    <w:rsid w:val="00687A1D"/>
    <w:rsid w:val="00697EA1"/>
    <w:rsid w:val="006A2646"/>
    <w:rsid w:val="006A6530"/>
    <w:rsid w:val="006B435A"/>
    <w:rsid w:val="006B4C64"/>
    <w:rsid w:val="006C4333"/>
    <w:rsid w:val="006D1758"/>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51747"/>
    <w:rsid w:val="00757835"/>
    <w:rsid w:val="007603F5"/>
    <w:rsid w:val="0076395C"/>
    <w:rsid w:val="00764DB0"/>
    <w:rsid w:val="0076764D"/>
    <w:rsid w:val="00767705"/>
    <w:rsid w:val="0077498C"/>
    <w:rsid w:val="007809BC"/>
    <w:rsid w:val="00781734"/>
    <w:rsid w:val="007818AF"/>
    <w:rsid w:val="00784128"/>
    <w:rsid w:val="00784E9B"/>
    <w:rsid w:val="00787BCC"/>
    <w:rsid w:val="0079309B"/>
    <w:rsid w:val="00793173"/>
    <w:rsid w:val="00796810"/>
    <w:rsid w:val="007A0F86"/>
    <w:rsid w:val="007A2A33"/>
    <w:rsid w:val="007A45A3"/>
    <w:rsid w:val="007A50B0"/>
    <w:rsid w:val="007A714B"/>
    <w:rsid w:val="007B5C89"/>
    <w:rsid w:val="007C1FCC"/>
    <w:rsid w:val="007C23F2"/>
    <w:rsid w:val="007C6201"/>
    <w:rsid w:val="007D3C92"/>
    <w:rsid w:val="007D431D"/>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683C"/>
    <w:rsid w:val="00851178"/>
    <w:rsid w:val="00853901"/>
    <w:rsid w:val="00856BD4"/>
    <w:rsid w:val="00867701"/>
    <w:rsid w:val="008723F3"/>
    <w:rsid w:val="00876F56"/>
    <w:rsid w:val="00881DE6"/>
    <w:rsid w:val="008837A6"/>
    <w:rsid w:val="00884A57"/>
    <w:rsid w:val="0089145D"/>
    <w:rsid w:val="008A4DF2"/>
    <w:rsid w:val="008A6CFE"/>
    <w:rsid w:val="008B0F78"/>
    <w:rsid w:val="008B155E"/>
    <w:rsid w:val="008B5333"/>
    <w:rsid w:val="008B6223"/>
    <w:rsid w:val="008B779D"/>
    <w:rsid w:val="008C66E0"/>
    <w:rsid w:val="008E3339"/>
    <w:rsid w:val="008F20FC"/>
    <w:rsid w:val="008F5FFE"/>
    <w:rsid w:val="00905A43"/>
    <w:rsid w:val="00912C79"/>
    <w:rsid w:val="00921B8C"/>
    <w:rsid w:val="00942123"/>
    <w:rsid w:val="0095207B"/>
    <w:rsid w:val="00954F89"/>
    <w:rsid w:val="00962045"/>
    <w:rsid w:val="00976404"/>
    <w:rsid w:val="00980E61"/>
    <w:rsid w:val="00982D07"/>
    <w:rsid w:val="00987CB1"/>
    <w:rsid w:val="00991428"/>
    <w:rsid w:val="00992676"/>
    <w:rsid w:val="00994947"/>
    <w:rsid w:val="009954B2"/>
    <w:rsid w:val="00995576"/>
    <w:rsid w:val="00996691"/>
    <w:rsid w:val="00997650"/>
    <w:rsid w:val="009A3AB7"/>
    <w:rsid w:val="009B0723"/>
    <w:rsid w:val="009B07AD"/>
    <w:rsid w:val="009B0883"/>
    <w:rsid w:val="009B15E2"/>
    <w:rsid w:val="009B4976"/>
    <w:rsid w:val="009C0B8E"/>
    <w:rsid w:val="009C1BC8"/>
    <w:rsid w:val="009C2442"/>
    <w:rsid w:val="009C526D"/>
    <w:rsid w:val="009C5286"/>
    <w:rsid w:val="009C616E"/>
    <w:rsid w:val="009D0811"/>
    <w:rsid w:val="009D0EE1"/>
    <w:rsid w:val="009D23C6"/>
    <w:rsid w:val="009D62BD"/>
    <w:rsid w:val="009E2A56"/>
    <w:rsid w:val="009E2AEB"/>
    <w:rsid w:val="009E2E27"/>
    <w:rsid w:val="009E3DF6"/>
    <w:rsid w:val="009E3EA0"/>
    <w:rsid w:val="009E45DF"/>
    <w:rsid w:val="009E4DE3"/>
    <w:rsid w:val="009E717E"/>
    <w:rsid w:val="009F1595"/>
    <w:rsid w:val="009F206F"/>
    <w:rsid w:val="009F275E"/>
    <w:rsid w:val="00A01DDA"/>
    <w:rsid w:val="00A047EE"/>
    <w:rsid w:val="00A2274A"/>
    <w:rsid w:val="00A235B7"/>
    <w:rsid w:val="00A27A7A"/>
    <w:rsid w:val="00A27EC7"/>
    <w:rsid w:val="00A34ABE"/>
    <w:rsid w:val="00A407EF"/>
    <w:rsid w:val="00A46B4C"/>
    <w:rsid w:val="00A5117B"/>
    <w:rsid w:val="00A56D34"/>
    <w:rsid w:val="00A57EFB"/>
    <w:rsid w:val="00A60074"/>
    <w:rsid w:val="00A64900"/>
    <w:rsid w:val="00A6627C"/>
    <w:rsid w:val="00A71019"/>
    <w:rsid w:val="00A81029"/>
    <w:rsid w:val="00A83276"/>
    <w:rsid w:val="00A83871"/>
    <w:rsid w:val="00A845F5"/>
    <w:rsid w:val="00A92054"/>
    <w:rsid w:val="00A94F39"/>
    <w:rsid w:val="00A96489"/>
    <w:rsid w:val="00AA6DF7"/>
    <w:rsid w:val="00AB2425"/>
    <w:rsid w:val="00AB4451"/>
    <w:rsid w:val="00AB6201"/>
    <w:rsid w:val="00AB685C"/>
    <w:rsid w:val="00AB6C2D"/>
    <w:rsid w:val="00AC08F7"/>
    <w:rsid w:val="00AC2C04"/>
    <w:rsid w:val="00AC3839"/>
    <w:rsid w:val="00AC7082"/>
    <w:rsid w:val="00AD4BE8"/>
    <w:rsid w:val="00AE2020"/>
    <w:rsid w:val="00AE43E0"/>
    <w:rsid w:val="00AF228E"/>
    <w:rsid w:val="00AF44E3"/>
    <w:rsid w:val="00AF5D9C"/>
    <w:rsid w:val="00B016A8"/>
    <w:rsid w:val="00B14819"/>
    <w:rsid w:val="00B15E2F"/>
    <w:rsid w:val="00B170F8"/>
    <w:rsid w:val="00B17AA9"/>
    <w:rsid w:val="00B32DE4"/>
    <w:rsid w:val="00B40AAD"/>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A1701"/>
    <w:rsid w:val="00BB0F2B"/>
    <w:rsid w:val="00BC7649"/>
    <w:rsid w:val="00BD424E"/>
    <w:rsid w:val="00BE4FF3"/>
    <w:rsid w:val="00BE5B8E"/>
    <w:rsid w:val="00BE65AA"/>
    <w:rsid w:val="00BF42A8"/>
    <w:rsid w:val="00BF50F7"/>
    <w:rsid w:val="00C02F29"/>
    <w:rsid w:val="00C041E8"/>
    <w:rsid w:val="00C17718"/>
    <w:rsid w:val="00C20AFE"/>
    <w:rsid w:val="00C22A25"/>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61DA"/>
    <w:rsid w:val="00C8712A"/>
    <w:rsid w:val="00C902C8"/>
    <w:rsid w:val="00C919D1"/>
    <w:rsid w:val="00C93146"/>
    <w:rsid w:val="00C94620"/>
    <w:rsid w:val="00C960CA"/>
    <w:rsid w:val="00C963D3"/>
    <w:rsid w:val="00CB1983"/>
    <w:rsid w:val="00CB2480"/>
    <w:rsid w:val="00CB2CBB"/>
    <w:rsid w:val="00CB5FD0"/>
    <w:rsid w:val="00CB7CAC"/>
    <w:rsid w:val="00CC158E"/>
    <w:rsid w:val="00CC5335"/>
    <w:rsid w:val="00CC5BA4"/>
    <w:rsid w:val="00CC6317"/>
    <w:rsid w:val="00CD4998"/>
    <w:rsid w:val="00CD74F3"/>
    <w:rsid w:val="00CE1035"/>
    <w:rsid w:val="00CE6E50"/>
    <w:rsid w:val="00CF14BE"/>
    <w:rsid w:val="00CF2819"/>
    <w:rsid w:val="00CF3A5A"/>
    <w:rsid w:val="00CF4F9D"/>
    <w:rsid w:val="00CF6E14"/>
    <w:rsid w:val="00CF70DC"/>
    <w:rsid w:val="00D0080B"/>
    <w:rsid w:val="00D0775F"/>
    <w:rsid w:val="00D1046D"/>
    <w:rsid w:val="00D10F73"/>
    <w:rsid w:val="00D148DC"/>
    <w:rsid w:val="00D17FDC"/>
    <w:rsid w:val="00D21D8C"/>
    <w:rsid w:val="00D21F25"/>
    <w:rsid w:val="00D23F5A"/>
    <w:rsid w:val="00D272E5"/>
    <w:rsid w:val="00D307FA"/>
    <w:rsid w:val="00D53719"/>
    <w:rsid w:val="00D63EFD"/>
    <w:rsid w:val="00D65741"/>
    <w:rsid w:val="00D77884"/>
    <w:rsid w:val="00D80DC2"/>
    <w:rsid w:val="00D825D6"/>
    <w:rsid w:val="00D84752"/>
    <w:rsid w:val="00D86779"/>
    <w:rsid w:val="00D86B3B"/>
    <w:rsid w:val="00D8744B"/>
    <w:rsid w:val="00D8748A"/>
    <w:rsid w:val="00D93196"/>
    <w:rsid w:val="00DA0DC0"/>
    <w:rsid w:val="00DA124D"/>
    <w:rsid w:val="00DB243C"/>
    <w:rsid w:val="00DB482A"/>
    <w:rsid w:val="00DB50FB"/>
    <w:rsid w:val="00DB56F2"/>
    <w:rsid w:val="00DB6103"/>
    <w:rsid w:val="00DB6EF5"/>
    <w:rsid w:val="00DC3089"/>
    <w:rsid w:val="00DC4420"/>
    <w:rsid w:val="00DC7761"/>
    <w:rsid w:val="00DD0802"/>
    <w:rsid w:val="00DD2E11"/>
    <w:rsid w:val="00DD7F33"/>
    <w:rsid w:val="00DE03AF"/>
    <w:rsid w:val="00DE121C"/>
    <w:rsid w:val="00DE28CA"/>
    <w:rsid w:val="00DE5848"/>
    <w:rsid w:val="00DE6633"/>
    <w:rsid w:val="00DF75F8"/>
    <w:rsid w:val="00DF7A3A"/>
    <w:rsid w:val="00E00C00"/>
    <w:rsid w:val="00E036D0"/>
    <w:rsid w:val="00E07C5A"/>
    <w:rsid w:val="00E15BA9"/>
    <w:rsid w:val="00E23A7A"/>
    <w:rsid w:val="00E26E19"/>
    <w:rsid w:val="00E3041B"/>
    <w:rsid w:val="00E30CC7"/>
    <w:rsid w:val="00E31DF3"/>
    <w:rsid w:val="00E426B2"/>
    <w:rsid w:val="00E450A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82773"/>
    <w:rsid w:val="00E90991"/>
    <w:rsid w:val="00E909F0"/>
    <w:rsid w:val="00E90D47"/>
    <w:rsid w:val="00E91E1D"/>
    <w:rsid w:val="00E92F78"/>
    <w:rsid w:val="00E93993"/>
    <w:rsid w:val="00E9597C"/>
    <w:rsid w:val="00E95C42"/>
    <w:rsid w:val="00E966D9"/>
    <w:rsid w:val="00E96FB1"/>
    <w:rsid w:val="00EA0913"/>
    <w:rsid w:val="00EA4902"/>
    <w:rsid w:val="00EA5B00"/>
    <w:rsid w:val="00EA6F96"/>
    <w:rsid w:val="00EB146B"/>
    <w:rsid w:val="00EB45AC"/>
    <w:rsid w:val="00EC1A1D"/>
    <w:rsid w:val="00EC32FA"/>
    <w:rsid w:val="00EC441F"/>
    <w:rsid w:val="00EC4755"/>
    <w:rsid w:val="00EC6A65"/>
    <w:rsid w:val="00ED0BC4"/>
    <w:rsid w:val="00ED21C1"/>
    <w:rsid w:val="00ED29B3"/>
    <w:rsid w:val="00ED447D"/>
    <w:rsid w:val="00EE4971"/>
    <w:rsid w:val="00EE63AB"/>
    <w:rsid w:val="00EE6CB0"/>
    <w:rsid w:val="00EF090E"/>
    <w:rsid w:val="00EF4D30"/>
    <w:rsid w:val="00EF4EE8"/>
    <w:rsid w:val="00EF5572"/>
    <w:rsid w:val="00F033DA"/>
    <w:rsid w:val="00F0392F"/>
    <w:rsid w:val="00F11BC4"/>
    <w:rsid w:val="00F130CF"/>
    <w:rsid w:val="00F13691"/>
    <w:rsid w:val="00F13FB1"/>
    <w:rsid w:val="00F22C53"/>
    <w:rsid w:val="00F27CD8"/>
    <w:rsid w:val="00F30351"/>
    <w:rsid w:val="00F3323E"/>
    <w:rsid w:val="00F341F4"/>
    <w:rsid w:val="00F34F9D"/>
    <w:rsid w:val="00F35CCE"/>
    <w:rsid w:val="00F41102"/>
    <w:rsid w:val="00F47460"/>
    <w:rsid w:val="00F50041"/>
    <w:rsid w:val="00F5524B"/>
    <w:rsid w:val="00F5682A"/>
    <w:rsid w:val="00F60538"/>
    <w:rsid w:val="00F61DD2"/>
    <w:rsid w:val="00F66AFF"/>
    <w:rsid w:val="00F674C7"/>
    <w:rsid w:val="00F71433"/>
    <w:rsid w:val="00F7197D"/>
    <w:rsid w:val="00F72901"/>
    <w:rsid w:val="00F74EAE"/>
    <w:rsid w:val="00F74EB9"/>
    <w:rsid w:val="00F83F59"/>
    <w:rsid w:val="00F860C9"/>
    <w:rsid w:val="00F927F0"/>
    <w:rsid w:val="00F97C5B"/>
    <w:rsid w:val="00FA3D50"/>
    <w:rsid w:val="00FA721C"/>
    <w:rsid w:val="00FB7FBD"/>
    <w:rsid w:val="00FC175C"/>
    <w:rsid w:val="00FC32B6"/>
    <w:rsid w:val="00FC374A"/>
    <w:rsid w:val="00FC4062"/>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Emphasis">
    <w:name w:val="Emphasis"/>
    <w:basedOn w:val="DefaultParagraphFont"/>
    <w:uiPriority w:val="20"/>
    <w:qFormat/>
    <w:rsid w:val="00F11B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77553">
      <w:bodyDiv w:val="1"/>
      <w:marLeft w:val="0"/>
      <w:marRight w:val="0"/>
      <w:marTop w:val="0"/>
      <w:marBottom w:val="0"/>
      <w:divBdr>
        <w:top w:val="none" w:sz="0" w:space="0" w:color="auto"/>
        <w:left w:val="none" w:sz="0" w:space="0" w:color="auto"/>
        <w:bottom w:val="none" w:sz="0" w:space="0" w:color="auto"/>
        <w:right w:val="none" w:sz="0" w:space="0" w:color="auto"/>
      </w:divBdr>
    </w:div>
    <w:div w:id="765272617">
      <w:bodyDiv w:val="1"/>
      <w:marLeft w:val="0"/>
      <w:marRight w:val="0"/>
      <w:marTop w:val="0"/>
      <w:marBottom w:val="0"/>
      <w:divBdr>
        <w:top w:val="none" w:sz="0" w:space="0" w:color="auto"/>
        <w:left w:val="none" w:sz="0" w:space="0" w:color="auto"/>
        <w:bottom w:val="none" w:sz="0" w:space="0" w:color="auto"/>
        <w:right w:val="none" w:sz="0" w:space="0" w:color="auto"/>
      </w:divBdr>
    </w:div>
    <w:div w:id="1270746418">
      <w:bodyDiv w:val="1"/>
      <w:marLeft w:val="0"/>
      <w:marRight w:val="0"/>
      <w:marTop w:val="0"/>
      <w:marBottom w:val="0"/>
      <w:divBdr>
        <w:top w:val="none" w:sz="0" w:space="0" w:color="auto"/>
        <w:left w:val="none" w:sz="0" w:space="0" w:color="auto"/>
        <w:bottom w:val="none" w:sz="0" w:space="0" w:color="auto"/>
        <w:right w:val="none" w:sz="0" w:space="0" w:color="auto"/>
      </w:divBdr>
    </w:div>
    <w:div w:id="15062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14</Pages>
  <Words>4541</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Ware</cp:lastModifiedBy>
  <cp:revision>41</cp:revision>
  <dcterms:created xsi:type="dcterms:W3CDTF">2021-05-04T21:34:00Z</dcterms:created>
  <dcterms:modified xsi:type="dcterms:W3CDTF">2021-07-20T13:36:00Z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