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NZ" w:eastAsia="en-NZ"/>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687746" w:rsidRDefault="00AD12C7" w:rsidP="00D0796B">
      <w:pPr>
        <w:pStyle w:val="ListParagraph"/>
        <w:numPr>
          <w:ilvl w:val="0"/>
          <w:numId w:val="11"/>
        </w:numPr>
        <w:ind w:left="426"/>
        <w:jc w:val="both"/>
        <w:rPr>
          <w:rFonts w:ascii="Arial" w:hAnsi="Arial" w:cs="Arial"/>
          <w:sz w:val="22"/>
          <w:szCs w:val="22"/>
          <w:highlight w:val="yellow"/>
          <w:lang w:val="en-GB"/>
        </w:rPr>
      </w:pPr>
      <w:r w:rsidRPr="00687746">
        <w:rPr>
          <w:rFonts w:ascii="Arial" w:hAnsi="Arial" w:cs="Arial"/>
          <w:sz w:val="22"/>
          <w:szCs w:val="22"/>
          <w:highlight w:val="yellow"/>
          <w:lang w:val="en-GB"/>
        </w:rPr>
        <w:t>apply to the court for the decision to be reversed or varied</w:t>
      </w:r>
      <w:r w:rsidR="005A2E18" w:rsidRPr="00687746">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CE705D" w:rsidRDefault="005A2E18" w:rsidP="00D0796B">
      <w:pPr>
        <w:pStyle w:val="ListParagraph"/>
        <w:numPr>
          <w:ilvl w:val="0"/>
          <w:numId w:val="12"/>
        </w:numPr>
        <w:ind w:left="426"/>
        <w:rPr>
          <w:rFonts w:ascii="Arial" w:hAnsi="Arial" w:cs="Arial"/>
          <w:sz w:val="22"/>
          <w:szCs w:val="22"/>
          <w:highlight w:val="yellow"/>
          <w:lang w:val="en-GB"/>
        </w:rPr>
      </w:pPr>
      <w:r w:rsidRPr="00CE705D">
        <w:rPr>
          <w:rFonts w:ascii="Arial" w:hAnsi="Arial" w:cs="Arial"/>
          <w:sz w:val="22"/>
          <w:szCs w:val="22"/>
          <w:highlight w:val="yellow"/>
          <w:lang w:val="en-GB"/>
        </w:rPr>
        <w:t>R</w:t>
      </w:r>
      <w:r w:rsidR="00AD12C7" w:rsidRPr="00CE705D">
        <w:rPr>
          <w:rFonts w:ascii="Arial" w:hAnsi="Arial" w:cs="Arial"/>
          <w:sz w:val="22"/>
          <w:szCs w:val="22"/>
          <w:highlight w:val="yellow"/>
          <w:lang w:val="en-GB"/>
        </w:rPr>
        <w:t>eceivership</w:t>
      </w:r>
      <w:r w:rsidRPr="00CE705D">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CE705D" w:rsidRDefault="00AD12C7" w:rsidP="00D0796B">
      <w:pPr>
        <w:pStyle w:val="ListParagraph"/>
        <w:numPr>
          <w:ilvl w:val="0"/>
          <w:numId w:val="13"/>
        </w:numPr>
        <w:ind w:left="426"/>
        <w:jc w:val="both"/>
        <w:rPr>
          <w:rFonts w:ascii="Arial" w:hAnsi="Arial" w:cs="Arial"/>
          <w:sz w:val="22"/>
          <w:szCs w:val="22"/>
          <w:highlight w:val="yellow"/>
          <w:lang w:val="en-GB"/>
        </w:rPr>
      </w:pPr>
      <w:r w:rsidRPr="00CE705D">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CE705D">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CE705D" w:rsidRDefault="00321D73" w:rsidP="00F219B4">
      <w:pPr>
        <w:pStyle w:val="ListParagraph"/>
        <w:numPr>
          <w:ilvl w:val="0"/>
          <w:numId w:val="14"/>
        </w:numPr>
        <w:ind w:left="426"/>
        <w:rPr>
          <w:rFonts w:ascii="Arial" w:hAnsi="Arial" w:cs="Arial"/>
          <w:sz w:val="22"/>
          <w:szCs w:val="22"/>
          <w:highlight w:val="yellow"/>
          <w:lang w:val="en-GB"/>
        </w:rPr>
      </w:pPr>
      <w:r w:rsidRPr="00CE705D">
        <w:rPr>
          <w:rFonts w:ascii="Arial" w:hAnsi="Arial" w:cs="Arial"/>
          <w:sz w:val="22"/>
          <w:szCs w:val="22"/>
          <w:highlight w:val="yellow"/>
          <w:lang w:val="en-GB"/>
        </w:rPr>
        <w:t>A</w:t>
      </w:r>
      <w:r w:rsidR="000D2487" w:rsidRPr="00CE705D">
        <w:rPr>
          <w:rFonts w:ascii="Arial" w:hAnsi="Arial" w:cs="Arial"/>
          <w:sz w:val="22"/>
          <w:szCs w:val="22"/>
          <w:highlight w:val="yellow"/>
          <w:lang w:val="en-GB"/>
        </w:rPr>
        <w:t xml:space="preserve"> small business restructuring plan</w:t>
      </w:r>
      <w:r w:rsidR="00D0796B" w:rsidRPr="00CE705D">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Default="007B3A5E"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CE705D" w:rsidRDefault="007B3A5E" w:rsidP="00F219B4">
      <w:pPr>
        <w:pStyle w:val="ListParagraph"/>
        <w:numPr>
          <w:ilvl w:val="0"/>
          <w:numId w:val="15"/>
        </w:numPr>
        <w:autoSpaceDE w:val="0"/>
        <w:autoSpaceDN w:val="0"/>
        <w:adjustRightInd w:val="0"/>
        <w:ind w:left="426"/>
        <w:jc w:val="both"/>
        <w:rPr>
          <w:rFonts w:ascii="Arial" w:hAnsi="Arial" w:cs="Arial"/>
          <w:sz w:val="22"/>
          <w:szCs w:val="22"/>
          <w:highlight w:val="yellow"/>
        </w:rPr>
      </w:pPr>
      <w:r w:rsidRPr="00CE705D">
        <w:rPr>
          <w:rFonts w:ascii="Arial" w:hAnsi="Arial" w:cs="Arial"/>
          <w:sz w:val="22"/>
          <w:szCs w:val="22"/>
          <w:highlight w:val="yellow"/>
          <w:lang w:val="en-GB"/>
        </w:rPr>
        <w:t>S</w:t>
      </w:r>
      <w:r w:rsidR="00AD12C7" w:rsidRPr="00CE705D">
        <w:rPr>
          <w:rFonts w:ascii="Arial" w:hAnsi="Arial" w:cs="Arial"/>
          <w:sz w:val="22"/>
          <w:szCs w:val="22"/>
          <w:highlight w:val="yellow"/>
          <w:lang w:val="en-GB"/>
        </w:rPr>
        <w:t>uperannuation funds</w:t>
      </w:r>
      <w:r w:rsidRPr="00CE705D">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Pr="005418D5" w:rsidRDefault="007B3A5E" w:rsidP="00F219B4">
      <w:pPr>
        <w:pStyle w:val="ListParagraph"/>
        <w:numPr>
          <w:ilvl w:val="0"/>
          <w:numId w:val="16"/>
        </w:numPr>
        <w:ind w:left="426"/>
        <w:jc w:val="both"/>
        <w:rPr>
          <w:rFonts w:ascii="Arial" w:hAnsi="Arial" w:cs="Arial"/>
          <w:sz w:val="22"/>
          <w:szCs w:val="22"/>
          <w:highlight w:val="yellow"/>
          <w:lang w:val="en-GB"/>
        </w:rPr>
      </w:pPr>
      <w:r w:rsidRPr="005418D5">
        <w:rPr>
          <w:rFonts w:ascii="Arial" w:hAnsi="Arial" w:cs="Arial"/>
          <w:sz w:val="22"/>
          <w:szCs w:val="22"/>
          <w:highlight w:val="yellow"/>
          <w:lang w:val="en-GB"/>
        </w:rPr>
        <w:t>T</w:t>
      </w:r>
      <w:r w:rsidR="00AD12C7" w:rsidRPr="005418D5">
        <w:rPr>
          <w:rFonts w:ascii="Arial" w:hAnsi="Arial" w:cs="Arial"/>
          <w:sz w:val="22"/>
          <w:szCs w:val="22"/>
          <w:highlight w:val="yellow"/>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Pr="005418D5" w:rsidRDefault="00AD12C7" w:rsidP="00600B67">
      <w:pPr>
        <w:pStyle w:val="ListParagraph"/>
        <w:numPr>
          <w:ilvl w:val="0"/>
          <w:numId w:val="17"/>
        </w:numPr>
        <w:ind w:left="426"/>
        <w:jc w:val="both"/>
        <w:rPr>
          <w:rFonts w:ascii="Arial" w:hAnsi="Arial" w:cs="Arial"/>
          <w:sz w:val="22"/>
          <w:szCs w:val="22"/>
          <w:highlight w:val="yellow"/>
          <w:lang w:val="en-GB"/>
        </w:rPr>
      </w:pPr>
      <w:r w:rsidRPr="005418D5">
        <w:rPr>
          <w:rFonts w:ascii="Arial" w:hAnsi="Arial" w:cs="Arial"/>
          <w:sz w:val="22"/>
          <w:szCs w:val="22"/>
          <w:highlight w:val="yellow"/>
          <w:lang w:val="en-GB"/>
        </w:rPr>
        <w:t xml:space="preserve">is an agent of the company until the appointment of a liquidator to </w:t>
      </w:r>
      <w:r w:rsidR="00023705" w:rsidRPr="005418D5">
        <w:rPr>
          <w:rFonts w:ascii="Arial" w:hAnsi="Arial" w:cs="Arial"/>
          <w:sz w:val="22"/>
          <w:szCs w:val="22"/>
          <w:highlight w:val="yellow"/>
          <w:lang w:val="en-GB"/>
        </w:rPr>
        <w:t xml:space="preserve">the </w:t>
      </w:r>
      <w:r w:rsidRPr="005418D5">
        <w:rPr>
          <w:rFonts w:ascii="Arial" w:hAnsi="Arial" w:cs="Arial"/>
          <w:sz w:val="22"/>
          <w:szCs w:val="22"/>
          <w:highlight w:val="yellow"/>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2B7580" w:rsidRDefault="00AD12C7" w:rsidP="00600B67">
      <w:pPr>
        <w:pStyle w:val="ListParagraph"/>
        <w:numPr>
          <w:ilvl w:val="0"/>
          <w:numId w:val="18"/>
        </w:numPr>
        <w:ind w:left="426"/>
        <w:rPr>
          <w:rFonts w:ascii="Arial" w:hAnsi="Arial" w:cs="Arial"/>
          <w:sz w:val="22"/>
          <w:szCs w:val="22"/>
          <w:highlight w:val="yellow"/>
          <w:lang w:val="en-GB"/>
        </w:rPr>
      </w:pPr>
      <w:r w:rsidRPr="002B7580">
        <w:rPr>
          <w:rFonts w:ascii="Arial" w:hAnsi="Arial" w:cs="Arial"/>
          <w:sz w:val="22"/>
          <w:szCs w:val="22"/>
          <w:highlight w:val="yellow"/>
          <w:lang w:val="en-GB"/>
        </w:rPr>
        <w:t>8 business days</w:t>
      </w:r>
      <w:r w:rsidR="002172B8" w:rsidRPr="002B7580">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2B7580" w:rsidRDefault="00416D2B" w:rsidP="00600B67">
      <w:pPr>
        <w:pStyle w:val="ListParagraph"/>
        <w:numPr>
          <w:ilvl w:val="0"/>
          <w:numId w:val="19"/>
        </w:numPr>
        <w:ind w:left="426"/>
        <w:jc w:val="both"/>
        <w:rPr>
          <w:rFonts w:ascii="Arial" w:hAnsi="Arial" w:cs="Arial"/>
          <w:sz w:val="22"/>
          <w:szCs w:val="22"/>
          <w:highlight w:val="yellow"/>
          <w:lang w:val="en-GB"/>
        </w:rPr>
      </w:pPr>
      <w:r w:rsidRPr="002B7580">
        <w:rPr>
          <w:rFonts w:ascii="Arial" w:hAnsi="Arial" w:cs="Arial"/>
          <w:sz w:val="22"/>
          <w:szCs w:val="22"/>
          <w:highlight w:val="yellow"/>
          <w:lang w:val="en-GB"/>
        </w:rPr>
        <w:t>T</w:t>
      </w:r>
      <w:r w:rsidR="002476AF" w:rsidRPr="002B7580">
        <w:rPr>
          <w:rFonts w:ascii="Arial" w:hAnsi="Arial" w:cs="Arial"/>
          <w:sz w:val="22"/>
          <w:szCs w:val="22"/>
          <w:highlight w:val="yellow"/>
          <w:lang w:val="en-GB"/>
        </w:rPr>
        <w:t xml:space="preserve">he part dealing with receivers, and other controllers, of property of </w:t>
      </w:r>
      <w:r w:rsidRPr="002B7580">
        <w:rPr>
          <w:rFonts w:ascii="Arial" w:hAnsi="Arial" w:cs="Arial"/>
          <w:sz w:val="22"/>
          <w:szCs w:val="22"/>
          <w:highlight w:val="yellow"/>
          <w:lang w:val="en-GB"/>
        </w:rPr>
        <w:t xml:space="preserve">the </w:t>
      </w:r>
      <w:r w:rsidR="002476AF" w:rsidRPr="002B7580">
        <w:rPr>
          <w:rFonts w:ascii="Arial" w:hAnsi="Arial" w:cs="Arial"/>
          <w:sz w:val="22"/>
          <w:szCs w:val="22"/>
          <w:highlight w:val="yellow"/>
          <w:lang w:val="en-GB"/>
        </w:rPr>
        <w:t>corporation</w:t>
      </w:r>
      <w:r w:rsidRPr="002B7580">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2B7580" w:rsidRDefault="002476AF" w:rsidP="00B953FA">
      <w:pPr>
        <w:pStyle w:val="ListParagraph"/>
        <w:numPr>
          <w:ilvl w:val="0"/>
          <w:numId w:val="20"/>
        </w:numPr>
        <w:ind w:left="426"/>
        <w:jc w:val="both"/>
        <w:rPr>
          <w:rFonts w:ascii="Arial" w:hAnsi="Arial" w:cs="Arial"/>
          <w:sz w:val="22"/>
          <w:szCs w:val="22"/>
          <w:highlight w:val="yellow"/>
          <w:lang w:val="en-GB"/>
        </w:rPr>
      </w:pPr>
      <w:r w:rsidRPr="002B7580">
        <w:rPr>
          <w:rFonts w:ascii="Arial" w:hAnsi="Arial" w:cs="Arial"/>
          <w:sz w:val="22"/>
          <w:szCs w:val="22"/>
          <w:highlight w:val="yellow"/>
          <w:lang w:val="en-GB"/>
        </w:rPr>
        <w:t xml:space="preserve">simplified </w:t>
      </w:r>
      <w:r w:rsidR="008235B7" w:rsidRPr="002B7580">
        <w:rPr>
          <w:rFonts w:ascii="Arial" w:hAnsi="Arial" w:cs="Arial"/>
          <w:sz w:val="22"/>
          <w:szCs w:val="22"/>
          <w:highlight w:val="yellow"/>
          <w:lang w:val="en-GB"/>
        </w:rPr>
        <w:t>restructuring and liquidation regimes for small companies</w:t>
      </w:r>
      <w:r w:rsidRPr="002B7580">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5A63F29F" w:rsidR="009B07AD" w:rsidRPr="006A1BA3" w:rsidRDefault="002B7580" w:rsidP="006A1BA3">
      <w:pPr>
        <w:jc w:val="both"/>
        <w:rPr>
          <w:rFonts w:ascii="Arial" w:hAnsi="Arial" w:cs="Arial"/>
          <w:sz w:val="22"/>
          <w:szCs w:val="22"/>
          <w:lang w:val="en-GB"/>
        </w:rPr>
      </w:pPr>
      <w:r w:rsidRPr="006A1BA3">
        <w:rPr>
          <w:rFonts w:ascii="Arial" w:hAnsi="Arial" w:cs="Arial"/>
          <w:sz w:val="22"/>
          <w:szCs w:val="22"/>
          <w:lang w:val="en-GB"/>
        </w:rPr>
        <w:t>Unfair preferences</w:t>
      </w:r>
      <w:r w:rsidR="006A1BA3" w:rsidRPr="006A1BA3">
        <w:rPr>
          <w:rFonts w:ascii="Arial" w:hAnsi="Arial" w:cs="Arial"/>
          <w:sz w:val="22"/>
          <w:szCs w:val="22"/>
          <w:lang w:val="en-GB"/>
        </w:rPr>
        <w:t xml:space="preserve">; uncommercial transactions; and unreasonable director-related transactions. </w:t>
      </w:r>
    </w:p>
    <w:p w14:paraId="475F9D72" w14:textId="3A27F688" w:rsidR="006A1BA3" w:rsidRDefault="006A1BA3" w:rsidP="002A37BB">
      <w:pPr>
        <w:ind w:left="720" w:hanging="720"/>
        <w:jc w:val="both"/>
        <w:rPr>
          <w:rFonts w:ascii="Arial" w:hAnsi="Arial" w:cs="Arial"/>
          <w:color w:val="7B7B7B" w:themeColor="accent3" w:themeShade="BF"/>
          <w:sz w:val="22"/>
          <w:szCs w:val="22"/>
          <w:lang w:val="en-GB"/>
        </w:rPr>
      </w:pPr>
    </w:p>
    <w:p w14:paraId="2A298A43" w14:textId="71ED72E1" w:rsidR="006A1BA3" w:rsidRPr="006A1BA3" w:rsidRDefault="006A1BA3" w:rsidP="006A1BA3">
      <w:pPr>
        <w:jc w:val="both"/>
        <w:rPr>
          <w:rFonts w:ascii="Arial" w:hAnsi="Arial" w:cs="Arial"/>
          <w:sz w:val="22"/>
          <w:szCs w:val="22"/>
          <w:lang w:val="en-GB"/>
        </w:rPr>
      </w:pPr>
      <w:r w:rsidRPr="006A1BA3">
        <w:rPr>
          <w:rFonts w:ascii="Arial" w:hAnsi="Arial" w:cs="Arial"/>
          <w:sz w:val="22"/>
          <w:szCs w:val="22"/>
          <w:lang w:val="en-GB"/>
        </w:rPr>
        <w:t xml:space="preserve">Another party to an unfair preference or an uncommercial transaction (but not the other party to an unreasonable director-related transaction) may uphold the transaction if it can show that reversal of the transaction would materially prejudice a right or interest, and that they acted in good faith, being not aware of the insolvency or potential insolvency of the company (and no other reasonable person in their position would), and finally that they provided valuable consideration or altered their position in reliance on the transaction. </w:t>
      </w:r>
    </w:p>
    <w:p w14:paraId="363CC2DF" w14:textId="7A8B0511" w:rsidR="00020557" w:rsidRDefault="00020557" w:rsidP="002A37BB">
      <w:pPr>
        <w:jc w:val="both"/>
        <w:rPr>
          <w:rFonts w:ascii="Arial" w:hAnsi="Arial" w:cs="Arial"/>
          <w:sz w:val="22"/>
          <w:szCs w:val="22"/>
        </w:rPr>
      </w:pP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2DFF8347" w:rsidR="009B07AD" w:rsidRPr="00854D9B" w:rsidRDefault="00854D9B" w:rsidP="00854D9B">
      <w:pPr>
        <w:jc w:val="both"/>
        <w:rPr>
          <w:rFonts w:ascii="Arial" w:hAnsi="Arial" w:cs="Arial"/>
          <w:sz w:val="22"/>
          <w:szCs w:val="22"/>
        </w:rPr>
      </w:pPr>
      <w:r w:rsidRPr="00854D9B">
        <w:rPr>
          <w:rFonts w:ascii="Arial" w:hAnsi="Arial" w:cs="Arial"/>
          <w:sz w:val="22"/>
          <w:szCs w:val="22"/>
        </w:rPr>
        <w:t>Australia’s court’s are required to consider what “the case requires” when considering a recognition application in relation to corporate debtor. That requires an analysis of the real purpose of the foreign proceeding to determine whether it is in the nature of a business rescue proceeding, or a more standard liquidation. The type of stay that the court may grant under Article 20 will depend on the outcome of that analysis</w:t>
      </w:r>
      <w:r>
        <w:rPr>
          <w:rFonts w:ascii="Arial" w:hAnsi="Arial" w:cs="Arial"/>
          <w:sz w:val="22"/>
          <w:szCs w:val="22"/>
        </w:rPr>
        <w:t>, because a voluntary administration stay,  of the type that would be applied in a business rescue proceeding, applies to secured creditors; whereas a standard liquidation stay will only affect unsecured creditors.</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B950D29"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110B45AA" w14:textId="77777777" w:rsidR="00D77F66" w:rsidRDefault="001B5A58" w:rsidP="002476AF">
      <w:pPr>
        <w:jc w:val="both"/>
        <w:rPr>
          <w:rFonts w:ascii="Arial" w:hAnsi="Arial" w:cs="Arial"/>
          <w:sz w:val="22"/>
          <w:szCs w:val="22"/>
          <w:lang w:val="en-GB"/>
        </w:rPr>
      </w:pPr>
      <w:r>
        <w:rPr>
          <w:rFonts w:ascii="Arial" w:hAnsi="Arial" w:cs="Arial"/>
          <w:sz w:val="22"/>
          <w:szCs w:val="22"/>
          <w:lang w:val="en-GB"/>
        </w:rPr>
        <w:lastRenderedPageBreak/>
        <w:t xml:space="preserve">An ipso facto clause is a provision in a contract that allows one party to terminate or modify the contract upon the occurring of an insolvency-related event affecting the other party. </w:t>
      </w:r>
    </w:p>
    <w:p w14:paraId="50837FF2" w14:textId="77777777" w:rsidR="00D77F66" w:rsidRDefault="00D77F66" w:rsidP="002476AF">
      <w:pPr>
        <w:jc w:val="both"/>
        <w:rPr>
          <w:rFonts w:ascii="Arial" w:hAnsi="Arial" w:cs="Arial"/>
          <w:sz w:val="22"/>
          <w:szCs w:val="22"/>
          <w:lang w:val="en-GB"/>
        </w:rPr>
      </w:pPr>
    </w:p>
    <w:p w14:paraId="4026963E" w14:textId="289F0AD9" w:rsidR="001B5A58" w:rsidRDefault="00D77F66" w:rsidP="002476AF">
      <w:pPr>
        <w:jc w:val="both"/>
        <w:rPr>
          <w:rFonts w:ascii="Arial" w:hAnsi="Arial" w:cs="Arial"/>
          <w:sz w:val="22"/>
          <w:szCs w:val="22"/>
          <w:lang w:val="en-GB"/>
        </w:rPr>
      </w:pPr>
      <w:r>
        <w:rPr>
          <w:rFonts w:ascii="Arial" w:hAnsi="Arial" w:cs="Arial"/>
          <w:sz w:val="22"/>
          <w:szCs w:val="22"/>
          <w:lang w:val="en-GB"/>
        </w:rPr>
        <w:t>In Australia, the trustee in bankruptcy has the benefit of an enforcement prohibition against such clauses being enforced. However, liquidators do not have that luxury except in one circumstance, that is where a voluntary administration or attempt to negotiate a creditors’  immediately precedes a voluntary liquidation. This moratorium took effect on 1 January 2021.</w:t>
      </w:r>
    </w:p>
    <w:p w14:paraId="786FDEBA" w14:textId="76C072BD" w:rsidR="00D77F66" w:rsidRDefault="00D77F66" w:rsidP="002476AF">
      <w:pPr>
        <w:jc w:val="both"/>
        <w:rPr>
          <w:rFonts w:ascii="Arial" w:hAnsi="Arial" w:cs="Arial"/>
          <w:sz w:val="22"/>
          <w:szCs w:val="22"/>
          <w:lang w:val="en-GB"/>
        </w:rPr>
      </w:pPr>
    </w:p>
    <w:p w14:paraId="4FFEAF86" w14:textId="11B67823" w:rsidR="00D77F66" w:rsidRPr="00D77F66" w:rsidRDefault="00D77F66" w:rsidP="002476AF">
      <w:pPr>
        <w:jc w:val="both"/>
        <w:rPr>
          <w:rFonts w:ascii="Arial" w:hAnsi="Arial" w:cs="Arial"/>
          <w:sz w:val="22"/>
          <w:szCs w:val="22"/>
          <w:lang w:val="en-GB"/>
        </w:rPr>
      </w:pPr>
      <w:r>
        <w:rPr>
          <w:rFonts w:ascii="Arial" w:hAnsi="Arial" w:cs="Arial"/>
          <w:sz w:val="22"/>
          <w:szCs w:val="22"/>
          <w:lang w:val="en-GB"/>
        </w:rPr>
        <w:t xml:space="preserve">It is important to note however that whereas in personal bankruptcy, ipso facto clauses are void as against the trustee, </w:t>
      </w:r>
      <w:r w:rsidR="00D44902">
        <w:rPr>
          <w:rFonts w:ascii="Arial" w:hAnsi="Arial" w:cs="Arial"/>
          <w:sz w:val="22"/>
          <w:szCs w:val="22"/>
          <w:lang w:val="en-GB"/>
        </w:rPr>
        <w:t xml:space="preserve">in the </w:t>
      </w:r>
      <w:r>
        <w:rPr>
          <w:rFonts w:ascii="Arial" w:hAnsi="Arial" w:cs="Arial"/>
          <w:sz w:val="22"/>
          <w:szCs w:val="22"/>
          <w:lang w:val="en-GB"/>
        </w:rPr>
        <w:t xml:space="preserve">liquidation scenario </w:t>
      </w:r>
      <w:r w:rsidR="00D44902">
        <w:rPr>
          <w:rFonts w:ascii="Arial" w:hAnsi="Arial" w:cs="Arial"/>
          <w:sz w:val="22"/>
          <w:szCs w:val="22"/>
          <w:lang w:val="en-GB"/>
        </w:rPr>
        <w:t xml:space="preserve">above </w:t>
      </w:r>
      <w:r>
        <w:rPr>
          <w:rFonts w:ascii="Arial" w:hAnsi="Arial" w:cs="Arial"/>
          <w:sz w:val="22"/>
          <w:szCs w:val="22"/>
          <w:lang w:val="en-GB"/>
        </w:rPr>
        <w:t>only a moratorium against enforcement</w:t>
      </w:r>
      <w:r w:rsidR="00D44902">
        <w:rPr>
          <w:rFonts w:ascii="Arial" w:hAnsi="Arial" w:cs="Arial"/>
          <w:sz w:val="22"/>
          <w:szCs w:val="22"/>
          <w:lang w:val="en-GB"/>
        </w:rPr>
        <w:t xml:space="preserve"> is provided</w:t>
      </w:r>
      <w:r>
        <w:rPr>
          <w:rFonts w:ascii="Arial" w:hAnsi="Arial" w:cs="Arial"/>
          <w:sz w:val="22"/>
          <w:szCs w:val="22"/>
          <w:lang w:val="en-GB"/>
        </w:rPr>
        <w:t xml:space="preserve"> – it does not render the </w:t>
      </w:r>
      <w:r w:rsidR="00D44902">
        <w:rPr>
          <w:rFonts w:ascii="Arial" w:hAnsi="Arial" w:cs="Arial"/>
          <w:sz w:val="22"/>
          <w:szCs w:val="22"/>
          <w:lang w:val="en-GB"/>
        </w:rPr>
        <w:t>provision void.</w:t>
      </w:r>
    </w:p>
    <w:p w14:paraId="6035801B" w14:textId="77777777" w:rsidR="002476AF" w:rsidRPr="002A37BB" w:rsidRDefault="002476AF" w:rsidP="002476AF">
      <w:pPr>
        <w:jc w:val="both"/>
        <w:rPr>
          <w:rFonts w:ascii="Arial" w:hAnsi="Arial" w:cs="Arial"/>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5B23B4CA" w14:textId="27C07FAE" w:rsidR="00BC32E3" w:rsidRDefault="00BC32E3" w:rsidP="002A37BB">
      <w:pPr>
        <w:jc w:val="both"/>
        <w:rPr>
          <w:rFonts w:ascii="Arial" w:hAnsi="Arial" w:cs="Arial"/>
          <w:sz w:val="22"/>
          <w:szCs w:val="22"/>
          <w:lang w:val="en-GB"/>
        </w:rPr>
      </w:pPr>
      <w:r w:rsidRPr="006100BA">
        <w:rPr>
          <w:rFonts w:ascii="Arial" w:hAnsi="Arial" w:cs="Arial"/>
          <w:sz w:val="22"/>
          <w:szCs w:val="22"/>
          <w:lang w:val="en-GB"/>
        </w:rPr>
        <w:t>It has been said that creditors’ schemes of arrangement are costly and time-consuming and are an ineffective corporate rescue mechanism in Australia. For the reasons that follow, the writer agrees with the above statement.</w:t>
      </w:r>
      <w:r w:rsidR="006100BA" w:rsidRPr="006100BA">
        <w:rPr>
          <w:rFonts w:ascii="Arial" w:hAnsi="Arial" w:cs="Arial"/>
          <w:sz w:val="22"/>
          <w:szCs w:val="22"/>
          <w:lang w:val="en-GB"/>
        </w:rPr>
        <w:t xml:space="preserve"> A creditors’ scheme of arrangement is one of the three types of formal corporate rescue available in Australia and, in the writer’s view, it is the least effective.</w:t>
      </w:r>
    </w:p>
    <w:p w14:paraId="7343B231" w14:textId="0717F498" w:rsidR="003952CC" w:rsidRDefault="003952CC" w:rsidP="002A37BB">
      <w:pPr>
        <w:jc w:val="both"/>
        <w:rPr>
          <w:rFonts w:ascii="Arial" w:hAnsi="Arial" w:cs="Arial"/>
          <w:sz w:val="22"/>
          <w:szCs w:val="22"/>
          <w:lang w:val="en-GB"/>
        </w:rPr>
      </w:pPr>
    </w:p>
    <w:p w14:paraId="3D0F292F" w14:textId="56ED2C0A" w:rsidR="003952CC" w:rsidRPr="006100BA" w:rsidRDefault="007E2C2C" w:rsidP="002A37BB">
      <w:pPr>
        <w:jc w:val="both"/>
        <w:rPr>
          <w:rFonts w:ascii="Arial" w:hAnsi="Arial" w:cs="Arial"/>
          <w:sz w:val="22"/>
          <w:szCs w:val="22"/>
          <w:lang w:val="en-GB"/>
        </w:rPr>
      </w:pPr>
      <w:r>
        <w:rPr>
          <w:rFonts w:ascii="Arial" w:hAnsi="Arial" w:cs="Arial"/>
          <w:sz w:val="22"/>
          <w:szCs w:val="22"/>
          <w:lang w:val="en-GB"/>
        </w:rPr>
        <w:t xml:space="preserve">The Corporations Act allows directors of a company that is in financial distress to negotiate with, and obtain support from, the company’s creditors to enable the company to restructure its debts and operations. Whilst this gives clear advantages to a debtor company, in practice the process is costly, time-consuming and ineffective. </w:t>
      </w:r>
    </w:p>
    <w:p w14:paraId="071C82DB" w14:textId="6BD4B032" w:rsidR="00BC32E3" w:rsidRPr="006100BA" w:rsidRDefault="00BC32E3" w:rsidP="002A37BB">
      <w:pPr>
        <w:jc w:val="both"/>
        <w:rPr>
          <w:rFonts w:ascii="Arial" w:hAnsi="Arial" w:cs="Arial"/>
          <w:sz w:val="22"/>
          <w:szCs w:val="22"/>
          <w:lang w:val="en-GB"/>
        </w:rPr>
      </w:pPr>
    </w:p>
    <w:p w14:paraId="0C1979FA" w14:textId="79273415" w:rsidR="006100BA" w:rsidRPr="006100BA" w:rsidRDefault="00BC32E3" w:rsidP="002A37BB">
      <w:pPr>
        <w:jc w:val="both"/>
        <w:rPr>
          <w:rFonts w:ascii="Arial" w:hAnsi="Arial" w:cs="Arial"/>
          <w:sz w:val="22"/>
          <w:szCs w:val="22"/>
          <w:lang w:val="en-GB"/>
        </w:rPr>
      </w:pPr>
      <w:r w:rsidRPr="006100BA">
        <w:rPr>
          <w:rFonts w:ascii="Arial" w:hAnsi="Arial" w:cs="Arial"/>
          <w:sz w:val="22"/>
          <w:szCs w:val="22"/>
          <w:lang w:val="en-GB"/>
        </w:rPr>
        <w:t>First,</w:t>
      </w:r>
      <w:r w:rsidR="006100BA" w:rsidRPr="006100BA">
        <w:rPr>
          <w:rFonts w:ascii="Arial" w:hAnsi="Arial" w:cs="Arial"/>
          <w:sz w:val="22"/>
          <w:szCs w:val="22"/>
          <w:lang w:val="en-GB"/>
        </w:rPr>
        <w:t xml:space="preserve"> two court hearings are required before the scheme can become effective. The need for court intervention twice is both costly and time-consuming.</w:t>
      </w:r>
      <w:r w:rsidR="006100BA">
        <w:rPr>
          <w:rFonts w:ascii="Arial" w:hAnsi="Arial" w:cs="Arial"/>
          <w:sz w:val="22"/>
          <w:szCs w:val="22"/>
          <w:lang w:val="en-GB"/>
        </w:rPr>
        <w:t xml:space="preserve"> Contrast this with voluntary administration, which can occur without any court involvement.</w:t>
      </w:r>
    </w:p>
    <w:p w14:paraId="7B6FE39D" w14:textId="0E7BEA76" w:rsidR="006100BA" w:rsidRPr="006100BA" w:rsidRDefault="006100BA" w:rsidP="002A37BB">
      <w:pPr>
        <w:jc w:val="both"/>
        <w:rPr>
          <w:rFonts w:ascii="Arial" w:hAnsi="Arial" w:cs="Arial"/>
          <w:sz w:val="22"/>
          <w:szCs w:val="22"/>
          <w:lang w:val="en-GB"/>
        </w:rPr>
      </w:pPr>
    </w:p>
    <w:p w14:paraId="42DE5E0D" w14:textId="62E5BFD8" w:rsidR="006100BA" w:rsidRDefault="006100BA" w:rsidP="002A37BB">
      <w:pPr>
        <w:jc w:val="both"/>
        <w:rPr>
          <w:rFonts w:ascii="Arial" w:hAnsi="Arial" w:cs="Arial"/>
          <w:sz w:val="22"/>
          <w:szCs w:val="22"/>
          <w:lang w:val="en-GB"/>
        </w:rPr>
      </w:pPr>
      <w:r w:rsidRPr="006100BA">
        <w:rPr>
          <w:rFonts w:ascii="Arial" w:hAnsi="Arial" w:cs="Arial"/>
          <w:sz w:val="22"/>
          <w:szCs w:val="22"/>
          <w:lang w:val="en-GB"/>
        </w:rPr>
        <w:t xml:space="preserve">Secondly, </w:t>
      </w:r>
      <w:r w:rsidR="007E2C2C">
        <w:rPr>
          <w:rFonts w:ascii="Arial" w:hAnsi="Arial" w:cs="Arial"/>
          <w:sz w:val="22"/>
          <w:szCs w:val="22"/>
          <w:lang w:val="en-GB"/>
        </w:rPr>
        <w:t xml:space="preserve">the debtor company must undertake a comprehensive disclosure to its creditors in its proposed scheme documents, including advice as to what creditors would receive under the scheme as opposed to formal winding up of the company, and also substantial information about the company’s financial position and its affairs. This process is time-consuming. </w:t>
      </w:r>
    </w:p>
    <w:p w14:paraId="22FD9C36" w14:textId="765E75D1" w:rsidR="007E2C2C" w:rsidRDefault="007E2C2C" w:rsidP="002A37BB">
      <w:pPr>
        <w:jc w:val="both"/>
        <w:rPr>
          <w:rFonts w:ascii="Arial" w:hAnsi="Arial" w:cs="Arial"/>
          <w:sz w:val="22"/>
          <w:szCs w:val="22"/>
          <w:lang w:val="en-GB"/>
        </w:rPr>
      </w:pPr>
    </w:p>
    <w:p w14:paraId="20DAC797" w14:textId="4359EB65" w:rsidR="007E2C2C" w:rsidRDefault="007E2C2C" w:rsidP="002A37BB">
      <w:pPr>
        <w:jc w:val="both"/>
        <w:rPr>
          <w:rFonts w:ascii="Arial" w:hAnsi="Arial" w:cs="Arial"/>
          <w:sz w:val="22"/>
          <w:szCs w:val="22"/>
          <w:lang w:val="en-GB"/>
        </w:rPr>
      </w:pPr>
      <w:r>
        <w:rPr>
          <w:rFonts w:ascii="Arial" w:hAnsi="Arial" w:cs="Arial"/>
          <w:sz w:val="22"/>
          <w:szCs w:val="22"/>
          <w:lang w:val="en-GB"/>
        </w:rPr>
        <w:t>Thirdly, if it looks like the scheme will be supported by creditors, the directors of company will then make their first application to court to approve the scheme. If under the scheme different creditors will be treated differently (which, it is submitted will often be the case), then the court will require that separate meetings for each class of creditor be arranged. This is a further time-consuming process.</w:t>
      </w:r>
    </w:p>
    <w:p w14:paraId="6BA860EC" w14:textId="359B38C5" w:rsidR="007E2C2C" w:rsidRDefault="007E2C2C" w:rsidP="002A37BB">
      <w:pPr>
        <w:jc w:val="both"/>
        <w:rPr>
          <w:rFonts w:ascii="Arial" w:hAnsi="Arial" w:cs="Arial"/>
          <w:sz w:val="22"/>
          <w:szCs w:val="22"/>
          <w:lang w:val="en-GB"/>
        </w:rPr>
      </w:pPr>
    </w:p>
    <w:p w14:paraId="1EDD9AEF" w14:textId="45E84689" w:rsidR="007E2C2C" w:rsidRDefault="007E2C2C" w:rsidP="002A37BB">
      <w:pPr>
        <w:jc w:val="both"/>
        <w:rPr>
          <w:rFonts w:ascii="Arial" w:hAnsi="Arial" w:cs="Arial"/>
          <w:sz w:val="22"/>
          <w:szCs w:val="22"/>
          <w:lang w:val="en-GB"/>
        </w:rPr>
      </w:pPr>
      <w:r>
        <w:rPr>
          <w:rFonts w:ascii="Arial" w:hAnsi="Arial" w:cs="Arial"/>
          <w:sz w:val="22"/>
          <w:szCs w:val="22"/>
          <w:lang w:val="en-GB"/>
        </w:rPr>
        <w:t xml:space="preserve">Fourthly, if a scheme has been approved by its creditors, then a second court hearing will be convened for formal approval of the scheme. The </w:t>
      </w:r>
      <w:r w:rsidR="00636D41">
        <w:rPr>
          <w:rFonts w:ascii="Arial" w:hAnsi="Arial" w:cs="Arial"/>
          <w:sz w:val="22"/>
          <w:szCs w:val="22"/>
          <w:lang w:val="en-GB"/>
        </w:rPr>
        <w:t>court has the power to decline its approval if it considers that there has been a defect in the procedure such as a failure to fully disclose all material matters to creditors, or if the meetings of creditors have not been properly convened or if some aspect of unfairness or injustice would result from the court’s approval of the scheme.</w:t>
      </w:r>
      <w:r w:rsidR="0039766A">
        <w:rPr>
          <w:rFonts w:ascii="Arial" w:hAnsi="Arial" w:cs="Arial"/>
          <w:sz w:val="22"/>
          <w:szCs w:val="22"/>
          <w:lang w:val="en-GB"/>
        </w:rPr>
        <w:t xml:space="preserve"> If this occurs, further court hearings will be required.</w:t>
      </w:r>
      <w:r w:rsidR="0054585A">
        <w:rPr>
          <w:rFonts w:ascii="Arial" w:hAnsi="Arial" w:cs="Arial"/>
          <w:sz w:val="22"/>
          <w:szCs w:val="22"/>
          <w:lang w:val="en-GB"/>
        </w:rPr>
        <w:t xml:space="preserve"> In this way, the scheme of arrangement process allows for a dissenting creditor to cause further delay and expense.</w:t>
      </w:r>
    </w:p>
    <w:p w14:paraId="20422FD8" w14:textId="4B859149" w:rsidR="0054585A" w:rsidRDefault="0039766A" w:rsidP="002A37BB">
      <w:pPr>
        <w:jc w:val="both"/>
        <w:rPr>
          <w:rFonts w:ascii="Arial" w:hAnsi="Arial" w:cs="Arial"/>
          <w:sz w:val="22"/>
          <w:szCs w:val="22"/>
          <w:lang w:val="en-GB"/>
        </w:rPr>
      </w:pPr>
      <w:r>
        <w:rPr>
          <w:rFonts w:ascii="Arial" w:hAnsi="Arial" w:cs="Arial"/>
          <w:sz w:val="22"/>
          <w:szCs w:val="22"/>
          <w:lang w:val="en-GB"/>
        </w:rPr>
        <w:t xml:space="preserve">Fifthly, assuming the scheme is approved, then the scheme is carried out according to its terms. In all likelihood this meaning meeting obligations to creditors over a longer period than </w:t>
      </w:r>
      <w:r>
        <w:rPr>
          <w:rFonts w:ascii="Arial" w:hAnsi="Arial" w:cs="Arial"/>
          <w:sz w:val="22"/>
          <w:szCs w:val="22"/>
          <w:lang w:val="en-GB"/>
        </w:rPr>
        <w:lastRenderedPageBreak/>
        <w:t>usual, and in the case of a lengthy scheme, an administrator is likely to be appointed, who’s costs are to be paid by the company. Again, delays and costs become a feature of the scheme of arrangement.</w:t>
      </w:r>
    </w:p>
    <w:p w14:paraId="5E236992" w14:textId="3418CB17" w:rsidR="00B52AE7" w:rsidRDefault="00B52AE7" w:rsidP="002A37BB">
      <w:pPr>
        <w:jc w:val="both"/>
        <w:rPr>
          <w:rFonts w:ascii="Arial" w:hAnsi="Arial" w:cs="Arial"/>
          <w:sz w:val="22"/>
          <w:szCs w:val="22"/>
          <w:lang w:val="en-GB"/>
        </w:rPr>
      </w:pPr>
    </w:p>
    <w:p w14:paraId="3633F8EA" w14:textId="7B7332D7" w:rsidR="00B52AE7" w:rsidRPr="00B52AE7" w:rsidRDefault="00B52AE7" w:rsidP="002A37BB">
      <w:pPr>
        <w:jc w:val="both"/>
        <w:rPr>
          <w:rFonts w:ascii="Arial" w:hAnsi="Arial" w:cs="Arial"/>
          <w:sz w:val="22"/>
          <w:szCs w:val="22"/>
          <w:lang w:val="en-GB"/>
        </w:rPr>
      </w:pPr>
      <w:r>
        <w:rPr>
          <w:rFonts w:ascii="Arial" w:hAnsi="Arial" w:cs="Arial"/>
          <w:sz w:val="22"/>
          <w:szCs w:val="22"/>
          <w:lang w:val="en-GB"/>
        </w:rPr>
        <w:t xml:space="preserve">Sixthly, a moratorium on the enforcement of </w:t>
      </w:r>
      <w:r>
        <w:rPr>
          <w:rFonts w:ascii="Arial" w:hAnsi="Arial" w:cs="Arial"/>
          <w:i/>
          <w:iCs/>
          <w:sz w:val="22"/>
          <w:szCs w:val="22"/>
          <w:lang w:val="en-GB"/>
        </w:rPr>
        <w:t xml:space="preserve">ipso facto </w:t>
      </w:r>
      <w:r>
        <w:rPr>
          <w:rFonts w:ascii="Arial" w:hAnsi="Arial" w:cs="Arial"/>
          <w:sz w:val="22"/>
          <w:szCs w:val="22"/>
          <w:lang w:val="en-GB"/>
        </w:rPr>
        <w:t xml:space="preserve">clauses applies (clauses that allow one party to end the contract upon the insolvency of the other) during both negotiation and implementation of a scheme. If the scheme is not implemented, then the company nevertheless gains the protection of this moratorium during the negotiation, which prejudices creditors’ by delaying their ability to enforce their legitimate contractual rights. </w:t>
      </w:r>
    </w:p>
    <w:p w14:paraId="40C5BAC6" w14:textId="7C9B160B" w:rsidR="0039766A" w:rsidRDefault="0039766A" w:rsidP="002A37BB">
      <w:pPr>
        <w:jc w:val="both"/>
        <w:rPr>
          <w:rFonts w:ascii="Arial" w:hAnsi="Arial" w:cs="Arial"/>
          <w:sz w:val="22"/>
          <w:szCs w:val="22"/>
          <w:lang w:val="en-GB"/>
        </w:rPr>
      </w:pPr>
    </w:p>
    <w:p w14:paraId="5E03664F" w14:textId="12874499" w:rsidR="00BC32E3" w:rsidRPr="006100BA" w:rsidRDefault="0039766A" w:rsidP="002A37BB">
      <w:pPr>
        <w:jc w:val="both"/>
        <w:rPr>
          <w:rFonts w:ascii="Arial" w:hAnsi="Arial" w:cs="Arial"/>
          <w:sz w:val="22"/>
          <w:szCs w:val="22"/>
          <w:lang w:val="en-GB"/>
        </w:rPr>
      </w:pPr>
      <w:r>
        <w:rPr>
          <w:rFonts w:ascii="Arial" w:hAnsi="Arial" w:cs="Arial"/>
          <w:sz w:val="22"/>
          <w:szCs w:val="22"/>
          <w:lang w:val="en-GB"/>
        </w:rPr>
        <w:t>When all of this delay is added together, the reality is that creditors’ schemes of arrangement take a minimum of three months to be fully implemented and commonly take six months or more. The reality is that the financial position of the company is likely to be very different 3-6 months after it commences negotiations with creditors. One wonders whether in many case, the scheme ultimately fails and ends in the formal winding up of the debtor company. If that is the case, then not only is the scheme ineffective, but it also serves as an expensive and time-consuming way of depleting assets that would otherwise be available to creditors upon winding up.</w:t>
      </w:r>
    </w:p>
    <w:p w14:paraId="1717F573" w14:textId="77777777" w:rsidR="00BC32E3" w:rsidRPr="006100BA" w:rsidRDefault="00BC32E3" w:rsidP="002A37BB">
      <w:pPr>
        <w:jc w:val="both"/>
        <w:rPr>
          <w:rFonts w:ascii="Arial" w:hAnsi="Arial" w:cs="Arial"/>
          <w:sz w:val="22"/>
          <w:szCs w:val="22"/>
          <w:lang w:val="en-GB"/>
        </w:rPr>
      </w:pPr>
    </w:p>
    <w:p w14:paraId="6F724901" w14:textId="595ACA0B" w:rsidR="00D17FDC" w:rsidRDefault="006100BA"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One positive of the creditors’ scheme of arrangement is that it is possible to bind parties other than the debtor company and its creditors. However, it is submitted that this positive feature does not outweigh the negatives described above. </w:t>
      </w:r>
    </w:p>
    <w:p w14:paraId="6DD9BB66" w14:textId="2480E7E9"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259AE6EC" w14:textId="249BE3F0" w:rsidR="008C118F" w:rsidRPr="0063589B" w:rsidRDefault="00D87DB9" w:rsidP="001A007A">
      <w:pPr>
        <w:autoSpaceDE w:val="0"/>
        <w:autoSpaceDN w:val="0"/>
        <w:adjustRightInd w:val="0"/>
        <w:jc w:val="both"/>
        <w:rPr>
          <w:rFonts w:ascii="Arial" w:hAnsi="Arial" w:cs="Arial"/>
          <w:sz w:val="22"/>
          <w:szCs w:val="22"/>
          <w:lang w:val="en-GB"/>
        </w:rPr>
      </w:pPr>
      <w:r w:rsidRPr="0063589B">
        <w:rPr>
          <w:rFonts w:ascii="Arial" w:hAnsi="Arial" w:cs="Arial"/>
          <w:sz w:val="22"/>
          <w:szCs w:val="22"/>
          <w:lang w:val="en-GB"/>
        </w:rPr>
        <w:t xml:space="preserve">Whereas there is a presumption in the MLCBI that a debtor’s centre of main interests is the place of its registered office, the term is not defined in the MLCBI. In </w:t>
      </w:r>
      <w:r w:rsidRPr="0063589B">
        <w:rPr>
          <w:rFonts w:ascii="Arial" w:hAnsi="Arial" w:cs="Arial"/>
          <w:i/>
          <w:sz w:val="22"/>
          <w:szCs w:val="22"/>
          <w:lang w:val="en-GB"/>
        </w:rPr>
        <w:t>Eurofood</w:t>
      </w:r>
      <w:r w:rsidRPr="0063589B">
        <w:rPr>
          <w:rFonts w:ascii="Arial" w:hAnsi="Arial" w:cs="Arial"/>
          <w:sz w:val="22"/>
          <w:szCs w:val="22"/>
          <w:lang w:val="en-GB"/>
        </w:rPr>
        <w:t xml:space="preserve">, the ECJ held </w:t>
      </w:r>
      <w:r w:rsidRPr="0063589B">
        <w:rPr>
          <w:rFonts w:ascii="Arial" w:hAnsi="Arial" w:cs="Arial"/>
          <w:sz w:val="22"/>
          <w:szCs w:val="22"/>
          <w:lang w:val="en-GB"/>
        </w:rPr>
        <w:lastRenderedPageBreak/>
        <w:t>held that the presumption is capable of being rebutted by reference to criteria that are both objective and ascertainable by third parties.</w:t>
      </w:r>
    </w:p>
    <w:p w14:paraId="0B8434A0" w14:textId="6CFD339C" w:rsidR="00D87DB9" w:rsidRPr="0063589B" w:rsidRDefault="00D87DB9" w:rsidP="001A007A">
      <w:pPr>
        <w:autoSpaceDE w:val="0"/>
        <w:autoSpaceDN w:val="0"/>
        <w:adjustRightInd w:val="0"/>
        <w:jc w:val="both"/>
        <w:rPr>
          <w:rFonts w:ascii="Arial" w:hAnsi="Arial" w:cs="Arial"/>
          <w:sz w:val="22"/>
          <w:szCs w:val="22"/>
          <w:lang w:val="en-GB"/>
        </w:rPr>
      </w:pPr>
    </w:p>
    <w:p w14:paraId="48B1D704" w14:textId="5BE7961B" w:rsidR="00D87DB9" w:rsidRPr="0063589B" w:rsidRDefault="00D87DB9" w:rsidP="001A007A">
      <w:pPr>
        <w:autoSpaceDE w:val="0"/>
        <w:autoSpaceDN w:val="0"/>
        <w:adjustRightInd w:val="0"/>
        <w:jc w:val="both"/>
        <w:rPr>
          <w:rFonts w:ascii="Arial" w:hAnsi="Arial" w:cs="Arial"/>
          <w:sz w:val="22"/>
          <w:szCs w:val="22"/>
          <w:lang w:val="en-GB"/>
        </w:rPr>
      </w:pPr>
      <w:r w:rsidRPr="0063589B">
        <w:rPr>
          <w:rFonts w:ascii="Arial" w:hAnsi="Arial" w:cs="Arial"/>
          <w:sz w:val="22"/>
          <w:szCs w:val="22"/>
          <w:lang w:val="en-GB"/>
        </w:rPr>
        <w:t xml:space="preserve">In the case of Aussiebee, </w:t>
      </w:r>
      <w:r w:rsidR="00462AAD" w:rsidRPr="0063589B">
        <w:rPr>
          <w:rFonts w:ascii="Arial" w:hAnsi="Arial" w:cs="Arial"/>
          <w:sz w:val="22"/>
          <w:szCs w:val="22"/>
          <w:lang w:val="en-GB"/>
        </w:rPr>
        <w:t xml:space="preserve">it is incorporated in Lyonesse. It is therefore assumed that its registered office is in Lyonesse, in which case a presumption arises that Lyonesse is Aussiebee’s centre of main interests. However, we also know that Aussiebee has offices and warehouses in both Lyonesse and Australia, sells products from offices and warehouses in both countries, and employs an equal number of staff in each country. The majority of its board is Australian (6:1); its CEO is an Australian residing in Lyonesse, and its CFO is an Australia resident in Australia. In </w:t>
      </w:r>
      <w:r w:rsidR="00462AAD" w:rsidRPr="0063589B">
        <w:rPr>
          <w:rFonts w:ascii="Arial" w:hAnsi="Arial" w:cs="Arial"/>
          <w:i/>
          <w:sz w:val="22"/>
          <w:szCs w:val="22"/>
          <w:lang w:val="en-GB"/>
        </w:rPr>
        <w:t xml:space="preserve">Ackers v Saad, </w:t>
      </w:r>
      <w:r w:rsidR="00462AAD" w:rsidRPr="0063589B">
        <w:rPr>
          <w:rFonts w:ascii="Arial" w:hAnsi="Arial" w:cs="Arial"/>
          <w:sz w:val="22"/>
          <w:szCs w:val="22"/>
          <w:lang w:val="en-GB"/>
        </w:rPr>
        <w:t xml:space="preserve">Saad was incorporated in the Cayman Islands but, similar to Aussiebee, had a significant connection with Switzerland. For example, Saad’s records and books were maintained by a Swiss company. In that case, the Federal Court of Australia held that </w:t>
      </w:r>
      <w:r w:rsidR="00D3080B" w:rsidRPr="0063589B">
        <w:rPr>
          <w:rFonts w:ascii="Arial" w:hAnsi="Arial" w:cs="Arial"/>
          <w:sz w:val="22"/>
          <w:szCs w:val="22"/>
          <w:lang w:val="en-GB"/>
        </w:rPr>
        <w:t>Saad’s centre of main interests remained in the Cayman Islands. It is doubtful that Aussiebee’s centre of main interests is in Australia. From the information provided, it appears that Aussiebee has equal interests in both countries, and it is therefore unlikely that th</w:t>
      </w:r>
      <w:r w:rsidR="00456BF6" w:rsidRPr="0063589B">
        <w:rPr>
          <w:rFonts w:ascii="Arial" w:hAnsi="Arial" w:cs="Arial"/>
          <w:sz w:val="22"/>
          <w:szCs w:val="22"/>
          <w:lang w:val="en-GB"/>
        </w:rPr>
        <w:t>e presumption would be rebutted. The Lyonessian liquidation is therefore the foreign main proceeding.</w:t>
      </w:r>
    </w:p>
    <w:p w14:paraId="0E8DE7B8" w14:textId="770F91AB" w:rsidR="00D3080B" w:rsidRPr="0063589B" w:rsidRDefault="00D3080B" w:rsidP="001A007A">
      <w:pPr>
        <w:autoSpaceDE w:val="0"/>
        <w:autoSpaceDN w:val="0"/>
        <w:adjustRightInd w:val="0"/>
        <w:jc w:val="both"/>
        <w:rPr>
          <w:rFonts w:ascii="Arial" w:hAnsi="Arial" w:cs="Arial"/>
          <w:sz w:val="22"/>
          <w:szCs w:val="22"/>
          <w:lang w:val="en-GB"/>
        </w:rPr>
      </w:pPr>
    </w:p>
    <w:p w14:paraId="2B544575" w14:textId="25E78489" w:rsidR="00D3080B" w:rsidRDefault="00D3080B" w:rsidP="001A007A">
      <w:pPr>
        <w:autoSpaceDE w:val="0"/>
        <w:autoSpaceDN w:val="0"/>
        <w:adjustRightInd w:val="0"/>
        <w:jc w:val="both"/>
        <w:rPr>
          <w:rFonts w:ascii="Arial" w:hAnsi="Arial" w:cs="Arial"/>
          <w:sz w:val="22"/>
          <w:szCs w:val="22"/>
          <w:lang w:val="en-GB"/>
        </w:rPr>
      </w:pPr>
      <w:r w:rsidRPr="0063589B">
        <w:rPr>
          <w:rFonts w:ascii="Arial" w:hAnsi="Arial" w:cs="Arial"/>
          <w:sz w:val="22"/>
          <w:szCs w:val="22"/>
          <w:lang w:val="en-GB"/>
        </w:rPr>
        <w:t xml:space="preserve">It is </w:t>
      </w:r>
      <w:r w:rsidR="00456BF6" w:rsidRPr="0063589B">
        <w:rPr>
          <w:rFonts w:ascii="Arial" w:hAnsi="Arial" w:cs="Arial"/>
          <w:sz w:val="22"/>
          <w:szCs w:val="22"/>
          <w:lang w:val="en-GB"/>
        </w:rPr>
        <w:t xml:space="preserve">therefore </w:t>
      </w:r>
      <w:r w:rsidRPr="0063589B">
        <w:rPr>
          <w:rFonts w:ascii="Arial" w:hAnsi="Arial" w:cs="Arial"/>
          <w:sz w:val="22"/>
          <w:szCs w:val="22"/>
          <w:lang w:val="en-GB"/>
        </w:rPr>
        <w:t xml:space="preserve">likely that LL’s application to have the Lyonessian liquidation of Aussiebee recognised in Australia as a foreign main proceeding will </w:t>
      </w:r>
      <w:r w:rsidR="00456BF6" w:rsidRPr="0063589B">
        <w:rPr>
          <w:rFonts w:ascii="Arial" w:hAnsi="Arial" w:cs="Arial"/>
          <w:sz w:val="22"/>
          <w:szCs w:val="22"/>
          <w:lang w:val="en-GB"/>
        </w:rPr>
        <w:t>succeed.</w:t>
      </w:r>
    </w:p>
    <w:p w14:paraId="3DD44DD1" w14:textId="773D41DD" w:rsidR="00A036F0" w:rsidRDefault="00A036F0" w:rsidP="001A007A">
      <w:pPr>
        <w:autoSpaceDE w:val="0"/>
        <w:autoSpaceDN w:val="0"/>
        <w:adjustRightInd w:val="0"/>
        <w:jc w:val="both"/>
        <w:rPr>
          <w:rFonts w:ascii="Arial" w:hAnsi="Arial" w:cs="Arial"/>
          <w:sz w:val="22"/>
          <w:szCs w:val="22"/>
          <w:lang w:val="en-GB"/>
        </w:rPr>
      </w:pPr>
    </w:p>
    <w:p w14:paraId="0414BDAA" w14:textId="54655CC1" w:rsidR="00A036F0" w:rsidRPr="0063589B" w:rsidRDefault="00A036F0" w:rsidP="001A007A">
      <w:pPr>
        <w:autoSpaceDE w:val="0"/>
        <w:autoSpaceDN w:val="0"/>
        <w:adjustRightInd w:val="0"/>
        <w:jc w:val="both"/>
        <w:rPr>
          <w:rFonts w:ascii="Arial" w:hAnsi="Arial" w:cs="Arial"/>
          <w:sz w:val="22"/>
          <w:szCs w:val="22"/>
          <w:lang w:val="en-GB"/>
        </w:rPr>
      </w:pPr>
      <w:r>
        <w:rPr>
          <w:rFonts w:ascii="Arial" w:hAnsi="Arial" w:cs="Arial"/>
          <w:sz w:val="22"/>
          <w:szCs w:val="22"/>
          <w:lang w:val="en-GB"/>
        </w:rPr>
        <w:t>The ATO’s claim for tax debt against Aussiebee cannot be proven in the Lyonessian liquidation. The question then is, what can the ATO do to protect or improve its decision?</w:t>
      </w:r>
    </w:p>
    <w:p w14:paraId="1FB6F0D3" w14:textId="77777777" w:rsidR="008C118F" w:rsidRPr="0063589B" w:rsidRDefault="008C118F" w:rsidP="001A007A">
      <w:pPr>
        <w:autoSpaceDE w:val="0"/>
        <w:autoSpaceDN w:val="0"/>
        <w:adjustRightInd w:val="0"/>
        <w:jc w:val="both"/>
        <w:rPr>
          <w:rFonts w:ascii="Arial" w:hAnsi="Arial" w:cs="Arial"/>
          <w:sz w:val="22"/>
          <w:szCs w:val="22"/>
          <w:lang w:val="en-GB"/>
        </w:rPr>
      </w:pPr>
    </w:p>
    <w:p w14:paraId="76845325" w14:textId="36CE64C2" w:rsidR="008C118F" w:rsidRPr="0063589B" w:rsidRDefault="00D3080B" w:rsidP="001A007A">
      <w:pPr>
        <w:autoSpaceDE w:val="0"/>
        <w:autoSpaceDN w:val="0"/>
        <w:adjustRightInd w:val="0"/>
        <w:jc w:val="both"/>
        <w:rPr>
          <w:rFonts w:ascii="Arial" w:hAnsi="Arial" w:cs="Arial"/>
          <w:sz w:val="22"/>
          <w:szCs w:val="22"/>
          <w:lang w:val="en-GB"/>
        </w:rPr>
      </w:pPr>
      <w:r w:rsidRPr="0063589B">
        <w:rPr>
          <w:rFonts w:ascii="Arial" w:hAnsi="Arial" w:cs="Arial"/>
          <w:sz w:val="22"/>
          <w:szCs w:val="22"/>
          <w:lang w:val="en-GB"/>
        </w:rPr>
        <w:t>Under A</w:t>
      </w:r>
      <w:r w:rsidR="0041465D" w:rsidRPr="0063589B">
        <w:rPr>
          <w:rFonts w:ascii="Arial" w:hAnsi="Arial" w:cs="Arial"/>
          <w:sz w:val="22"/>
          <w:szCs w:val="22"/>
          <w:lang w:val="en-GB"/>
        </w:rPr>
        <w:t>rticle 21</w:t>
      </w:r>
      <w:r w:rsidRPr="0063589B">
        <w:rPr>
          <w:rFonts w:ascii="Arial" w:hAnsi="Arial" w:cs="Arial"/>
          <w:sz w:val="22"/>
          <w:szCs w:val="22"/>
          <w:lang w:val="en-GB"/>
        </w:rPr>
        <w:t xml:space="preserve"> of the </w:t>
      </w:r>
      <w:r w:rsidR="0041465D" w:rsidRPr="0063589B">
        <w:rPr>
          <w:rFonts w:ascii="Arial" w:hAnsi="Arial" w:cs="Arial"/>
          <w:sz w:val="22"/>
          <w:szCs w:val="22"/>
          <w:lang w:val="en-GB"/>
        </w:rPr>
        <w:t>MLCBI as enacted in Schedule 1 of the CBIA 2008 (Cth), the LL may apply to the Court for an order entrusting the assets of Aussiebee to her. However, article 22 provides that in granting such an order, the court must be satisfied that the interests of the creditors and other interested persons, including the debtor, are adequately protected. The court may impose conditions on relief granted under article 21. It may also, either at the request of the foreign representative, or a person affected, or on its own motion, modify or terminate relief granted under article 21.</w:t>
      </w:r>
    </w:p>
    <w:p w14:paraId="26FC3168" w14:textId="64C71BEB" w:rsidR="0041465D" w:rsidRPr="0063589B" w:rsidRDefault="0041465D" w:rsidP="001A007A">
      <w:pPr>
        <w:autoSpaceDE w:val="0"/>
        <w:autoSpaceDN w:val="0"/>
        <w:adjustRightInd w:val="0"/>
        <w:jc w:val="both"/>
        <w:rPr>
          <w:rFonts w:ascii="Arial" w:hAnsi="Arial" w:cs="Arial"/>
          <w:sz w:val="22"/>
          <w:szCs w:val="22"/>
          <w:lang w:val="en-GB"/>
        </w:rPr>
      </w:pPr>
    </w:p>
    <w:p w14:paraId="458700F4" w14:textId="657E743B" w:rsidR="0041465D" w:rsidRPr="0063589B" w:rsidRDefault="0041465D" w:rsidP="001A007A">
      <w:pPr>
        <w:autoSpaceDE w:val="0"/>
        <w:autoSpaceDN w:val="0"/>
        <w:adjustRightInd w:val="0"/>
        <w:jc w:val="both"/>
        <w:rPr>
          <w:rFonts w:ascii="Arial" w:hAnsi="Arial" w:cs="Arial"/>
          <w:sz w:val="22"/>
          <w:szCs w:val="22"/>
          <w:lang w:val="en-GB"/>
        </w:rPr>
      </w:pPr>
      <w:r w:rsidRPr="0063589B">
        <w:rPr>
          <w:rFonts w:ascii="Arial" w:hAnsi="Arial" w:cs="Arial"/>
          <w:sz w:val="22"/>
          <w:szCs w:val="22"/>
          <w:lang w:val="en-GB"/>
        </w:rPr>
        <w:t xml:space="preserve">The case of </w:t>
      </w:r>
      <w:r w:rsidRPr="0063589B">
        <w:rPr>
          <w:rFonts w:ascii="Arial" w:hAnsi="Arial" w:cs="Arial"/>
          <w:i/>
          <w:sz w:val="22"/>
          <w:szCs w:val="22"/>
          <w:lang w:val="en-GB"/>
        </w:rPr>
        <w:t xml:space="preserve">Ackers v Deputy Commissioner of Taxation </w:t>
      </w:r>
      <w:r w:rsidRPr="0063589B">
        <w:rPr>
          <w:rFonts w:ascii="Arial" w:hAnsi="Arial" w:cs="Arial"/>
          <w:sz w:val="22"/>
          <w:szCs w:val="22"/>
          <w:lang w:val="en-GB"/>
        </w:rPr>
        <w:t xml:space="preserve">concerned a similar set of facts to the present. </w:t>
      </w:r>
      <w:r w:rsidR="00456BF6" w:rsidRPr="0063589B">
        <w:rPr>
          <w:rFonts w:ascii="Arial" w:hAnsi="Arial" w:cs="Arial"/>
          <w:sz w:val="22"/>
          <w:szCs w:val="22"/>
          <w:lang w:val="en-GB"/>
        </w:rPr>
        <w:t xml:space="preserve">That case also involved Saad, the Cayman Islands company referred to above. In that case, the DCT filed </w:t>
      </w:r>
      <w:r w:rsidR="0063589B" w:rsidRPr="0063589B">
        <w:rPr>
          <w:rFonts w:ascii="Arial" w:hAnsi="Arial" w:cs="Arial"/>
          <w:sz w:val="22"/>
          <w:szCs w:val="22"/>
          <w:lang w:val="en-GB"/>
        </w:rPr>
        <w:t xml:space="preserve">an interlocutory application (as is permitted under article 22) in the liquidators’ recognition proceeding. Utilising its powers under article 22, the Court granted the recognition orders, but required the liquidators to undertake not to transfer out of Australia the proceeds of any asset sales without first giving 14 days’ notice. The court also ordered the DCT not to take enforcement steps in relation to the revenue debt owed by Saad. Later, the Saad liquidators gave notice of their intention to transfer funds from the sale of assets outside Australia, and the DCT successfully sought orders from the court seeking modification of the recognition orders including </w:t>
      </w:r>
      <w:r w:rsidR="0063589B" w:rsidRPr="0063589B">
        <w:rPr>
          <w:rFonts w:ascii="Arial" w:hAnsi="Arial" w:cs="Arial"/>
          <w:i/>
          <w:sz w:val="22"/>
          <w:szCs w:val="22"/>
          <w:lang w:val="en-GB"/>
        </w:rPr>
        <w:t xml:space="preserve">inter alia </w:t>
      </w:r>
      <w:r w:rsidR="0063589B" w:rsidRPr="0063589B">
        <w:rPr>
          <w:rFonts w:ascii="Arial" w:hAnsi="Arial" w:cs="Arial"/>
          <w:sz w:val="22"/>
          <w:szCs w:val="22"/>
          <w:lang w:val="en-GB"/>
        </w:rPr>
        <w:t xml:space="preserve">allowing the DCT to obtain payment of Saad’s revenue debt out of the assets on a </w:t>
      </w:r>
      <w:r w:rsidR="0063589B" w:rsidRPr="0063589B">
        <w:rPr>
          <w:rFonts w:ascii="Arial" w:hAnsi="Arial" w:cs="Arial"/>
          <w:i/>
          <w:sz w:val="22"/>
          <w:szCs w:val="22"/>
          <w:lang w:val="en-GB"/>
        </w:rPr>
        <w:t xml:space="preserve">parri passu </w:t>
      </w:r>
      <w:r w:rsidR="0063589B" w:rsidRPr="0063589B">
        <w:rPr>
          <w:rFonts w:ascii="Arial" w:hAnsi="Arial" w:cs="Arial"/>
          <w:sz w:val="22"/>
          <w:szCs w:val="22"/>
          <w:lang w:val="en-GB"/>
        </w:rPr>
        <w:t>basis with other creditors. The liquidators appealed the decision but the full Federal Court dismissed their appeal.</w:t>
      </w:r>
    </w:p>
    <w:p w14:paraId="3F3DF1BF" w14:textId="2C10448A" w:rsidR="0063589B" w:rsidRPr="0063589B" w:rsidRDefault="0063589B" w:rsidP="001A007A">
      <w:pPr>
        <w:autoSpaceDE w:val="0"/>
        <w:autoSpaceDN w:val="0"/>
        <w:adjustRightInd w:val="0"/>
        <w:jc w:val="both"/>
        <w:rPr>
          <w:rFonts w:ascii="Arial" w:hAnsi="Arial" w:cs="Arial"/>
          <w:sz w:val="22"/>
          <w:szCs w:val="22"/>
          <w:lang w:val="en-GB"/>
        </w:rPr>
      </w:pPr>
    </w:p>
    <w:p w14:paraId="4571B2B0" w14:textId="09683A07" w:rsidR="007F659B" w:rsidRPr="0063589B" w:rsidRDefault="0063589B" w:rsidP="0063589B">
      <w:pPr>
        <w:autoSpaceDE w:val="0"/>
        <w:autoSpaceDN w:val="0"/>
        <w:adjustRightInd w:val="0"/>
        <w:jc w:val="both"/>
        <w:rPr>
          <w:rFonts w:ascii="Arial" w:hAnsi="Arial" w:cs="Arial"/>
          <w:sz w:val="22"/>
          <w:szCs w:val="22"/>
          <w:lang w:val="en-GB"/>
        </w:rPr>
      </w:pPr>
      <w:r w:rsidRPr="0063589B">
        <w:rPr>
          <w:rFonts w:ascii="Arial" w:hAnsi="Arial" w:cs="Arial"/>
          <w:sz w:val="22"/>
          <w:szCs w:val="22"/>
          <w:lang w:val="en-GB"/>
        </w:rPr>
        <w:t xml:space="preserve">Accordingly, following the successful approach taken by the DCT in </w:t>
      </w:r>
      <w:r w:rsidRPr="0063589B">
        <w:rPr>
          <w:rFonts w:ascii="Arial" w:hAnsi="Arial" w:cs="Arial"/>
          <w:i/>
          <w:sz w:val="22"/>
          <w:szCs w:val="22"/>
          <w:lang w:val="en-GB"/>
        </w:rPr>
        <w:t xml:space="preserve">Ackers, </w:t>
      </w:r>
      <w:r w:rsidRPr="0063589B">
        <w:rPr>
          <w:rFonts w:ascii="Arial" w:hAnsi="Arial" w:cs="Arial"/>
          <w:sz w:val="22"/>
          <w:szCs w:val="22"/>
          <w:lang w:val="en-GB"/>
        </w:rPr>
        <w:t xml:space="preserve">the ATO should be advised to file an interlocutory application in the LL’s recognition proceeding under article 22, seeking the same orders that were granted in that case. </w:t>
      </w: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w:t>
      </w:r>
      <w:r w:rsidR="003361F2">
        <w:rPr>
          <w:rFonts w:ascii="Arial" w:hAnsi="Arial" w:cs="Arial"/>
          <w:iCs/>
          <w:sz w:val="22"/>
          <w:szCs w:val="22"/>
          <w:lang w:val="en-GB"/>
        </w:rPr>
        <w:lastRenderedPageBreak/>
        <w:t>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0"/>
    </w:p>
    <w:bookmarkEnd w:id="1"/>
    <w:p w14:paraId="154681F0" w14:textId="3933A239" w:rsidR="009D20B1" w:rsidRDefault="009D20B1" w:rsidP="00087F21">
      <w:pPr>
        <w:jc w:val="both"/>
        <w:rPr>
          <w:rFonts w:ascii="Arial" w:hAnsi="Arial" w:cs="Arial"/>
          <w:color w:val="000000" w:themeColor="text1"/>
          <w:sz w:val="22"/>
          <w:szCs w:val="22"/>
          <w:lang w:val="en-GB"/>
        </w:rPr>
      </w:pPr>
    </w:p>
    <w:p w14:paraId="68CCCFE5" w14:textId="60603B86" w:rsidR="00B77F46" w:rsidRPr="00AD4534" w:rsidRDefault="00AD4534" w:rsidP="00692909">
      <w:pPr>
        <w:autoSpaceDE w:val="0"/>
        <w:autoSpaceDN w:val="0"/>
        <w:adjustRightInd w:val="0"/>
        <w:jc w:val="both"/>
        <w:rPr>
          <w:rFonts w:ascii="Arial" w:hAnsi="Arial" w:cs="Arial"/>
          <w:sz w:val="22"/>
          <w:szCs w:val="22"/>
          <w:lang w:val="en-GB"/>
        </w:rPr>
      </w:pPr>
      <w:r w:rsidRPr="00AD4534">
        <w:rPr>
          <w:rFonts w:ascii="Arial" w:hAnsi="Arial" w:cs="Arial"/>
          <w:sz w:val="22"/>
          <w:szCs w:val="22"/>
          <w:lang w:val="en-GB"/>
        </w:rPr>
        <w:t>Shipmax’s liquidator will have three objectives:</w:t>
      </w:r>
    </w:p>
    <w:p w14:paraId="66D867B5" w14:textId="7B4B38CD" w:rsidR="00AD4534" w:rsidRPr="00AD4534" w:rsidRDefault="00AD4534" w:rsidP="00AD4534">
      <w:pPr>
        <w:pStyle w:val="ListParagraph"/>
        <w:numPr>
          <w:ilvl w:val="0"/>
          <w:numId w:val="21"/>
        </w:numPr>
        <w:autoSpaceDE w:val="0"/>
        <w:autoSpaceDN w:val="0"/>
        <w:adjustRightInd w:val="0"/>
        <w:jc w:val="both"/>
        <w:rPr>
          <w:rFonts w:ascii="Arial" w:hAnsi="Arial" w:cs="Arial"/>
          <w:sz w:val="22"/>
          <w:szCs w:val="22"/>
          <w:lang w:val="en-GB"/>
        </w:rPr>
      </w:pPr>
      <w:r w:rsidRPr="00AD4534">
        <w:rPr>
          <w:rFonts w:ascii="Arial" w:hAnsi="Arial" w:cs="Arial"/>
          <w:sz w:val="22"/>
          <w:szCs w:val="22"/>
          <w:lang w:val="en-GB"/>
        </w:rPr>
        <w:t xml:space="preserve">Bring the operations of Shipmin to an end in the best way; and </w:t>
      </w:r>
    </w:p>
    <w:p w14:paraId="2CF90BA2" w14:textId="5A86A136" w:rsidR="00AD4534" w:rsidRPr="00AD4534" w:rsidRDefault="00AD4534" w:rsidP="00AD4534">
      <w:pPr>
        <w:pStyle w:val="ListParagraph"/>
        <w:numPr>
          <w:ilvl w:val="0"/>
          <w:numId w:val="21"/>
        </w:numPr>
        <w:autoSpaceDE w:val="0"/>
        <w:autoSpaceDN w:val="0"/>
        <w:adjustRightInd w:val="0"/>
        <w:jc w:val="both"/>
        <w:rPr>
          <w:rFonts w:ascii="Arial" w:hAnsi="Arial" w:cs="Arial"/>
          <w:sz w:val="22"/>
          <w:szCs w:val="22"/>
          <w:lang w:val="en-GB"/>
        </w:rPr>
      </w:pPr>
      <w:r w:rsidRPr="00AD4534">
        <w:rPr>
          <w:rFonts w:ascii="Arial" w:hAnsi="Arial" w:cs="Arial"/>
          <w:sz w:val="22"/>
          <w:szCs w:val="22"/>
          <w:lang w:val="en-GB"/>
        </w:rPr>
        <w:t xml:space="preserve">Defend </w:t>
      </w:r>
      <w:r w:rsidR="00CE5E24">
        <w:rPr>
          <w:rFonts w:ascii="Arial" w:hAnsi="Arial" w:cs="Arial"/>
          <w:sz w:val="22"/>
          <w:szCs w:val="22"/>
          <w:lang w:val="en-GB"/>
        </w:rPr>
        <w:t xml:space="preserve">CBA’s </w:t>
      </w:r>
      <w:r w:rsidRPr="00AD4534">
        <w:rPr>
          <w:rFonts w:ascii="Arial" w:hAnsi="Arial" w:cs="Arial"/>
          <w:sz w:val="22"/>
          <w:szCs w:val="22"/>
          <w:lang w:val="en-GB"/>
        </w:rPr>
        <w:t>claim against the $20m payment from Shipmin to Shipmax; and</w:t>
      </w:r>
    </w:p>
    <w:p w14:paraId="4F2C18A8" w14:textId="255CA28F" w:rsidR="00AD4534" w:rsidRPr="00AD4534" w:rsidRDefault="00AD4534" w:rsidP="00AD4534">
      <w:pPr>
        <w:pStyle w:val="ListParagraph"/>
        <w:numPr>
          <w:ilvl w:val="0"/>
          <w:numId w:val="21"/>
        </w:numPr>
        <w:autoSpaceDE w:val="0"/>
        <w:autoSpaceDN w:val="0"/>
        <w:adjustRightInd w:val="0"/>
        <w:jc w:val="both"/>
        <w:rPr>
          <w:rFonts w:ascii="Arial" w:hAnsi="Arial" w:cs="Arial"/>
          <w:sz w:val="22"/>
          <w:szCs w:val="22"/>
          <w:lang w:val="en-GB"/>
        </w:rPr>
      </w:pPr>
      <w:r w:rsidRPr="00AD4534">
        <w:rPr>
          <w:rFonts w:ascii="Arial" w:hAnsi="Arial" w:cs="Arial"/>
          <w:sz w:val="22"/>
          <w:szCs w:val="22"/>
          <w:lang w:val="en-GB"/>
        </w:rPr>
        <w:t>Defend CBA’s claim of security over the $15m ship.</w:t>
      </w:r>
    </w:p>
    <w:p w14:paraId="4991E158" w14:textId="490E5062" w:rsidR="00AD4534" w:rsidRPr="00AD4534" w:rsidRDefault="00AD4534" w:rsidP="00AD4534">
      <w:pPr>
        <w:autoSpaceDE w:val="0"/>
        <w:autoSpaceDN w:val="0"/>
        <w:adjustRightInd w:val="0"/>
        <w:jc w:val="both"/>
        <w:rPr>
          <w:rFonts w:ascii="Arial" w:hAnsi="Arial" w:cs="Arial"/>
          <w:sz w:val="22"/>
          <w:szCs w:val="22"/>
          <w:lang w:val="en-GB"/>
        </w:rPr>
      </w:pPr>
    </w:p>
    <w:p w14:paraId="452E88BB" w14:textId="1F8C7DE7" w:rsidR="00AD4534" w:rsidRDefault="00AD4534" w:rsidP="00AD453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Because Shipmin </w:t>
      </w:r>
      <w:r w:rsidR="003C4CED">
        <w:rPr>
          <w:rFonts w:ascii="Arial" w:hAnsi="Arial" w:cs="Arial"/>
          <w:sz w:val="22"/>
          <w:szCs w:val="22"/>
          <w:lang w:val="en-GB"/>
        </w:rPr>
        <w:t>appears to only have $15m of assets, and $200m of debts, it is assumed that Shipmin is insolvent. Therefore Shipmax’s liquidator can wind up the operations of Shipmin by a creditor’s voluntary liquidation.</w:t>
      </w:r>
      <w:r w:rsidR="005423E9">
        <w:rPr>
          <w:rFonts w:ascii="Arial" w:hAnsi="Arial" w:cs="Arial"/>
          <w:sz w:val="22"/>
          <w:szCs w:val="22"/>
          <w:lang w:val="en-GB"/>
        </w:rPr>
        <w:t xml:space="preserve"> Shipmin owes 180m to Shipmax, and 20m to CBA, a ratio of 90:10.</w:t>
      </w:r>
    </w:p>
    <w:p w14:paraId="3A4787D4" w14:textId="66126F7A" w:rsidR="003C4CED" w:rsidRDefault="003C4CED" w:rsidP="00AD4534">
      <w:pPr>
        <w:autoSpaceDE w:val="0"/>
        <w:autoSpaceDN w:val="0"/>
        <w:adjustRightInd w:val="0"/>
        <w:jc w:val="both"/>
        <w:rPr>
          <w:rFonts w:ascii="Arial" w:hAnsi="Arial" w:cs="Arial"/>
          <w:sz w:val="22"/>
          <w:szCs w:val="22"/>
          <w:lang w:val="en-GB"/>
        </w:rPr>
      </w:pPr>
    </w:p>
    <w:p w14:paraId="6C4B8E08" w14:textId="476D33F4" w:rsidR="003C4CED" w:rsidRDefault="003C4CED" w:rsidP="00AD4534">
      <w:pPr>
        <w:autoSpaceDE w:val="0"/>
        <w:autoSpaceDN w:val="0"/>
        <w:adjustRightInd w:val="0"/>
        <w:jc w:val="both"/>
        <w:rPr>
          <w:rFonts w:ascii="Arial" w:hAnsi="Arial" w:cs="Arial"/>
          <w:sz w:val="22"/>
          <w:szCs w:val="22"/>
          <w:lang w:val="en-GB"/>
        </w:rPr>
      </w:pPr>
      <w:r>
        <w:rPr>
          <w:rFonts w:ascii="Arial" w:hAnsi="Arial" w:cs="Arial"/>
          <w:sz w:val="22"/>
          <w:szCs w:val="22"/>
          <w:lang w:val="en-GB"/>
        </w:rPr>
        <w:t>A liquidator of Shipmin can be appointed by special resolution of shareholders if the directors believe the company is insolvent. Because Shipmax’s liquidator is effectively the director of Shipmin, and all shares in Shipmin have vested in Shipmax’s liquidator, Shipmax’s liquidator may unilaterally put Shipmin into liquidation</w:t>
      </w:r>
      <w:r w:rsidR="00CE5E24">
        <w:rPr>
          <w:rFonts w:ascii="Arial" w:hAnsi="Arial" w:cs="Arial"/>
          <w:sz w:val="22"/>
          <w:szCs w:val="22"/>
          <w:lang w:val="en-GB"/>
        </w:rPr>
        <w:t xml:space="preserve"> and appoint him/herself as liquidator</w:t>
      </w:r>
      <w:r>
        <w:rPr>
          <w:rFonts w:ascii="Arial" w:hAnsi="Arial" w:cs="Arial"/>
          <w:sz w:val="22"/>
          <w:szCs w:val="22"/>
          <w:lang w:val="en-GB"/>
        </w:rPr>
        <w:t>. Because Shipmin’s liabilities exceed $1m, it will not be eligible for the new ‘simplified liquidation process’.</w:t>
      </w:r>
    </w:p>
    <w:p w14:paraId="436EE5A4" w14:textId="3B6237B9" w:rsidR="00CE5E24" w:rsidRDefault="00CE5E24" w:rsidP="00AD4534">
      <w:pPr>
        <w:autoSpaceDE w:val="0"/>
        <w:autoSpaceDN w:val="0"/>
        <w:adjustRightInd w:val="0"/>
        <w:jc w:val="both"/>
        <w:rPr>
          <w:rFonts w:ascii="Arial" w:hAnsi="Arial" w:cs="Arial"/>
          <w:sz w:val="22"/>
          <w:szCs w:val="22"/>
          <w:lang w:val="en-GB"/>
        </w:rPr>
      </w:pPr>
    </w:p>
    <w:p w14:paraId="42007698" w14:textId="4CF4C85D" w:rsidR="00CE5E24" w:rsidRDefault="00CE5E24" w:rsidP="00AD453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Once Shipmin is placed in liquidation, Shipmax’s liquidatior (hereafter referred to as ‘the liquidator’), may among other things proceed to take possession of Shipmin’s property and realise and distribute it to creditors. </w:t>
      </w:r>
    </w:p>
    <w:p w14:paraId="65B78075" w14:textId="5834AC10" w:rsidR="00CE5E24" w:rsidRDefault="00CE5E24" w:rsidP="00AD4534">
      <w:pPr>
        <w:autoSpaceDE w:val="0"/>
        <w:autoSpaceDN w:val="0"/>
        <w:adjustRightInd w:val="0"/>
        <w:jc w:val="both"/>
        <w:rPr>
          <w:rFonts w:ascii="Arial" w:hAnsi="Arial" w:cs="Arial"/>
          <w:sz w:val="22"/>
          <w:szCs w:val="22"/>
          <w:lang w:val="en-GB"/>
        </w:rPr>
      </w:pPr>
    </w:p>
    <w:p w14:paraId="6173A74F" w14:textId="59CE74A4" w:rsidR="002C2765" w:rsidRDefault="00CE5E24" w:rsidP="00AD4534">
      <w:pPr>
        <w:autoSpaceDE w:val="0"/>
        <w:autoSpaceDN w:val="0"/>
        <w:adjustRightInd w:val="0"/>
        <w:jc w:val="both"/>
        <w:rPr>
          <w:rFonts w:ascii="Arial" w:hAnsi="Arial" w:cs="Arial"/>
          <w:sz w:val="22"/>
          <w:szCs w:val="22"/>
          <w:lang w:val="en-GB"/>
        </w:rPr>
      </w:pPr>
      <w:r>
        <w:rPr>
          <w:rFonts w:ascii="Arial" w:hAnsi="Arial" w:cs="Arial"/>
          <w:sz w:val="22"/>
          <w:szCs w:val="22"/>
          <w:lang w:val="en-GB"/>
        </w:rPr>
        <w:t>It is likely that CBA will bring a claim against Shipmax alleging that the $20m payment to it by Shipmin was a</w:t>
      </w:r>
      <w:r w:rsidR="002C2765">
        <w:rPr>
          <w:rFonts w:ascii="Arial" w:hAnsi="Arial" w:cs="Arial"/>
          <w:sz w:val="22"/>
          <w:szCs w:val="22"/>
          <w:lang w:val="en-GB"/>
        </w:rPr>
        <w:t>n unfair preference and therefore a</w:t>
      </w:r>
      <w:r>
        <w:rPr>
          <w:rFonts w:ascii="Arial" w:hAnsi="Arial" w:cs="Arial"/>
          <w:sz w:val="22"/>
          <w:szCs w:val="22"/>
          <w:lang w:val="en-GB"/>
        </w:rPr>
        <w:t xml:space="preserve"> voidable transaction. CBA will allege that Shipmin made that payment to Shipmax (1)</w:t>
      </w:r>
      <w:r w:rsidR="002C2765">
        <w:rPr>
          <w:rFonts w:ascii="Arial" w:hAnsi="Arial" w:cs="Arial"/>
          <w:sz w:val="22"/>
          <w:szCs w:val="22"/>
          <w:lang w:val="en-GB"/>
        </w:rPr>
        <w:t xml:space="preserve"> within in the six-month period prior to Shipmin’s liquidation and (2) at a time when Shipmin was insolvent and (3) enabled Shipmax to recover more than it would have if it received a proportionate distribution of Shipmin’s assets as an unsecured creditor in a liquidation of the company. </w:t>
      </w:r>
    </w:p>
    <w:p w14:paraId="0DE20C56" w14:textId="22018AE6" w:rsidR="00CE5E24" w:rsidRDefault="00CE5E24" w:rsidP="00AD4534">
      <w:pPr>
        <w:autoSpaceDE w:val="0"/>
        <w:autoSpaceDN w:val="0"/>
        <w:adjustRightInd w:val="0"/>
        <w:jc w:val="both"/>
        <w:rPr>
          <w:rFonts w:ascii="Arial" w:hAnsi="Arial" w:cs="Arial"/>
          <w:sz w:val="22"/>
          <w:szCs w:val="22"/>
          <w:lang w:val="en-GB"/>
        </w:rPr>
      </w:pPr>
    </w:p>
    <w:p w14:paraId="303A544D" w14:textId="74D511BE" w:rsidR="00CE5E24" w:rsidRDefault="00611009" w:rsidP="00AD453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Shipmax will have a defence to that claim if it can show that it acted in good faith, was not aware of Shipmin’s insolvency, and provided valuable consideration or changed its position in reliance on the transaction. On this basis, it is unlikely that Shipmax will be able to defend CBA’s claim. As Shipmin’s owner, Shipmax cannot claim to be unaware of Shipmin’s insolvency. </w:t>
      </w:r>
    </w:p>
    <w:p w14:paraId="2B3D5EBA" w14:textId="43F431CB" w:rsidR="003C4CED" w:rsidRDefault="003C4CED" w:rsidP="00AD4534">
      <w:pPr>
        <w:autoSpaceDE w:val="0"/>
        <w:autoSpaceDN w:val="0"/>
        <w:adjustRightInd w:val="0"/>
        <w:jc w:val="both"/>
        <w:rPr>
          <w:rFonts w:ascii="Arial" w:hAnsi="Arial" w:cs="Arial"/>
          <w:sz w:val="22"/>
          <w:szCs w:val="22"/>
          <w:lang w:val="en-GB"/>
        </w:rPr>
      </w:pPr>
    </w:p>
    <w:p w14:paraId="0A2706E6" w14:textId="73B486A1" w:rsidR="009C21FF" w:rsidRDefault="005B6DD6" w:rsidP="00AD4534">
      <w:pPr>
        <w:autoSpaceDE w:val="0"/>
        <w:autoSpaceDN w:val="0"/>
        <w:adjustRightInd w:val="0"/>
        <w:jc w:val="both"/>
        <w:rPr>
          <w:rFonts w:ascii="Arial" w:hAnsi="Arial" w:cs="Arial"/>
          <w:sz w:val="22"/>
          <w:szCs w:val="22"/>
          <w:lang w:val="en-GB"/>
        </w:rPr>
      </w:pPr>
      <w:r>
        <w:rPr>
          <w:rFonts w:ascii="Arial" w:hAnsi="Arial" w:cs="Arial"/>
          <w:sz w:val="22"/>
          <w:szCs w:val="22"/>
          <w:lang w:val="en-GB"/>
        </w:rPr>
        <w:t>It is also likely that CBA will claim to hold security over Shipmin’s $15m ship. However, CBA’s mortgage over that ship has not been registered, and is therefore ‘unperfected’. That security interest will vest in Shipmin upon Shipmin’s liquidation. On this basis, CBA is an unsecured creditor and may only claim in Shipmin’s liquidation as an unsecured creditor.</w:t>
      </w:r>
      <w:r w:rsidR="005423E9">
        <w:rPr>
          <w:rFonts w:ascii="Arial" w:hAnsi="Arial" w:cs="Arial"/>
          <w:sz w:val="22"/>
          <w:szCs w:val="22"/>
          <w:lang w:val="en-GB"/>
        </w:rPr>
        <w:t xml:space="preserve"> </w:t>
      </w:r>
    </w:p>
    <w:p w14:paraId="6F9DB6DC" w14:textId="03AEC979" w:rsidR="005423E9" w:rsidRDefault="005423E9" w:rsidP="00AD4534">
      <w:pPr>
        <w:autoSpaceDE w:val="0"/>
        <w:autoSpaceDN w:val="0"/>
        <w:adjustRightInd w:val="0"/>
        <w:jc w:val="both"/>
        <w:rPr>
          <w:rFonts w:ascii="Arial" w:hAnsi="Arial" w:cs="Arial"/>
          <w:sz w:val="22"/>
          <w:szCs w:val="22"/>
          <w:lang w:val="en-GB"/>
        </w:rPr>
      </w:pPr>
    </w:p>
    <w:p w14:paraId="6373D244" w14:textId="1E9CF217" w:rsidR="005423E9" w:rsidRDefault="005423E9" w:rsidP="00AD4534">
      <w:pPr>
        <w:autoSpaceDE w:val="0"/>
        <w:autoSpaceDN w:val="0"/>
        <w:adjustRightInd w:val="0"/>
        <w:jc w:val="both"/>
        <w:rPr>
          <w:rFonts w:ascii="Arial" w:hAnsi="Arial" w:cs="Arial"/>
          <w:sz w:val="22"/>
          <w:szCs w:val="22"/>
          <w:lang w:val="en-GB"/>
        </w:rPr>
      </w:pPr>
      <w:r>
        <w:rPr>
          <w:rFonts w:ascii="Arial" w:hAnsi="Arial" w:cs="Arial"/>
          <w:sz w:val="22"/>
          <w:szCs w:val="22"/>
          <w:lang w:val="en-GB"/>
        </w:rPr>
        <w:lastRenderedPageBreak/>
        <w:t>The liquidator should be advised that by taking the above steps, it can bring the operations of Shipmin to a close, and (without accounting for the liquidation costs):</w:t>
      </w:r>
    </w:p>
    <w:p w14:paraId="4D1E0226" w14:textId="1E46A42B" w:rsidR="005423E9" w:rsidRDefault="005423E9" w:rsidP="005423E9">
      <w:pPr>
        <w:pStyle w:val="ListParagraph"/>
        <w:numPr>
          <w:ilvl w:val="0"/>
          <w:numId w:val="22"/>
        </w:numPr>
        <w:autoSpaceDE w:val="0"/>
        <w:autoSpaceDN w:val="0"/>
        <w:adjustRightInd w:val="0"/>
        <w:jc w:val="both"/>
        <w:rPr>
          <w:rFonts w:ascii="Arial" w:hAnsi="Arial" w:cs="Arial"/>
          <w:sz w:val="22"/>
          <w:szCs w:val="22"/>
          <w:lang w:val="en-GB"/>
        </w:rPr>
      </w:pPr>
      <w:r>
        <w:rPr>
          <w:rFonts w:ascii="Arial" w:hAnsi="Arial" w:cs="Arial"/>
          <w:sz w:val="22"/>
          <w:szCs w:val="22"/>
          <w:lang w:val="en-GB"/>
        </w:rPr>
        <w:t>Retain 90% of the proceeds of the $20m ship ($18m). It will have to pay 10% ($2m) to CBA because the $20m payment to Shipmax by Shipmin was an unfair preference;</w:t>
      </w:r>
    </w:p>
    <w:p w14:paraId="5B436F3F" w14:textId="20F55D29" w:rsidR="005423E9" w:rsidRPr="005423E9" w:rsidRDefault="005423E9" w:rsidP="005423E9">
      <w:pPr>
        <w:pStyle w:val="ListParagraph"/>
        <w:numPr>
          <w:ilvl w:val="0"/>
          <w:numId w:val="22"/>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Obtain 90% of the proceeds of the $15m ship ($13.5m). It will have to pay 10% ($1.5m) to CBA as an unsecured creditor. </w:t>
      </w:r>
      <w:bookmarkStart w:id="2" w:name="_GoBack"/>
      <w:bookmarkEnd w:id="2"/>
    </w:p>
    <w:p w14:paraId="5E6F895F" w14:textId="72366709" w:rsidR="003C4CED" w:rsidRDefault="003C4CED" w:rsidP="00AD4534">
      <w:pPr>
        <w:autoSpaceDE w:val="0"/>
        <w:autoSpaceDN w:val="0"/>
        <w:adjustRightInd w:val="0"/>
        <w:jc w:val="both"/>
        <w:rPr>
          <w:rFonts w:ascii="Arial" w:hAnsi="Arial" w:cs="Arial"/>
          <w:sz w:val="22"/>
          <w:szCs w:val="22"/>
          <w:lang w:val="en-GB"/>
        </w:rPr>
      </w:pPr>
    </w:p>
    <w:p w14:paraId="2C1BC97E" w14:textId="782923F3" w:rsidR="005B6DD6" w:rsidRPr="00AD4534" w:rsidRDefault="005B6DD6" w:rsidP="00AD4534">
      <w:pPr>
        <w:autoSpaceDE w:val="0"/>
        <w:autoSpaceDN w:val="0"/>
        <w:adjustRightInd w:val="0"/>
        <w:jc w:val="both"/>
        <w:rPr>
          <w:rFonts w:ascii="Arial" w:hAnsi="Arial" w:cs="Arial"/>
          <w:sz w:val="22"/>
          <w:szCs w:val="22"/>
          <w:lang w:val="en-GB"/>
        </w:rPr>
      </w:pPr>
    </w:p>
    <w:sectPr w:rsidR="005B6DD6" w:rsidRPr="00AD4534"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93D6" w14:textId="77777777" w:rsidR="000320D6" w:rsidRDefault="000320D6" w:rsidP="00241B44">
      <w:r>
        <w:separator/>
      </w:r>
    </w:p>
  </w:endnote>
  <w:endnote w:type="continuationSeparator" w:id="0">
    <w:p w14:paraId="12A3DD11" w14:textId="77777777" w:rsidR="000320D6" w:rsidRDefault="000320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611009" w:rsidRPr="00FC7B47" w:rsidRDefault="0061100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611009" w:rsidRPr="00FC7B47" w:rsidRDefault="0061100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2CD9571D" w:rsidR="00611009" w:rsidRPr="009B4976" w:rsidRDefault="00611009"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91C49">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4652DD67" w14:textId="4F7D8B75" w:rsidR="00611009" w:rsidRPr="009B4976" w:rsidRDefault="00611009" w:rsidP="005F70C9">
    <w:pPr>
      <w:pStyle w:val="Footer"/>
      <w:ind w:right="360"/>
      <w:rPr>
        <w:rFonts w:ascii="Arial" w:hAnsi="Arial" w:cs="Arial"/>
        <w:sz w:val="18"/>
        <w:szCs w:val="18"/>
        <w:lang w:val="en-GB"/>
      </w:rPr>
    </w:pPr>
    <w:r w:rsidRPr="005F70C9">
      <w:rPr>
        <w:rFonts w:ascii="Arial" w:hAnsi="Arial" w:cs="Arial"/>
        <w:sz w:val="18"/>
        <w:szCs w:val="18"/>
        <w:lang w:val="en-GB"/>
      </w:rPr>
      <w:t>202021IFU-270.assessment8A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BD08" w14:textId="77777777" w:rsidR="000320D6" w:rsidRDefault="000320D6" w:rsidP="00241B44">
      <w:r>
        <w:separator/>
      </w:r>
    </w:p>
  </w:footnote>
  <w:footnote w:type="continuationSeparator" w:id="0">
    <w:p w14:paraId="24D25136" w14:textId="77777777" w:rsidR="000320D6" w:rsidRDefault="000320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809"/>
    <w:multiLevelType w:val="hybridMultilevel"/>
    <w:tmpl w:val="40F0AA28"/>
    <w:lvl w:ilvl="0" w:tplc="6BC4DDA8">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EA01CFB"/>
    <w:multiLevelType w:val="hybridMultilevel"/>
    <w:tmpl w:val="9A58A5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6"/>
  </w:num>
  <w:num w:numId="2">
    <w:abstractNumId w:val="5"/>
  </w:num>
  <w:num w:numId="3">
    <w:abstractNumId w:val="3"/>
  </w:num>
  <w:num w:numId="4">
    <w:abstractNumId w:val="14"/>
  </w:num>
  <w:num w:numId="5">
    <w:abstractNumId w:val="4"/>
  </w:num>
  <w:num w:numId="6">
    <w:abstractNumId w:val="12"/>
  </w:num>
  <w:num w:numId="7">
    <w:abstractNumId w:val="15"/>
  </w:num>
  <w:num w:numId="8">
    <w:abstractNumId w:val="13"/>
  </w:num>
  <w:num w:numId="9">
    <w:abstractNumId w:val="2"/>
  </w:num>
  <w:num w:numId="10">
    <w:abstractNumId w:val="1"/>
  </w:num>
  <w:num w:numId="11">
    <w:abstractNumId w:val="17"/>
  </w:num>
  <w:num w:numId="12">
    <w:abstractNumId w:val="7"/>
  </w:num>
  <w:num w:numId="13">
    <w:abstractNumId w:val="18"/>
  </w:num>
  <w:num w:numId="14">
    <w:abstractNumId w:val="19"/>
  </w:num>
  <w:num w:numId="15">
    <w:abstractNumId w:val="11"/>
  </w:num>
  <w:num w:numId="16">
    <w:abstractNumId w:val="21"/>
  </w:num>
  <w:num w:numId="17">
    <w:abstractNumId w:val="10"/>
  </w:num>
  <w:num w:numId="18">
    <w:abstractNumId w:val="6"/>
  </w:num>
  <w:num w:numId="19">
    <w:abstractNumId w:val="8"/>
  </w:num>
  <w:num w:numId="20">
    <w:abstractNumId w:val="9"/>
  </w:num>
  <w:num w:numId="21">
    <w:abstractNumId w:val="0"/>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1FC2"/>
    <w:rsid w:val="00023705"/>
    <w:rsid w:val="000250C7"/>
    <w:rsid w:val="00026F16"/>
    <w:rsid w:val="000320D6"/>
    <w:rsid w:val="00037621"/>
    <w:rsid w:val="00044D46"/>
    <w:rsid w:val="00045088"/>
    <w:rsid w:val="00045904"/>
    <w:rsid w:val="000502FD"/>
    <w:rsid w:val="00054BD6"/>
    <w:rsid w:val="00065166"/>
    <w:rsid w:val="00082609"/>
    <w:rsid w:val="000851CC"/>
    <w:rsid w:val="00087F21"/>
    <w:rsid w:val="00093BE8"/>
    <w:rsid w:val="000A0066"/>
    <w:rsid w:val="000A407B"/>
    <w:rsid w:val="000A6478"/>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B5A58"/>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647A"/>
    <w:rsid w:val="002668D3"/>
    <w:rsid w:val="0027299F"/>
    <w:rsid w:val="00284EBE"/>
    <w:rsid w:val="002903A7"/>
    <w:rsid w:val="0029433F"/>
    <w:rsid w:val="00294829"/>
    <w:rsid w:val="002956E6"/>
    <w:rsid w:val="0029690F"/>
    <w:rsid w:val="00297C8A"/>
    <w:rsid w:val="002A2A60"/>
    <w:rsid w:val="002A37BB"/>
    <w:rsid w:val="002A4B95"/>
    <w:rsid w:val="002B1C45"/>
    <w:rsid w:val="002B7580"/>
    <w:rsid w:val="002C13C8"/>
    <w:rsid w:val="002C2765"/>
    <w:rsid w:val="002C3547"/>
    <w:rsid w:val="002D0021"/>
    <w:rsid w:val="002D299D"/>
    <w:rsid w:val="002D3473"/>
    <w:rsid w:val="002F1956"/>
    <w:rsid w:val="002F3440"/>
    <w:rsid w:val="002F75A3"/>
    <w:rsid w:val="00303C2F"/>
    <w:rsid w:val="003042CB"/>
    <w:rsid w:val="003144EF"/>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52CC"/>
    <w:rsid w:val="00396821"/>
    <w:rsid w:val="0039766A"/>
    <w:rsid w:val="00397D3A"/>
    <w:rsid w:val="003A051E"/>
    <w:rsid w:val="003B170F"/>
    <w:rsid w:val="003B3C5F"/>
    <w:rsid w:val="003C4471"/>
    <w:rsid w:val="003C4CED"/>
    <w:rsid w:val="003D0A6D"/>
    <w:rsid w:val="003E0B16"/>
    <w:rsid w:val="003E67D1"/>
    <w:rsid w:val="004003CF"/>
    <w:rsid w:val="00404329"/>
    <w:rsid w:val="00405DC1"/>
    <w:rsid w:val="0041465D"/>
    <w:rsid w:val="00415F1F"/>
    <w:rsid w:val="00416D2B"/>
    <w:rsid w:val="0042108F"/>
    <w:rsid w:val="00430FED"/>
    <w:rsid w:val="00434A8C"/>
    <w:rsid w:val="00437297"/>
    <w:rsid w:val="00444284"/>
    <w:rsid w:val="00445CE6"/>
    <w:rsid w:val="004534C2"/>
    <w:rsid w:val="0045446F"/>
    <w:rsid w:val="0045683E"/>
    <w:rsid w:val="00456BF6"/>
    <w:rsid w:val="00462AAD"/>
    <w:rsid w:val="00477C72"/>
    <w:rsid w:val="00491675"/>
    <w:rsid w:val="00493855"/>
    <w:rsid w:val="00495E79"/>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5FDF"/>
    <w:rsid w:val="005177FE"/>
    <w:rsid w:val="0052263B"/>
    <w:rsid w:val="00524728"/>
    <w:rsid w:val="00532230"/>
    <w:rsid w:val="005331CA"/>
    <w:rsid w:val="00537970"/>
    <w:rsid w:val="00540E3A"/>
    <w:rsid w:val="005418D5"/>
    <w:rsid w:val="005423E9"/>
    <w:rsid w:val="00542A3A"/>
    <w:rsid w:val="00544127"/>
    <w:rsid w:val="00544FF6"/>
    <w:rsid w:val="0054585A"/>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6DD6"/>
    <w:rsid w:val="005B79F4"/>
    <w:rsid w:val="005C5A6D"/>
    <w:rsid w:val="005D16DD"/>
    <w:rsid w:val="005D43E0"/>
    <w:rsid w:val="005D58A3"/>
    <w:rsid w:val="005E1B79"/>
    <w:rsid w:val="005E6076"/>
    <w:rsid w:val="005E7008"/>
    <w:rsid w:val="005F026D"/>
    <w:rsid w:val="005F2AEA"/>
    <w:rsid w:val="005F2D0B"/>
    <w:rsid w:val="005F4B31"/>
    <w:rsid w:val="005F70C9"/>
    <w:rsid w:val="00600B67"/>
    <w:rsid w:val="006100BA"/>
    <w:rsid w:val="00610388"/>
    <w:rsid w:val="00610AC7"/>
    <w:rsid w:val="00611009"/>
    <w:rsid w:val="00612CA5"/>
    <w:rsid w:val="006153EC"/>
    <w:rsid w:val="00621A17"/>
    <w:rsid w:val="00627CC9"/>
    <w:rsid w:val="00627E7B"/>
    <w:rsid w:val="00630542"/>
    <w:rsid w:val="00632E44"/>
    <w:rsid w:val="00634622"/>
    <w:rsid w:val="0063589B"/>
    <w:rsid w:val="00636808"/>
    <w:rsid w:val="00636D41"/>
    <w:rsid w:val="00641515"/>
    <w:rsid w:val="00654C2F"/>
    <w:rsid w:val="00657087"/>
    <w:rsid w:val="006639DB"/>
    <w:rsid w:val="006661EF"/>
    <w:rsid w:val="00671AF1"/>
    <w:rsid w:val="00677AEB"/>
    <w:rsid w:val="00680EF2"/>
    <w:rsid w:val="00687746"/>
    <w:rsid w:val="00687A1D"/>
    <w:rsid w:val="00690AFA"/>
    <w:rsid w:val="00692909"/>
    <w:rsid w:val="00697EA1"/>
    <w:rsid w:val="006A1BA3"/>
    <w:rsid w:val="006A2646"/>
    <w:rsid w:val="006A5375"/>
    <w:rsid w:val="006A56DF"/>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0104"/>
    <w:rsid w:val="0073158B"/>
    <w:rsid w:val="007333CC"/>
    <w:rsid w:val="0073399A"/>
    <w:rsid w:val="0074088D"/>
    <w:rsid w:val="00740DAD"/>
    <w:rsid w:val="007563AC"/>
    <w:rsid w:val="007603F5"/>
    <w:rsid w:val="00764DB0"/>
    <w:rsid w:val="0076764D"/>
    <w:rsid w:val="0077498C"/>
    <w:rsid w:val="007809BC"/>
    <w:rsid w:val="00784128"/>
    <w:rsid w:val="00787BCC"/>
    <w:rsid w:val="00793173"/>
    <w:rsid w:val="007A2A33"/>
    <w:rsid w:val="007B22CF"/>
    <w:rsid w:val="007B3A5E"/>
    <w:rsid w:val="007B5C89"/>
    <w:rsid w:val="007C1FCC"/>
    <w:rsid w:val="007C6201"/>
    <w:rsid w:val="007D7C92"/>
    <w:rsid w:val="007E1154"/>
    <w:rsid w:val="007E2C2C"/>
    <w:rsid w:val="007E6BA4"/>
    <w:rsid w:val="007F41F8"/>
    <w:rsid w:val="007F659B"/>
    <w:rsid w:val="0080454E"/>
    <w:rsid w:val="00804C32"/>
    <w:rsid w:val="00806302"/>
    <w:rsid w:val="00807119"/>
    <w:rsid w:val="008235B7"/>
    <w:rsid w:val="00823B29"/>
    <w:rsid w:val="0082483F"/>
    <w:rsid w:val="008279C0"/>
    <w:rsid w:val="00854D9B"/>
    <w:rsid w:val="00867701"/>
    <w:rsid w:val="008723F3"/>
    <w:rsid w:val="00876F56"/>
    <w:rsid w:val="00881DE6"/>
    <w:rsid w:val="008837A6"/>
    <w:rsid w:val="0089145D"/>
    <w:rsid w:val="008A4DF2"/>
    <w:rsid w:val="008A6CFE"/>
    <w:rsid w:val="008B5333"/>
    <w:rsid w:val="008B6223"/>
    <w:rsid w:val="008C118F"/>
    <w:rsid w:val="008C3FB9"/>
    <w:rsid w:val="008C66E0"/>
    <w:rsid w:val="008D4D4A"/>
    <w:rsid w:val="008E3339"/>
    <w:rsid w:val="008E52BC"/>
    <w:rsid w:val="008F20FC"/>
    <w:rsid w:val="008F2C4E"/>
    <w:rsid w:val="008F5FFE"/>
    <w:rsid w:val="00905A43"/>
    <w:rsid w:val="00912C79"/>
    <w:rsid w:val="00921B8C"/>
    <w:rsid w:val="00942123"/>
    <w:rsid w:val="0095207B"/>
    <w:rsid w:val="00962045"/>
    <w:rsid w:val="0097581F"/>
    <w:rsid w:val="00980E61"/>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1FF"/>
    <w:rsid w:val="009C2442"/>
    <w:rsid w:val="009D0811"/>
    <w:rsid w:val="009D0EE1"/>
    <w:rsid w:val="009D20B1"/>
    <w:rsid w:val="009D3F45"/>
    <w:rsid w:val="009E2AEB"/>
    <w:rsid w:val="009E2E27"/>
    <w:rsid w:val="009E45DF"/>
    <w:rsid w:val="009E4DE3"/>
    <w:rsid w:val="009F275E"/>
    <w:rsid w:val="00A036F0"/>
    <w:rsid w:val="00A047EE"/>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534"/>
    <w:rsid w:val="00AD4BE8"/>
    <w:rsid w:val="00AF228E"/>
    <w:rsid w:val="00B016A8"/>
    <w:rsid w:val="00B14819"/>
    <w:rsid w:val="00B15E2F"/>
    <w:rsid w:val="00B17AA9"/>
    <w:rsid w:val="00B37C3C"/>
    <w:rsid w:val="00B44713"/>
    <w:rsid w:val="00B51B95"/>
    <w:rsid w:val="00B52AE7"/>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C32E3"/>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5E24"/>
    <w:rsid w:val="00CE6E50"/>
    <w:rsid w:val="00CE705D"/>
    <w:rsid w:val="00CF2819"/>
    <w:rsid w:val="00CF4F9D"/>
    <w:rsid w:val="00CF70DC"/>
    <w:rsid w:val="00D0796B"/>
    <w:rsid w:val="00D14424"/>
    <w:rsid w:val="00D148DC"/>
    <w:rsid w:val="00D17FDC"/>
    <w:rsid w:val="00D21D8C"/>
    <w:rsid w:val="00D3080B"/>
    <w:rsid w:val="00D44902"/>
    <w:rsid w:val="00D45B4F"/>
    <w:rsid w:val="00D53719"/>
    <w:rsid w:val="00D6188D"/>
    <w:rsid w:val="00D63EFD"/>
    <w:rsid w:val="00D74D32"/>
    <w:rsid w:val="00D77F66"/>
    <w:rsid w:val="00D84752"/>
    <w:rsid w:val="00D86B3B"/>
    <w:rsid w:val="00D8748A"/>
    <w:rsid w:val="00D87DB9"/>
    <w:rsid w:val="00D91C49"/>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4FED"/>
    <w:rsid w:val="00E15BA9"/>
    <w:rsid w:val="00E26E19"/>
    <w:rsid w:val="00E31DF3"/>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0BF2-9626-43C0-8586-9197AB49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Dingwall</cp:lastModifiedBy>
  <cp:revision>2</cp:revision>
  <cp:lastPrinted>2019-08-27T05:42:00Z</cp:lastPrinted>
  <dcterms:created xsi:type="dcterms:W3CDTF">2021-07-20T01:12:00Z</dcterms:created>
  <dcterms:modified xsi:type="dcterms:W3CDTF">2021-07-20T01:12:00Z</dcterms:modified>
</cp:coreProperties>
</file>