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664F" w14:textId="77777777" w:rsidR="004B23A2" w:rsidRDefault="0007291B" w:rsidP="00524728">
      <w:pPr>
        <w:jc w:val="center"/>
        <w:rPr>
          <w:rFonts w:ascii="Arial" w:hAnsi="Arial" w:cs="Arial"/>
          <w:b/>
          <w:sz w:val="22"/>
          <w:szCs w:val="22"/>
          <w:lang w:val="en-GB"/>
        </w:rPr>
      </w:pPr>
      <w:bookmarkStart w:id="0" w:name="_GoBack"/>
      <w:bookmarkEnd w:id="0"/>
      <w:r>
        <w:rPr>
          <w:rFonts w:ascii="Arial" w:hAnsi="Arial" w:cs="Arial"/>
          <w:b/>
          <w:noProof/>
          <w:sz w:val="22"/>
          <w:szCs w:val="22"/>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Pr="00187C2E" w:rsidRDefault="00851178" w:rsidP="00BE65AA">
      <w:pPr>
        <w:pStyle w:val="ListParagraph"/>
        <w:numPr>
          <w:ilvl w:val="0"/>
          <w:numId w:val="4"/>
        </w:numPr>
        <w:ind w:left="426"/>
        <w:jc w:val="both"/>
        <w:rPr>
          <w:rFonts w:ascii="Arial" w:hAnsi="Arial" w:cs="Arial"/>
          <w:sz w:val="22"/>
          <w:szCs w:val="22"/>
          <w:lang w:val="en-GB"/>
        </w:rPr>
      </w:pPr>
      <w:r w:rsidRPr="00187C2E">
        <w:rPr>
          <w:rFonts w:ascii="Arial" w:hAnsi="Arial" w:cs="Arial"/>
          <w:sz w:val="22"/>
          <w:szCs w:val="22"/>
          <w:lang w:val="en-GB"/>
        </w:rPr>
        <w:t>To e</w:t>
      </w:r>
      <w:r w:rsidR="002B2F9F" w:rsidRPr="00187C2E">
        <w:rPr>
          <w:rFonts w:ascii="Arial" w:hAnsi="Arial" w:cs="Arial"/>
          <w:sz w:val="22"/>
          <w:szCs w:val="22"/>
          <w:lang w:val="en-GB"/>
        </w:rPr>
        <w:t>stablish a regulatory regime for insolvency practitioners</w:t>
      </w:r>
      <w:r w:rsidR="00E95C42" w:rsidRPr="00187C2E">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187C2E" w:rsidRDefault="002B2F9F" w:rsidP="00BE65AA">
      <w:pPr>
        <w:pStyle w:val="ListParagraph"/>
        <w:numPr>
          <w:ilvl w:val="0"/>
          <w:numId w:val="4"/>
        </w:numPr>
        <w:ind w:left="426"/>
        <w:jc w:val="both"/>
        <w:rPr>
          <w:rFonts w:ascii="Arial" w:hAnsi="Arial" w:cs="Arial"/>
          <w:sz w:val="22"/>
          <w:szCs w:val="22"/>
          <w:highlight w:val="yellow"/>
          <w:lang w:val="en-GB"/>
        </w:rPr>
      </w:pPr>
      <w:r w:rsidRPr="00187C2E">
        <w:rPr>
          <w:rFonts w:ascii="Arial" w:hAnsi="Arial" w:cs="Arial"/>
          <w:sz w:val="22"/>
          <w:szCs w:val="22"/>
          <w:highlight w:val="yellow"/>
          <w:lang w:val="en-GB"/>
        </w:rPr>
        <w:t>Adoption of the UNCITRAL Model Law on Cross-Border Insolvency</w:t>
      </w:r>
      <w:r w:rsidR="00E95C42" w:rsidRPr="00187C2E">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Pr="00187C2E" w:rsidRDefault="0007291B" w:rsidP="00BE65AA">
      <w:pPr>
        <w:pStyle w:val="ListParagraph"/>
        <w:numPr>
          <w:ilvl w:val="0"/>
          <w:numId w:val="5"/>
        </w:numPr>
        <w:ind w:left="426"/>
        <w:jc w:val="both"/>
        <w:rPr>
          <w:rFonts w:ascii="Arial" w:hAnsi="Arial" w:cs="Arial"/>
          <w:sz w:val="22"/>
          <w:szCs w:val="22"/>
          <w:lang w:val="en-GB"/>
        </w:rPr>
      </w:pPr>
      <w:r w:rsidRPr="00187C2E">
        <w:rPr>
          <w:rFonts w:ascii="Arial" w:hAnsi="Arial" w:cs="Arial"/>
          <w:sz w:val="22"/>
          <w:szCs w:val="22"/>
          <w:lang w:val="en-GB"/>
        </w:rPr>
        <w:t>T</w:t>
      </w:r>
      <w:r w:rsidR="00C041E8" w:rsidRPr="00187C2E">
        <w:rPr>
          <w:rFonts w:ascii="Arial" w:hAnsi="Arial" w:cs="Arial"/>
          <w:sz w:val="22"/>
          <w:szCs w:val="22"/>
          <w:lang w:val="en-GB"/>
        </w:rPr>
        <w:t>he liquidator</w:t>
      </w:r>
      <w:r w:rsidRPr="00187C2E">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187C2E" w:rsidRDefault="0007291B" w:rsidP="00BE65AA">
      <w:pPr>
        <w:pStyle w:val="ListParagraph"/>
        <w:numPr>
          <w:ilvl w:val="0"/>
          <w:numId w:val="5"/>
        </w:numPr>
        <w:ind w:left="426"/>
        <w:jc w:val="both"/>
        <w:rPr>
          <w:rFonts w:ascii="Arial" w:hAnsi="Arial" w:cs="Arial"/>
          <w:sz w:val="22"/>
          <w:szCs w:val="22"/>
          <w:highlight w:val="yellow"/>
          <w:lang w:val="en-GB"/>
        </w:rPr>
      </w:pPr>
      <w:r w:rsidRPr="00187C2E">
        <w:rPr>
          <w:rFonts w:ascii="Arial" w:hAnsi="Arial" w:cs="Arial"/>
          <w:sz w:val="22"/>
          <w:szCs w:val="22"/>
          <w:highlight w:val="yellow"/>
          <w:lang w:val="en-GB"/>
        </w:rPr>
        <w:t>A</w:t>
      </w:r>
      <w:r w:rsidR="001A4484" w:rsidRPr="00187C2E">
        <w:rPr>
          <w:rFonts w:ascii="Arial" w:hAnsi="Arial" w:cs="Arial"/>
          <w:sz w:val="22"/>
          <w:szCs w:val="22"/>
          <w:highlight w:val="yellow"/>
          <w:lang w:val="en-GB"/>
        </w:rPr>
        <w:t>ny of the above</w:t>
      </w:r>
      <w:r w:rsidRPr="00187C2E">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0F45B1">
        <w:rPr>
          <w:rFonts w:ascii="Arial" w:hAnsi="Arial" w:cs="Arial"/>
          <w:sz w:val="22"/>
          <w:szCs w:val="22"/>
          <w:highlight w:val="yellow"/>
          <w:lang w:val="en-GB"/>
        </w:rPr>
        <w:t>Any of the above</w:t>
      </w:r>
      <w:r w:rsidR="00EA6F96">
        <w:rPr>
          <w:rFonts w:ascii="Arial" w:hAnsi="Arial" w:cs="Arial"/>
          <w:sz w:val="22"/>
          <w:szCs w:val="22"/>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0F45B1" w:rsidRDefault="0007291B" w:rsidP="00BE65AA">
      <w:pPr>
        <w:pStyle w:val="ListParagraph"/>
        <w:numPr>
          <w:ilvl w:val="0"/>
          <w:numId w:val="7"/>
        </w:numPr>
        <w:ind w:left="426"/>
        <w:jc w:val="both"/>
        <w:rPr>
          <w:rFonts w:ascii="Arial" w:hAnsi="Arial" w:cs="Arial"/>
          <w:sz w:val="22"/>
          <w:szCs w:val="22"/>
          <w:highlight w:val="yellow"/>
          <w:lang w:val="en-GB"/>
        </w:rPr>
      </w:pPr>
      <w:r w:rsidRPr="000F45B1">
        <w:rPr>
          <w:rFonts w:ascii="Arial" w:hAnsi="Arial" w:cs="Arial"/>
          <w:sz w:val="22"/>
          <w:szCs w:val="22"/>
          <w:highlight w:val="yellow"/>
          <w:lang w:val="en-GB"/>
        </w:rPr>
        <w:t xml:space="preserve">75% or more in </w:t>
      </w:r>
      <w:r w:rsidR="00416B96" w:rsidRPr="000F45B1">
        <w:rPr>
          <w:rFonts w:ascii="Arial" w:hAnsi="Arial" w:cs="Arial"/>
          <w:sz w:val="22"/>
          <w:szCs w:val="22"/>
          <w:highlight w:val="yellow"/>
          <w:lang w:val="en-GB"/>
        </w:rPr>
        <w:t>number</w:t>
      </w:r>
      <w:r w:rsidR="00F50041" w:rsidRPr="000F45B1">
        <w:rPr>
          <w:rFonts w:ascii="Arial" w:hAnsi="Arial" w:cs="Arial"/>
          <w:sz w:val="22"/>
          <w:szCs w:val="22"/>
          <w:highlight w:val="yellow"/>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Pr="000F45B1" w:rsidRDefault="00C041E8" w:rsidP="00BE65AA">
      <w:pPr>
        <w:pStyle w:val="ListParagraph"/>
        <w:numPr>
          <w:ilvl w:val="0"/>
          <w:numId w:val="8"/>
        </w:numPr>
        <w:ind w:left="426"/>
        <w:jc w:val="both"/>
        <w:rPr>
          <w:rFonts w:ascii="Arial" w:hAnsi="Arial" w:cs="Arial"/>
          <w:sz w:val="22"/>
          <w:szCs w:val="22"/>
          <w:lang w:val="en-GB"/>
        </w:rPr>
      </w:pPr>
      <w:r w:rsidRPr="000F45B1">
        <w:rPr>
          <w:rFonts w:ascii="Arial" w:hAnsi="Arial" w:cs="Arial"/>
          <w:sz w:val="22"/>
          <w:szCs w:val="22"/>
          <w:lang w:val="en-GB"/>
        </w:rPr>
        <w:t>The automatic moratorium may be extended</w:t>
      </w:r>
      <w:r w:rsidR="003E22E2" w:rsidRPr="000F45B1">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can be obtained without filing an application to Court</w:t>
      </w:r>
      <w:r w:rsidR="003E22E2" w:rsidRPr="003E22E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Pr="000F45B1">
        <w:rPr>
          <w:rFonts w:ascii="Arial" w:hAnsi="Arial" w:cs="Arial"/>
          <w:sz w:val="22"/>
          <w:szCs w:val="22"/>
          <w:highlight w:val="yellow"/>
          <w:lang w:val="en-GB"/>
        </w:rPr>
        <w:t>he debtor has to either propose or intend to propose a scheme of arrangement</w:t>
      </w:r>
      <w:r w:rsidR="003E22E2" w:rsidRPr="000F45B1">
        <w:rPr>
          <w:rFonts w:ascii="Arial" w:hAnsi="Arial" w:cs="Arial"/>
          <w:sz w:val="22"/>
          <w:szCs w:val="22"/>
          <w:highlight w:val="yellow"/>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9F3B9D" w:rsidRDefault="00A92054" w:rsidP="00BE65AA">
      <w:pPr>
        <w:pStyle w:val="ListParagraph"/>
        <w:numPr>
          <w:ilvl w:val="0"/>
          <w:numId w:val="9"/>
        </w:numPr>
        <w:ind w:left="426"/>
        <w:jc w:val="both"/>
        <w:rPr>
          <w:rFonts w:ascii="Arial" w:hAnsi="Arial" w:cs="Arial"/>
          <w:sz w:val="22"/>
          <w:szCs w:val="22"/>
          <w:highlight w:val="yellow"/>
          <w:lang w:val="en-GB"/>
        </w:rPr>
      </w:pPr>
      <w:r w:rsidRPr="009F3B9D">
        <w:rPr>
          <w:rFonts w:ascii="Arial" w:hAnsi="Arial" w:cs="Arial"/>
          <w:sz w:val="22"/>
          <w:szCs w:val="22"/>
          <w:highlight w:val="yellow"/>
          <w:lang w:val="en-GB"/>
        </w:rPr>
        <w:t>A receiver is appointed over the assets of the company</w:t>
      </w:r>
      <w:r w:rsidR="00B50EA0" w:rsidRPr="009F3B9D">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6B03A4" w:rsidRDefault="0007291B" w:rsidP="00BE65AA">
      <w:pPr>
        <w:pStyle w:val="ListParagraph"/>
        <w:numPr>
          <w:ilvl w:val="0"/>
          <w:numId w:val="10"/>
        </w:numPr>
        <w:ind w:left="426"/>
        <w:jc w:val="both"/>
        <w:rPr>
          <w:rFonts w:ascii="Arial" w:hAnsi="Arial" w:cs="Arial"/>
          <w:sz w:val="22"/>
          <w:szCs w:val="22"/>
          <w:highlight w:val="yellow"/>
          <w:lang w:val="en-GB"/>
        </w:rPr>
      </w:pPr>
      <w:r w:rsidRPr="006B03A4">
        <w:rPr>
          <w:rFonts w:ascii="Arial" w:hAnsi="Arial" w:cs="Arial"/>
          <w:sz w:val="22"/>
          <w:szCs w:val="22"/>
          <w:highlight w:val="yellow"/>
          <w:lang w:val="en-GB"/>
        </w:rPr>
        <w:t>P</w:t>
      </w:r>
      <w:r w:rsidR="001A4484" w:rsidRPr="006B03A4">
        <w:rPr>
          <w:rFonts w:ascii="Arial" w:hAnsi="Arial" w:cs="Arial"/>
          <w:sz w:val="22"/>
          <w:szCs w:val="22"/>
          <w:highlight w:val="yellow"/>
          <w:lang w:val="en-GB"/>
        </w:rPr>
        <w:t>reserving all or part of the company</w:t>
      </w:r>
      <w:r w:rsidR="004D7749" w:rsidRPr="006B03A4">
        <w:rPr>
          <w:rFonts w:ascii="Arial" w:hAnsi="Arial" w:cs="Arial"/>
          <w:sz w:val="22"/>
          <w:szCs w:val="22"/>
          <w:highlight w:val="yellow"/>
          <w:lang w:val="en-GB"/>
        </w:rPr>
        <w:t>’</w:t>
      </w:r>
      <w:r w:rsidR="001A4484" w:rsidRPr="006B03A4">
        <w:rPr>
          <w:rFonts w:ascii="Arial" w:hAnsi="Arial" w:cs="Arial"/>
          <w:sz w:val="22"/>
          <w:szCs w:val="22"/>
          <w:highlight w:val="yellow"/>
          <w:lang w:val="en-GB"/>
        </w:rPr>
        <w:t>s business as a going concern</w:t>
      </w:r>
      <w:r w:rsidRPr="006B03A4">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Pr="006B03A4" w:rsidRDefault="006F2457" w:rsidP="00BE65AA">
      <w:pPr>
        <w:pStyle w:val="ListParagraph"/>
        <w:numPr>
          <w:ilvl w:val="0"/>
          <w:numId w:val="11"/>
        </w:numPr>
        <w:ind w:left="426"/>
        <w:jc w:val="both"/>
        <w:rPr>
          <w:rFonts w:ascii="Arial" w:hAnsi="Arial" w:cs="Arial"/>
          <w:sz w:val="22"/>
          <w:szCs w:val="22"/>
          <w:lang w:val="en-GB"/>
        </w:rPr>
      </w:pPr>
      <w:r w:rsidRPr="006B03A4">
        <w:rPr>
          <w:rFonts w:ascii="Arial" w:hAnsi="Arial" w:cs="Arial"/>
          <w:sz w:val="22"/>
          <w:szCs w:val="22"/>
          <w:lang w:val="en-GB"/>
        </w:rPr>
        <w:t>Informal creditor workouts</w:t>
      </w:r>
      <w:r w:rsidR="000C2AB6" w:rsidRPr="006B03A4">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6B03A4" w:rsidRDefault="006F2457" w:rsidP="00BE65AA">
      <w:pPr>
        <w:pStyle w:val="ListParagraph"/>
        <w:numPr>
          <w:ilvl w:val="0"/>
          <w:numId w:val="11"/>
        </w:numPr>
        <w:ind w:left="426"/>
        <w:jc w:val="both"/>
        <w:rPr>
          <w:rFonts w:ascii="Arial" w:hAnsi="Arial" w:cs="Arial"/>
          <w:sz w:val="22"/>
          <w:szCs w:val="22"/>
          <w:highlight w:val="yellow"/>
          <w:lang w:val="en-GB"/>
        </w:rPr>
      </w:pPr>
      <w:r w:rsidRPr="006B03A4">
        <w:rPr>
          <w:rFonts w:ascii="Arial" w:hAnsi="Arial" w:cs="Arial"/>
          <w:sz w:val="22"/>
          <w:szCs w:val="22"/>
          <w:highlight w:val="yellow"/>
          <w:lang w:val="en-GB"/>
        </w:rPr>
        <w:t>Receivership</w:t>
      </w:r>
      <w:r w:rsidR="000C2AB6" w:rsidRPr="006B03A4">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6B03A4" w:rsidRDefault="00C041E8" w:rsidP="00BE65AA">
      <w:pPr>
        <w:pStyle w:val="ListParagraph"/>
        <w:numPr>
          <w:ilvl w:val="0"/>
          <w:numId w:val="12"/>
        </w:numPr>
        <w:ind w:left="426"/>
        <w:jc w:val="both"/>
        <w:rPr>
          <w:rFonts w:ascii="Arial" w:hAnsi="Arial" w:cs="Arial"/>
          <w:sz w:val="22"/>
          <w:szCs w:val="22"/>
          <w:highlight w:val="yellow"/>
          <w:lang w:val="en-GB"/>
        </w:rPr>
      </w:pPr>
      <w:r w:rsidRPr="006B03A4">
        <w:rPr>
          <w:rFonts w:ascii="Arial" w:hAnsi="Arial" w:cs="Arial"/>
          <w:sz w:val="22"/>
          <w:szCs w:val="22"/>
          <w:highlight w:val="yellow"/>
          <w:lang w:val="en-GB"/>
        </w:rPr>
        <w:t>Brunei</w:t>
      </w:r>
      <w:r w:rsidR="00361BAA" w:rsidRPr="006B03A4">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6B03A4" w:rsidRDefault="0007291B" w:rsidP="00BE65AA">
      <w:pPr>
        <w:pStyle w:val="ListParagraph"/>
        <w:numPr>
          <w:ilvl w:val="0"/>
          <w:numId w:val="13"/>
        </w:numPr>
        <w:ind w:left="426"/>
        <w:jc w:val="both"/>
        <w:rPr>
          <w:rFonts w:ascii="Arial" w:hAnsi="Arial" w:cs="Arial"/>
          <w:sz w:val="22"/>
          <w:szCs w:val="22"/>
          <w:highlight w:val="yellow"/>
          <w:lang w:val="en-GB"/>
        </w:rPr>
      </w:pPr>
      <w:r w:rsidRPr="006B03A4">
        <w:rPr>
          <w:rFonts w:ascii="Arial" w:hAnsi="Arial" w:cs="Arial"/>
          <w:sz w:val="22"/>
          <w:szCs w:val="22"/>
          <w:highlight w:val="yellow"/>
          <w:lang w:val="en-GB"/>
        </w:rPr>
        <w:t xml:space="preserve">The Court held that the omission of the word </w:t>
      </w:r>
      <w:r w:rsidR="004D7749" w:rsidRPr="006B03A4">
        <w:rPr>
          <w:rFonts w:ascii="Arial" w:hAnsi="Arial" w:cs="Arial"/>
          <w:sz w:val="22"/>
          <w:szCs w:val="22"/>
          <w:highlight w:val="yellow"/>
          <w:lang w:val="en-GB"/>
        </w:rPr>
        <w:t>“</w:t>
      </w:r>
      <w:r w:rsidRPr="006B03A4">
        <w:rPr>
          <w:rFonts w:ascii="Arial" w:hAnsi="Arial" w:cs="Arial"/>
          <w:sz w:val="22"/>
          <w:szCs w:val="22"/>
          <w:highlight w:val="yellow"/>
          <w:lang w:val="en-GB"/>
        </w:rPr>
        <w:t>manifestly</w:t>
      </w:r>
      <w:r w:rsidR="004D7749" w:rsidRPr="006B03A4">
        <w:rPr>
          <w:rFonts w:ascii="Arial" w:hAnsi="Arial" w:cs="Arial"/>
          <w:sz w:val="22"/>
          <w:szCs w:val="22"/>
          <w:highlight w:val="yellow"/>
          <w:lang w:val="en-GB"/>
        </w:rPr>
        <w:t>”</w:t>
      </w:r>
      <w:r w:rsidRPr="006B03A4">
        <w:rPr>
          <w:rFonts w:ascii="Arial" w:hAnsi="Arial" w:cs="Arial"/>
          <w:sz w:val="22"/>
          <w:szCs w:val="22"/>
          <w:highlight w:val="yellow"/>
          <w:lang w:val="en-GB"/>
        </w:rPr>
        <w:t xml:space="preserve"> from Article 6 of the Singapore Model Law meant that the standard of exclusion on public policy grounds was </w:t>
      </w:r>
      <w:r w:rsidR="00416B96" w:rsidRPr="006B03A4">
        <w:rPr>
          <w:rFonts w:ascii="Arial" w:hAnsi="Arial" w:cs="Arial"/>
          <w:sz w:val="22"/>
          <w:szCs w:val="22"/>
          <w:highlight w:val="yellow"/>
          <w:lang w:val="en-GB"/>
        </w:rPr>
        <w:t>higher</w:t>
      </w:r>
      <w:r w:rsidRPr="006B03A4">
        <w:rPr>
          <w:rFonts w:ascii="Arial" w:hAnsi="Arial" w:cs="Arial"/>
          <w:sz w:val="22"/>
          <w:szCs w:val="22"/>
          <w:highlight w:val="yellow"/>
          <w:lang w:val="en-GB"/>
        </w:rPr>
        <w:t xml:space="preserve"> than in jurisdictions where the Model Law had been enacted unmodified</w:t>
      </w:r>
      <w:r w:rsidR="00726B93" w:rsidRPr="006B03A4">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7E0A400D" w14:textId="37CAE75E" w:rsidR="006B03A4" w:rsidRDefault="0007291B" w:rsidP="006B03A4">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B03A4">
        <w:rPr>
          <w:rFonts w:ascii="Arial" w:hAnsi="Arial" w:cs="Arial"/>
          <w:color w:val="7B7B7B" w:themeColor="accent3" w:themeShade="BF"/>
          <w:sz w:val="22"/>
          <w:szCs w:val="22"/>
          <w:lang w:val="en-GB"/>
        </w:rPr>
        <w:t>As per the Singapore Insolvency law, for an unfair preference transaction, the liquidator must show four elements:</w:t>
      </w:r>
    </w:p>
    <w:p w14:paraId="7E1AC987" w14:textId="77777777" w:rsidR="006E73C9" w:rsidRDefault="006E73C9" w:rsidP="006B03A4">
      <w:pPr>
        <w:jc w:val="both"/>
        <w:rPr>
          <w:rFonts w:ascii="Arial" w:hAnsi="Arial" w:cs="Arial"/>
          <w:color w:val="7B7B7B" w:themeColor="accent3" w:themeShade="BF"/>
          <w:sz w:val="22"/>
          <w:szCs w:val="22"/>
          <w:lang w:val="en-GB"/>
        </w:rPr>
      </w:pPr>
    </w:p>
    <w:p w14:paraId="2B838E61" w14:textId="77777777" w:rsidR="006B03A4" w:rsidRPr="006B03A4" w:rsidRDefault="006B03A4" w:rsidP="006B03A4">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preferred party (the beneficiary of the transaction) is a creditor or guarantor for any of the company’s debts or liabilities;</w:t>
      </w:r>
    </w:p>
    <w:p w14:paraId="1535CC0B" w14:textId="77777777" w:rsidR="006E73C9" w:rsidRPr="006E73C9" w:rsidRDefault="006B03A4" w:rsidP="006B03A4">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company was insolvent </w:t>
      </w:r>
      <w:r w:rsidR="006E73C9">
        <w:rPr>
          <w:rFonts w:ascii="Arial" w:hAnsi="Arial" w:cs="Arial"/>
          <w:color w:val="7B7B7B" w:themeColor="accent3" w:themeShade="BF"/>
          <w:sz w:val="22"/>
          <w:szCs w:val="22"/>
          <w:lang w:val="en-GB"/>
        </w:rPr>
        <w:t>(or become insolvent as a consequence of the transaction) at the time of giving the preference;</w:t>
      </w:r>
    </w:p>
    <w:p w14:paraId="48ECEC6A" w14:textId="77777777" w:rsidR="006E73C9" w:rsidRPr="006E73C9" w:rsidRDefault="006E73C9" w:rsidP="006B03A4">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company has done anything which puts the preferred party in a better position than the preferred party would otherwise have been had the transaction not been entered in the event of the company’s liquidation;</w:t>
      </w:r>
    </w:p>
    <w:p w14:paraId="00F41214" w14:textId="77777777" w:rsidR="006E73C9" w:rsidRPr="006E73C9" w:rsidRDefault="006E73C9" w:rsidP="006B03A4">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company was influenced in deciding to enter the transaction by a desire to prefer the preferred party, noting that the company is presumed to have been influenced by a desire to prefer if the preferred party is an associate of the company</w:t>
      </w:r>
    </w:p>
    <w:p w14:paraId="43CA4029" w14:textId="77777777" w:rsidR="006E73C9" w:rsidRDefault="006E73C9" w:rsidP="006E73C9">
      <w:pPr>
        <w:ind w:left="360"/>
        <w:jc w:val="both"/>
        <w:rPr>
          <w:rFonts w:ascii="Arial" w:hAnsi="Arial" w:cs="Arial"/>
          <w:color w:val="7B7B7B" w:themeColor="accent3" w:themeShade="BF"/>
          <w:sz w:val="22"/>
          <w:szCs w:val="22"/>
          <w:lang w:val="en-GB"/>
        </w:rPr>
      </w:pPr>
    </w:p>
    <w:p w14:paraId="08BF0E5C" w14:textId="66153BBA" w:rsidR="006E73C9" w:rsidRDefault="006E73C9" w:rsidP="006E73C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transaction at an undervalue, the liquidator must show two elements:</w:t>
      </w:r>
    </w:p>
    <w:p w14:paraId="57A14B40" w14:textId="77777777" w:rsidR="006E73C9" w:rsidRDefault="006E73C9" w:rsidP="006E73C9">
      <w:pPr>
        <w:ind w:left="360"/>
        <w:jc w:val="both"/>
        <w:rPr>
          <w:rFonts w:ascii="Arial" w:hAnsi="Arial" w:cs="Arial"/>
          <w:color w:val="7B7B7B" w:themeColor="accent3" w:themeShade="BF"/>
          <w:sz w:val="22"/>
          <w:szCs w:val="22"/>
          <w:lang w:val="en-GB"/>
        </w:rPr>
      </w:pPr>
    </w:p>
    <w:p w14:paraId="06E1A887" w14:textId="77777777" w:rsidR="006E73C9" w:rsidRPr="006E73C9" w:rsidRDefault="006E73C9" w:rsidP="006E73C9">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The company makes a gift to the recipient or the company enters into a transaction where the value of consideration received is significantly less than the value of the consideration provided;</w:t>
      </w:r>
    </w:p>
    <w:p w14:paraId="66FA86E0" w14:textId="77777777" w:rsidR="006E73C9" w:rsidRPr="006E73C9" w:rsidRDefault="006E73C9" w:rsidP="006E73C9">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The company was or became insolvent as a result of that transaction</w:t>
      </w:r>
    </w:p>
    <w:p w14:paraId="2CDE20FE" w14:textId="77777777" w:rsidR="006E73C9" w:rsidRDefault="006E73C9" w:rsidP="006E73C9">
      <w:pPr>
        <w:ind w:left="360"/>
        <w:jc w:val="both"/>
        <w:rPr>
          <w:rFonts w:ascii="Arial" w:hAnsi="Arial" w:cs="Arial"/>
          <w:color w:val="7B7B7B" w:themeColor="accent3" w:themeShade="BF"/>
          <w:sz w:val="22"/>
          <w:szCs w:val="22"/>
          <w:lang w:val="en-GB"/>
        </w:rPr>
      </w:pPr>
    </w:p>
    <w:p w14:paraId="10DE31D8" w14:textId="77777777" w:rsidR="006E73C9" w:rsidRDefault="006E73C9" w:rsidP="006E73C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Defence in both the cases is pretty much factual. In case of a preferred transaction, it is always advisable to prove that no preferential treatment was given to the party and rather the transaction was pure business transaction arising out of commercial needs.</w:t>
      </w:r>
    </w:p>
    <w:p w14:paraId="0C6A2E49" w14:textId="77777777" w:rsidR="006E73C9" w:rsidRDefault="006E73C9" w:rsidP="006E73C9">
      <w:pPr>
        <w:ind w:left="360"/>
        <w:jc w:val="both"/>
        <w:rPr>
          <w:rFonts w:ascii="Arial" w:hAnsi="Arial" w:cs="Arial"/>
          <w:color w:val="7B7B7B" w:themeColor="accent3" w:themeShade="BF"/>
          <w:sz w:val="22"/>
          <w:szCs w:val="22"/>
          <w:lang w:val="en-GB"/>
        </w:rPr>
      </w:pPr>
    </w:p>
    <w:p w14:paraId="5EAEA6D7" w14:textId="77777777" w:rsidR="00473100" w:rsidRDefault="006E73C9" w:rsidP="006E73C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in case of undervalue transaction, it needs to be proved </w:t>
      </w:r>
      <w:r w:rsidR="00473100">
        <w:rPr>
          <w:rFonts w:ascii="Arial" w:hAnsi="Arial" w:cs="Arial"/>
          <w:color w:val="7B7B7B" w:themeColor="accent3" w:themeShade="BF"/>
          <w:sz w:val="22"/>
          <w:szCs w:val="22"/>
          <w:lang w:val="en-GB"/>
        </w:rPr>
        <w:t>that the transaction entered was a pure business transaction wherein the price was determined by the market forces and not the inter se relation between the parties.</w:t>
      </w:r>
    </w:p>
    <w:p w14:paraId="01502978" w14:textId="77777777" w:rsidR="00473100" w:rsidRDefault="00473100" w:rsidP="006E73C9">
      <w:pPr>
        <w:ind w:left="360"/>
        <w:jc w:val="both"/>
        <w:rPr>
          <w:rFonts w:ascii="Arial" w:hAnsi="Arial" w:cs="Arial"/>
          <w:color w:val="7B7B7B" w:themeColor="accent3" w:themeShade="BF"/>
          <w:sz w:val="22"/>
          <w:szCs w:val="22"/>
          <w:lang w:val="en-GB"/>
        </w:rPr>
      </w:pPr>
    </w:p>
    <w:p w14:paraId="5CB59DF4" w14:textId="5004972D" w:rsidR="009B07AD" w:rsidRPr="006E73C9" w:rsidRDefault="00473100" w:rsidP="006E73C9">
      <w:pPr>
        <w:ind w:left="360"/>
        <w:jc w:val="both"/>
        <w:rPr>
          <w:rFonts w:ascii="Arial" w:hAnsi="Arial" w:cs="Arial"/>
          <w:sz w:val="22"/>
          <w:szCs w:val="22"/>
          <w:lang w:val="en-GB"/>
        </w:rPr>
      </w:pPr>
      <w:r>
        <w:rPr>
          <w:rFonts w:ascii="Arial" w:hAnsi="Arial" w:cs="Arial"/>
          <w:color w:val="7B7B7B" w:themeColor="accent3" w:themeShade="BF"/>
          <w:sz w:val="22"/>
          <w:szCs w:val="22"/>
          <w:lang w:val="en-GB"/>
        </w:rPr>
        <w:t>It is also a defence to prove that the transactions were not instrumental in bringing insolvency or the entity was not declared insolvent at the time of entering into the transaction.</w:t>
      </w:r>
      <w:r w:rsidR="0007291B" w:rsidRPr="006E73C9">
        <w:rPr>
          <w:rFonts w:ascii="Arial" w:hAnsi="Arial" w:cs="Arial"/>
          <w:color w:val="7B7B7B" w:themeColor="accent3" w:themeShade="BF"/>
          <w:sz w:val="22"/>
          <w:szCs w:val="22"/>
          <w:lang w:val="en-GB"/>
        </w:rPr>
        <w:t>]</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424124C7" w14:textId="7CFB79CC" w:rsidR="00BB456F" w:rsidRDefault="00053029" w:rsidP="00BB456F">
      <w:pPr>
        <w:ind w:left="90" w:hanging="9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BB456F">
        <w:rPr>
          <w:rFonts w:ascii="Arial" w:hAnsi="Arial" w:cs="Arial"/>
          <w:color w:val="7B7B7B" w:themeColor="accent3" w:themeShade="BF"/>
          <w:sz w:val="22"/>
          <w:szCs w:val="22"/>
        </w:rPr>
        <w:t>The JIN (Judicial Insolvency Network) held its inaugural conference in Singapore on 10 and 11 October, 2016 which concluded with the issuance of a set of guidelines titled “Guidelines for Communication and Cooperation between Courts in Cross-Border Insolvency Matters” also known as the JIN Guidelines.</w:t>
      </w:r>
    </w:p>
    <w:p w14:paraId="19C711B0" w14:textId="77777777" w:rsidR="00BB456F" w:rsidRDefault="00BB456F" w:rsidP="00BB456F">
      <w:pPr>
        <w:ind w:left="90" w:hanging="90"/>
        <w:jc w:val="both"/>
        <w:rPr>
          <w:rFonts w:ascii="Arial" w:hAnsi="Arial" w:cs="Arial"/>
          <w:color w:val="7B7B7B" w:themeColor="accent3" w:themeShade="BF"/>
          <w:sz w:val="22"/>
          <w:szCs w:val="22"/>
        </w:rPr>
      </w:pPr>
    </w:p>
    <w:p w14:paraId="63EBEC0C" w14:textId="662205B0" w:rsidR="009B07AD" w:rsidRPr="002A37BB" w:rsidRDefault="00BB456F" w:rsidP="00BB456F">
      <w:pPr>
        <w:ind w:left="90" w:hanging="90"/>
        <w:jc w:val="both"/>
        <w:rPr>
          <w:rFonts w:ascii="Arial" w:hAnsi="Arial" w:cs="Arial"/>
          <w:sz w:val="22"/>
          <w:szCs w:val="22"/>
        </w:rPr>
      </w:pPr>
      <w:r>
        <w:rPr>
          <w:rFonts w:ascii="Arial" w:hAnsi="Arial" w:cs="Arial"/>
          <w:color w:val="7B7B7B" w:themeColor="accent3" w:themeShade="BF"/>
          <w:sz w:val="22"/>
          <w:szCs w:val="22"/>
        </w:rPr>
        <w:t>The JIN Guidelines address 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r w:rsidR="0007291B" w:rsidRPr="002A37BB">
        <w:rPr>
          <w:rFonts w:ascii="Arial" w:hAnsi="Arial" w:cs="Arial"/>
          <w:color w:val="7B7B7B" w:themeColor="accent3" w:themeShade="BF"/>
          <w:sz w:val="22"/>
          <w:szCs w:val="22"/>
        </w:rPr>
        <w:t>]</w:t>
      </w:r>
    </w:p>
    <w:p w14:paraId="6CCB7F31" w14:textId="5F1F218F"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59945EBB" w14:textId="59F15183" w:rsidR="0050712F" w:rsidRDefault="008C1D2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50712F">
        <w:rPr>
          <w:rFonts w:ascii="Arial" w:hAnsi="Arial" w:cs="Arial"/>
          <w:color w:val="7B7B7B" w:themeColor="accent3" w:themeShade="BF"/>
          <w:sz w:val="22"/>
          <w:szCs w:val="22"/>
          <w:lang w:val="en-GB"/>
        </w:rPr>
        <w:t>(i) The Court may annul a bankruptcy if:</w:t>
      </w:r>
    </w:p>
    <w:p w14:paraId="63EE1C09" w14:textId="77777777" w:rsidR="0050712F" w:rsidRDefault="0050712F" w:rsidP="002A37BB">
      <w:pPr>
        <w:ind w:left="720" w:hanging="720"/>
        <w:jc w:val="both"/>
        <w:rPr>
          <w:rFonts w:ascii="Arial" w:hAnsi="Arial" w:cs="Arial"/>
          <w:color w:val="7B7B7B" w:themeColor="accent3" w:themeShade="BF"/>
          <w:sz w:val="22"/>
          <w:szCs w:val="22"/>
          <w:lang w:val="en-GB"/>
        </w:rPr>
      </w:pPr>
    </w:p>
    <w:p w14:paraId="2D7A8821" w14:textId="77777777" w:rsidR="0050712F" w:rsidRPr="0050712F" w:rsidRDefault="0050712F" w:rsidP="0050712F">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the order ought not to have been made on grounds existing at the time;</w:t>
      </w:r>
    </w:p>
    <w:p w14:paraId="7829A789" w14:textId="77777777" w:rsidR="0050712F" w:rsidRPr="0050712F" w:rsidRDefault="0050712F" w:rsidP="0050712F">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debts and expenses of the bankruptcy have been paid or secured to the satisfaction of the Court;</w:t>
      </w:r>
    </w:p>
    <w:p w14:paraId="646305F2" w14:textId="77777777" w:rsidR="0050712F" w:rsidRPr="0050712F" w:rsidRDefault="0050712F" w:rsidP="0050712F">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distribution of the estate will take place in Malaysia or the majority of creditors are residents in Malaysia and the distribution ought to happen there.</w:t>
      </w:r>
    </w:p>
    <w:p w14:paraId="78BB0AD7" w14:textId="77777777" w:rsidR="0050712F" w:rsidRDefault="0050712F" w:rsidP="0050712F">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to annul must be made within 12 months of the bankruptcy order being made, unless leave is given for the application to be made later.</w:t>
      </w:r>
    </w:p>
    <w:p w14:paraId="4DF974BF" w14:textId="77777777" w:rsidR="0050712F" w:rsidRDefault="0050712F" w:rsidP="0050712F">
      <w:pPr>
        <w:ind w:left="360"/>
        <w:jc w:val="both"/>
        <w:rPr>
          <w:rFonts w:ascii="Arial" w:hAnsi="Arial" w:cs="Arial"/>
          <w:color w:val="7B7B7B" w:themeColor="accent3" w:themeShade="BF"/>
          <w:sz w:val="22"/>
          <w:szCs w:val="22"/>
          <w:lang w:val="en-GB"/>
        </w:rPr>
      </w:pPr>
    </w:p>
    <w:p w14:paraId="0492873C" w14:textId="77777777" w:rsidR="00A52215" w:rsidRDefault="0050712F" w:rsidP="005071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A52215">
        <w:rPr>
          <w:rFonts w:ascii="Arial" w:hAnsi="Arial" w:cs="Arial"/>
          <w:color w:val="7B7B7B" w:themeColor="accent3" w:themeShade="BF"/>
          <w:sz w:val="22"/>
          <w:szCs w:val="22"/>
          <w:lang w:val="en-GB"/>
        </w:rPr>
        <w:t>The bankrupt may apply to the Court for an order of discharge any time after the bankruptcy order is made. An application must be served on each creditor who has filed a proof of debt in the bankruptcy and the Court will hear any creditor before making an order for discharge. Upon application the Court may:</w:t>
      </w:r>
    </w:p>
    <w:p w14:paraId="73C14779" w14:textId="77777777" w:rsidR="00A52215" w:rsidRPr="00A52215" w:rsidRDefault="00A52215" w:rsidP="00A52215">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refuse to discharge;</w:t>
      </w:r>
    </w:p>
    <w:p w14:paraId="27B4CA11" w14:textId="77777777" w:rsidR="00A52215" w:rsidRPr="00A52215" w:rsidRDefault="00A52215" w:rsidP="00A52215">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make an order discharging the bankruptcy absolutely;</w:t>
      </w:r>
    </w:p>
    <w:p w14:paraId="4AF7625F" w14:textId="114BB053" w:rsidR="00C72848" w:rsidRPr="00A52215" w:rsidRDefault="00A52215" w:rsidP="00A52215">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make an order discharging on conditions as it thinks fit, including conditions with respect to future income or property.</w:t>
      </w:r>
      <w:r w:rsidR="0007291B" w:rsidRPr="00A52215">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2D59D9EF" w14:textId="77777777" w:rsidR="009E691D" w:rsidRPr="006D45F3" w:rsidRDefault="00F600B2" w:rsidP="002A37BB">
      <w:pPr>
        <w:jc w:val="both"/>
        <w:rPr>
          <w:rFonts w:ascii="Arial" w:hAnsi="Arial" w:cs="Arial"/>
          <w:b/>
          <w:color w:val="7B7B7B" w:themeColor="accent3" w:themeShade="BF"/>
          <w:sz w:val="22"/>
          <w:szCs w:val="22"/>
          <w:lang w:val="en-GB"/>
        </w:rPr>
      </w:pPr>
      <w:r>
        <w:rPr>
          <w:rFonts w:ascii="Arial" w:hAnsi="Arial" w:cs="Arial"/>
          <w:color w:val="7B7B7B" w:themeColor="accent3" w:themeShade="BF"/>
          <w:sz w:val="22"/>
          <w:szCs w:val="22"/>
          <w:lang w:val="en-GB"/>
        </w:rPr>
        <w:t>[</w:t>
      </w:r>
      <w:r w:rsidR="009E691D">
        <w:rPr>
          <w:rFonts w:ascii="Arial" w:hAnsi="Arial" w:cs="Arial"/>
          <w:color w:val="7B7B7B" w:themeColor="accent3" w:themeShade="BF"/>
          <w:sz w:val="22"/>
          <w:szCs w:val="22"/>
          <w:lang w:val="en-GB"/>
        </w:rPr>
        <w:t xml:space="preserve">(i) </w:t>
      </w:r>
      <w:r w:rsidR="009E691D" w:rsidRPr="006D45F3">
        <w:rPr>
          <w:rFonts w:ascii="Arial" w:hAnsi="Arial" w:cs="Arial"/>
          <w:b/>
          <w:color w:val="7B7B7B" w:themeColor="accent3" w:themeShade="BF"/>
          <w:sz w:val="22"/>
          <w:szCs w:val="22"/>
          <w:lang w:val="en-GB"/>
        </w:rPr>
        <w:t>Restrictions on ipso facto clauses:</w:t>
      </w:r>
    </w:p>
    <w:p w14:paraId="574D5873" w14:textId="77777777" w:rsidR="006D45F3" w:rsidRDefault="006D45F3" w:rsidP="009E691D">
      <w:pPr>
        <w:ind w:left="370"/>
        <w:jc w:val="both"/>
        <w:rPr>
          <w:rFonts w:ascii="Arial" w:hAnsi="Arial" w:cs="Arial"/>
          <w:color w:val="7B7B7B" w:themeColor="accent3" w:themeShade="BF"/>
          <w:sz w:val="22"/>
          <w:szCs w:val="22"/>
          <w:lang w:val="en-GB"/>
        </w:rPr>
      </w:pPr>
    </w:p>
    <w:p w14:paraId="44528672" w14:textId="0D5AA503" w:rsidR="009E691D" w:rsidRDefault="009E691D" w:rsidP="009E691D">
      <w:pPr>
        <w:ind w:left="3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440 (Certain contractual rights limited) of the IRD Act 2018, there is a new    provision that limits the exercise of certain contractual rights by reason only that certain proceedings in respect of a company have commenced, or that the company is insolvent. This does not prevent those contractual rights from being exercised by reason of other grounds provided in the contract, such as non-payment of money owed by the company. </w:t>
      </w:r>
    </w:p>
    <w:p w14:paraId="697913D1" w14:textId="77777777" w:rsidR="006D45F3" w:rsidRDefault="006D45F3" w:rsidP="009E691D">
      <w:pPr>
        <w:ind w:left="370"/>
        <w:jc w:val="both"/>
        <w:rPr>
          <w:rFonts w:ascii="Arial" w:hAnsi="Arial" w:cs="Arial"/>
          <w:color w:val="7B7B7B" w:themeColor="accent3" w:themeShade="BF"/>
          <w:sz w:val="22"/>
          <w:szCs w:val="22"/>
          <w:lang w:val="en-GB"/>
        </w:rPr>
      </w:pPr>
    </w:p>
    <w:p w14:paraId="7115755E" w14:textId="7C181E62" w:rsidR="009E691D" w:rsidRDefault="009E691D" w:rsidP="009E691D">
      <w:pPr>
        <w:ind w:left="3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means it may no longer be possible to rely on ipso facto clauses to terminate a contract with an insolvent company. It may also allow companies to continue key contracts and provide a measure of relief in restructuring efforts.</w:t>
      </w:r>
    </w:p>
    <w:p w14:paraId="44FD9867" w14:textId="77777777" w:rsidR="009E691D" w:rsidRDefault="009E691D" w:rsidP="009E691D">
      <w:pPr>
        <w:ind w:left="370"/>
        <w:jc w:val="both"/>
        <w:rPr>
          <w:rFonts w:ascii="Arial" w:hAnsi="Arial" w:cs="Arial"/>
          <w:color w:val="7B7B7B" w:themeColor="accent3" w:themeShade="BF"/>
          <w:sz w:val="22"/>
          <w:szCs w:val="22"/>
          <w:lang w:val="en-GB"/>
        </w:rPr>
      </w:pPr>
    </w:p>
    <w:p w14:paraId="0B99A20D" w14:textId="77777777" w:rsidR="009E691D" w:rsidRDefault="009E691D" w:rsidP="009E691D">
      <w:pPr>
        <w:ind w:left="3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440(5) however sets out a list of contracts that are excluded from the exception. These include:</w:t>
      </w:r>
    </w:p>
    <w:p w14:paraId="1D81847D" w14:textId="77777777" w:rsidR="009E691D" w:rsidRPr="009E691D" w:rsidRDefault="009E691D"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t>any eligible financial contract as may be prescribed;</w:t>
      </w:r>
    </w:p>
    <w:p w14:paraId="4EEFF561" w14:textId="77777777" w:rsidR="009E691D" w:rsidRPr="009E691D" w:rsidRDefault="009E691D"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t>any contract that is a licence, permit or approval issued by the Government or statutory body;</w:t>
      </w:r>
    </w:p>
    <w:p w14:paraId="59A1E9D4" w14:textId="77777777" w:rsidR="006D45F3" w:rsidRPr="006D45F3" w:rsidRDefault="008A11CA"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t>any contract that is likely to affect the</w:t>
      </w:r>
      <w:r w:rsidR="006D45F3">
        <w:rPr>
          <w:rFonts w:ascii="Arial" w:hAnsi="Arial" w:cs="Arial"/>
          <w:color w:val="7B7B7B" w:themeColor="accent3" w:themeShade="BF"/>
          <w:sz w:val="22"/>
          <w:szCs w:val="22"/>
          <w:lang w:val="en-GB"/>
        </w:rPr>
        <w:t xml:space="preserve"> national interest, or economic interest, of Singapore as may be prescribed;</w:t>
      </w:r>
    </w:p>
    <w:p w14:paraId="67C7206D" w14:textId="77777777" w:rsidR="006D45F3" w:rsidRPr="006D45F3" w:rsidRDefault="006D45F3"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t>any commercial charter of a ship;</w:t>
      </w:r>
    </w:p>
    <w:p w14:paraId="0529DD73" w14:textId="77777777" w:rsidR="006D45F3" w:rsidRPr="006D45F3" w:rsidRDefault="006D45F3"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t>any agreement within the meaning of the Convention as defined in section 2(1) of the International Interest in Aircraft Equipment Act; or</w:t>
      </w:r>
    </w:p>
    <w:p w14:paraId="4DE1928B" w14:textId="77777777" w:rsidR="006D45F3" w:rsidRPr="006D45F3" w:rsidRDefault="006D45F3" w:rsidP="009E691D">
      <w:pPr>
        <w:pStyle w:val="ListParagraph"/>
        <w:numPr>
          <w:ilvl w:val="0"/>
          <w:numId w:val="23"/>
        </w:numPr>
        <w:jc w:val="both"/>
        <w:rPr>
          <w:rFonts w:ascii="Arial" w:hAnsi="Arial" w:cs="Arial"/>
          <w:sz w:val="22"/>
          <w:szCs w:val="22"/>
        </w:rPr>
      </w:pPr>
      <w:r>
        <w:rPr>
          <w:rFonts w:ascii="Arial" w:hAnsi="Arial" w:cs="Arial"/>
          <w:color w:val="7B7B7B" w:themeColor="accent3" w:themeShade="BF"/>
          <w:sz w:val="22"/>
          <w:szCs w:val="22"/>
          <w:lang w:val="en-GB"/>
        </w:rPr>
        <w:lastRenderedPageBreak/>
        <w:t>any agreement that is the subject of a treaty to which Singapore is a party, as may be prescribed</w:t>
      </w:r>
    </w:p>
    <w:p w14:paraId="36F07A17" w14:textId="77777777" w:rsidR="006D45F3" w:rsidRDefault="006D45F3" w:rsidP="006D45F3">
      <w:pPr>
        <w:ind w:left="37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440 does not prevent the termination of contracts on grounds other than the ipso facto clause.</w:t>
      </w:r>
    </w:p>
    <w:p w14:paraId="1E21441D" w14:textId="77777777" w:rsidR="006D45F3" w:rsidRPr="006D45F3" w:rsidRDefault="006D45F3" w:rsidP="006D45F3">
      <w:pPr>
        <w:ind w:left="370"/>
        <w:jc w:val="both"/>
        <w:rPr>
          <w:rFonts w:ascii="Arial" w:hAnsi="Arial" w:cs="Arial"/>
          <w:b/>
          <w:color w:val="7B7B7B" w:themeColor="accent3" w:themeShade="BF"/>
          <w:sz w:val="22"/>
          <w:szCs w:val="22"/>
          <w:lang w:val="en-GB"/>
        </w:rPr>
      </w:pPr>
    </w:p>
    <w:p w14:paraId="704AF0E2" w14:textId="43B9BD1B" w:rsidR="006D45F3" w:rsidRDefault="006D45F3" w:rsidP="006D45F3">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(ii) </w:t>
      </w:r>
      <w:r w:rsidRPr="006D45F3">
        <w:rPr>
          <w:rFonts w:ascii="Arial" w:hAnsi="Arial" w:cs="Arial"/>
          <w:b/>
          <w:color w:val="7B7B7B" w:themeColor="accent3" w:themeShade="BF"/>
          <w:sz w:val="22"/>
          <w:szCs w:val="22"/>
          <w:lang w:val="en-GB"/>
        </w:rPr>
        <w:t>Wrongful Trading:</w:t>
      </w:r>
    </w:p>
    <w:p w14:paraId="47989C22" w14:textId="521693A7" w:rsidR="006D45F3" w:rsidRDefault="006D45F3" w:rsidP="006D45F3">
      <w:pPr>
        <w:jc w:val="both"/>
        <w:rPr>
          <w:rFonts w:ascii="Arial" w:hAnsi="Arial" w:cs="Arial"/>
          <w:sz w:val="22"/>
          <w:szCs w:val="22"/>
        </w:rPr>
      </w:pPr>
      <w:r>
        <w:rPr>
          <w:rFonts w:ascii="Arial" w:hAnsi="Arial" w:cs="Arial"/>
          <w:sz w:val="22"/>
          <w:szCs w:val="22"/>
        </w:rPr>
        <w:t xml:space="preserve">       </w:t>
      </w:r>
    </w:p>
    <w:p w14:paraId="472B585E" w14:textId="4820F52A" w:rsidR="006D45F3" w:rsidRDefault="006D45F3" w:rsidP="006D45F3">
      <w:pPr>
        <w:jc w:val="both"/>
        <w:rPr>
          <w:rFonts w:ascii="Arial" w:hAnsi="Arial" w:cs="Arial"/>
          <w:sz w:val="22"/>
          <w:szCs w:val="22"/>
        </w:rPr>
      </w:pPr>
      <w:r>
        <w:rPr>
          <w:rFonts w:ascii="Arial" w:hAnsi="Arial" w:cs="Arial"/>
          <w:sz w:val="22"/>
          <w:szCs w:val="22"/>
        </w:rPr>
        <w:t xml:space="preserve">      In a new provision relating to wrongful trading, the court is empowered to make a declaration that any person who was a knowingly party to the company trading wrongfully, is personally responsible for the debts and liabilities of the company. A company or any person party to, or interested in becoming party to, the carrying on of business with the company, may apply to the court for a declaration that a particular course of conduct, transaction or series of transaction would not constitute wrongful trading. A company trades wrongfully if the company incurs debt or liabilities without reasonable prospect of meeting them in full when the company is insolvent, or becomes insolvent as a result of the incurrence of such debt or liability.</w:t>
      </w:r>
    </w:p>
    <w:p w14:paraId="336A170A" w14:textId="788FC1B2" w:rsidR="006D45F3" w:rsidRDefault="006D45F3" w:rsidP="006D45F3">
      <w:pPr>
        <w:jc w:val="both"/>
        <w:rPr>
          <w:rFonts w:ascii="Arial" w:hAnsi="Arial" w:cs="Arial"/>
          <w:sz w:val="22"/>
          <w:szCs w:val="22"/>
        </w:rPr>
      </w:pPr>
    </w:p>
    <w:p w14:paraId="3E06BE67" w14:textId="4C05E799" w:rsidR="006D45F3" w:rsidRDefault="006D45F3" w:rsidP="006D45F3">
      <w:pPr>
        <w:jc w:val="both"/>
        <w:rPr>
          <w:rFonts w:ascii="Arial" w:hAnsi="Arial" w:cs="Arial"/>
          <w:sz w:val="22"/>
          <w:szCs w:val="22"/>
        </w:rPr>
      </w:pPr>
      <w:r>
        <w:rPr>
          <w:rFonts w:ascii="Arial" w:hAnsi="Arial" w:cs="Arial"/>
          <w:sz w:val="22"/>
          <w:szCs w:val="22"/>
        </w:rPr>
        <w:t>Section 239 (Responsibility for wrongful trading) of the IRD Act 2018 introduces the new concept of wrongful trading, which imposes personal liability for the company’s debts on a person if:</w:t>
      </w:r>
    </w:p>
    <w:p w14:paraId="1992B173" w14:textId="1E51C7B5" w:rsidR="006D45F3" w:rsidRDefault="006D45F3" w:rsidP="006D45F3">
      <w:pPr>
        <w:pStyle w:val="ListParagraph"/>
        <w:numPr>
          <w:ilvl w:val="0"/>
          <w:numId w:val="24"/>
        </w:numPr>
        <w:jc w:val="both"/>
        <w:rPr>
          <w:rFonts w:ascii="Arial" w:hAnsi="Arial" w:cs="Arial"/>
          <w:sz w:val="22"/>
          <w:szCs w:val="22"/>
        </w:rPr>
      </w:pPr>
      <w:r>
        <w:rPr>
          <w:rFonts w:ascii="Arial" w:hAnsi="Arial" w:cs="Arial"/>
          <w:sz w:val="22"/>
          <w:szCs w:val="22"/>
        </w:rPr>
        <w:t xml:space="preserve">they knew that the company was trading </w:t>
      </w:r>
      <w:r w:rsidR="00B44C18">
        <w:rPr>
          <w:rFonts w:ascii="Arial" w:hAnsi="Arial" w:cs="Arial"/>
          <w:sz w:val="22"/>
          <w:szCs w:val="22"/>
        </w:rPr>
        <w:t>wrongfully; or</w:t>
      </w:r>
    </w:p>
    <w:p w14:paraId="0ED220B0" w14:textId="687226F0" w:rsidR="006D45F3" w:rsidRDefault="006D45F3" w:rsidP="006D45F3">
      <w:pPr>
        <w:pStyle w:val="ListParagraph"/>
        <w:numPr>
          <w:ilvl w:val="0"/>
          <w:numId w:val="24"/>
        </w:numPr>
        <w:jc w:val="both"/>
        <w:rPr>
          <w:rFonts w:ascii="Arial" w:hAnsi="Arial" w:cs="Arial"/>
          <w:sz w:val="22"/>
          <w:szCs w:val="22"/>
        </w:rPr>
      </w:pPr>
      <w:r>
        <w:rPr>
          <w:rFonts w:ascii="Arial" w:hAnsi="Arial" w:cs="Arial"/>
          <w:sz w:val="22"/>
          <w:szCs w:val="22"/>
        </w:rPr>
        <w:t>as an officer of the company, ought, in all the circumstances, to have known that the company was trading wrongfully.</w:t>
      </w:r>
    </w:p>
    <w:p w14:paraId="72F57A5C" w14:textId="53AD3C31" w:rsidR="00544127" w:rsidRPr="006D45F3" w:rsidRDefault="00A36BB2" w:rsidP="00A36BB2">
      <w:pPr>
        <w:jc w:val="both"/>
        <w:rPr>
          <w:rFonts w:ascii="Arial" w:hAnsi="Arial" w:cs="Arial"/>
          <w:sz w:val="22"/>
          <w:szCs w:val="22"/>
        </w:rPr>
      </w:pPr>
      <w:r>
        <w:rPr>
          <w:rFonts w:ascii="Arial" w:hAnsi="Arial" w:cs="Arial"/>
          <w:sz w:val="22"/>
          <w:szCs w:val="22"/>
        </w:rPr>
        <w:t>This provision is adopted from English Insolvency Legislation and does not require criminal liability before taking effect.</w:t>
      </w:r>
      <w:r w:rsidR="0007291B" w:rsidRPr="006D45F3">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1F7A26CC" w14:textId="0A2D0844" w:rsidR="00D30C18" w:rsidRDefault="00E3542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D30C18">
        <w:rPr>
          <w:rFonts w:ascii="Arial" w:hAnsi="Arial" w:cs="Arial"/>
          <w:color w:val="7B7B7B" w:themeColor="accent3" w:themeShade="BF"/>
          <w:sz w:val="22"/>
          <w:szCs w:val="22"/>
          <w:lang w:val="en-GB"/>
        </w:rPr>
        <w:t>In Singapore, the main legislation applicable to liquidation of and winding up of companies as well as reorganisations (scheme of arrangements and judicial management) is the Companies Act, read with its related subsidiary legislation.</w:t>
      </w:r>
    </w:p>
    <w:p w14:paraId="7CA2C1C3" w14:textId="2441C3E7" w:rsidR="00D30C18" w:rsidRDefault="00D30C18" w:rsidP="002A37BB">
      <w:pPr>
        <w:jc w:val="both"/>
        <w:rPr>
          <w:rFonts w:ascii="Arial" w:hAnsi="Arial" w:cs="Arial"/>
          <w:color w:val="7B7B7B" w:themeColor="accent3" w:themeShade="BF"/>
          <w:sz w:val="22"/>
          <w:szCs w:val="22"/>
          <w:lang w:val="en-GB"/>
        </w:rPr>
      </w:pPr>
    </w:p>
    <w:p w14:paraId="0A052BC5" w14:textId="11F6D790" w:rsidR="00D30C18" w:rsidRDefault="00D30C1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of limited liability partnerships, real estate investment trusts and banks are dealt with under their respective legislation and its related subsidiary legislation.</w:t>
      </w:r>
    </w:p>
    <w:p w14:paraId="45B85E98" w14:textId="33EBC6B0" w:rsidR="00AA2FEC" w:rsidRDefault="00AA2FEC" w:rsidP="002A37BB">
      <w:pPr>
        <w:jc w:val="both"/>
        <w:rPr>
          <w:rFonts w:ascii="Arial" w:hAnsi="Arial" w:cs="Arial"/>
          <w:color w:val="7B7B7B" w:themeColor="accent3" w:themeShade="BF"/>
          <w:sz w:val="22"/>
          <w:szCs w:val="22"/>
          <w:lang w:val="en-GB"/>
        </w:rPr>
      </w:pPr>
    </w:p>
    <w:p w14:paraId="77321079" w14:textId="47B1BD7E" w:rsidR="00AA2FEC" w:rsidRDefault="00AA2FE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be said that judicial management is an alternative to formal liquidation and is a mechanism to rescue the company. Differences between a judicial management and liquidation may be discussed as hereunder:</w:t>
      </w:r>
    </w:p>
    <w:p w14:paraId="3C2BB06A" w14:textId="77777777" w:rsidR="00D30C18" w:rsidRDefault="00D30C18" w:rsidP="002A37BB">
      <w:pPr>
        <w:jc w:val="both"/>
        <w:rPr>
          <w:rFonts w:ascii="Arial" w:hAnsi="Arial" w:cs="Arial"/>
          <w:color w:val="7B7B7B" w:themeColor="accent3" w:themeShade="BF"/>
          <w:sz w:val="22"/>
          <w:szCs w:val="22"/>
          <w:lang w:val="en-GB"/>
        </w:rPr>
      </w:pPr>
    </w:p>
    <w:p w14:paraId="4B2E078B" w14:textId="285E13D6" w:rsidR="000B0581" w:rsidRDefault="000B0581" w:rsidP="002A37BB">
      <w:pPr>
        <w:jc w:val="both"/>
        <w:rPr>
          <w:rFonts w:ascii="Arial" w:hAnsi="Arial" w:cs="Arial"/>
          <w:color w:val="7B7B7B" w:themeColor="accent3" w:themeShade="BF"/>
          <w:sz w:val="22"/>
          <w:szCs w:val="22"/>
          <w:lang w:val="en-GB"/>
        </w:rPr>
      </w:pPr>
      <w:r w:rsidRPr="000B0581">
        <w:rPr>
          <w:rFonts w:ascii="Arial" w:hAnsi="Arial" w:cs="Arial"/>
          <w:b/>
          <w:color w:val="7B7B7B" w:themeColor="accent3" w:themeShade="BF"/>
          <w:sz w:val="22"/>
          <w:szCs w:val="22"/>
          <w:lang w:val="en-GB"/>
        </w:rPr>
        <w:t xml:space="preserve">(i) Purpose: </w:t>
      </w:r>
    </w:p>
    <w:p w14:paraId="07D86600" w14:textId="77777777" w:rsidR="000B0581" w:rsidRDefault="000B0581" w:rsidP="002A37BB">
      <w:pPr>
        <w:jc w:val="both"/>
        <w:rPr>
          <w:rFonts w:ascii="Arial" w:hAnsi="Arial" w:cs="Arial"/>
          <w:color w:val="7B7B7B" w:themeColor="accent3" w:themeShade="BF"/>
          <w:sz w:val="22"/>
          <w:szCs w:val="22"/>
          <w:lang w:val="en-GB"/>
        </w:rPr>
      </w:pPr>
    </w:p>
    <w:p w14:paraId="25D4A7B0" w14:textId="7812E497" w:rsidR="000B0581" w:rsidRDefault="000B05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of judicial management is corporate rescue while the objective of liquidation is to ensure a fair and orderly distribution of the company’s assets among creditors and contributories and to terminate the existence of the company by its eventual dissolution.</w:t>
      </w:r>
    </w:p>
    <w:p w14:paraId="17206CE8" w14:textId="77777777" w:rsidR="007064B1" w:rsidRDefault="007064B1" w:rsidP="002A37BB">
      <w:pPr>
        <w:jc w:val="both"/>
        <w:rPr>
          <w:rFonts w:ascii="Arial" w:hAnsi="Arial" w:cs="Arial"/>
          <w:b/>
          <w:color w:val="7B7B7B" w:themeColor="accent3" w:themeShade="BF"/>
          <w:sz w:val="22"/>
          <w:szCs w:val="22"/>
          <w:lang w:val="en-GB"/>
        </w:rPr>
      </w:pPr>
    </w:p>
    <w:p w14:paraId="3D54CD2C" w14:textId="16A6C6AC" w:rsidR="000B0581" w:rsidRPr="000B0581" w:rsidRDefault="000B0581" w:rsidP="002A37BB">
      <w:pPr>
        <w:jc w:val="both"/>
        <w:rPr>
          <w:rFonts w:ascii="Arial" w:hAnsi="Arial" w:cs="Arial"/>
          <w:b/>
          <w:color w:val="7B7B7B" w:themeColor="accent3" w:themeShade="BF"/>
          <w:sz w:val="22"/>
          <w:szCs w:val="22"/>
          <w:lang w:val="en-GB"/>
        </w:rPr>
      </w:pPr>
      <w:r w:rsidRPr="000B0581">
        <w:rPr>
          <w:rFonts w:ascii="Arial" w:hAnsi="Arial" w:cs="Arial"/>
          <w:b/>
          <w:color w:val="7B7B7B" w:themeColor="accent3" w:themeShade="BF"/>
          <w:sz w:val="22"/>
          <w:szCs w:val="22"/>
          <w:lang w:val="en-GB"/>
        </w:rPr>
        <w:t>(ii) Entry:</w:t>
      </w:r>
    </w:p>
    <w:p w14:paraId="7458A6A0" w14:textId="77777777" w:rsidR="000B0581" w:rsidRDefault="000B0581" w:rsidP="002A37BB">
      <w:pPr>
        <w:jc w:val="both"/>
        <w:rPr>
          <w:rFonts w:ascii="Arial" w:hAnsi="Arial" w:cs="Arial"/>
          <w:color w:val="7B7B7B" w:themeColor="accent3" w:themeShade="BF"/>
          <w:sz w:val="22"/>
          <w:szCs w:val="22"/>
          <w:lang w:val="en-GB"/>
        </w:rPr>
      </w:pPr>
    </w:p>
    <w:p w14:paraId="68C48E00" w14:textId="7CCD8AF4" w:rsidR="000B0581" w:rsidRDefault="000B05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judicial management application may be brought by:</w:t>
      </w:r>
    </w:p>
    <w:p w14:paraId="0FD23121" w14:textId="59A16450" w:rsidR="000B0581" w:rsidRDefault="000B0581" w:rsidP="000B058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(pursuant to member’s resolution);</w:t>
      </w:r>
    </w:p>
    <w:p w14:paraId="1F923133" w14:textId="51E0123A" w:rsidR="000B0581" w:rsidRDefault="000B0581" w:rsidP="000B058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directors (pursuant to board resolution); or</w:t>
      </w:r>
    </w:p>
    <w:p w14:paraId="1C281835" w14:textId="2991D69E" w:rsidR="000B0581" w:rsidRDefault="000B0581" w:rsidP="000B0581">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creditors</w:t>
      </w:r>
    </w:p>
    <w:p w14:paraId="5AE33ABF" w14:textId="77777777" w:rsidR="000B0581" w:rsidRPr="000B0581" w:rsidRDefault="000B0581" w:rsidP="000B0581">
      <w:pPr>
        <w:jc w:val="both"/>
        <w:rPr>
          <w:rFonts w:ascii="Arial" w:hAnsi="Arial" w:cs="Arial"/>
          <w:color w:val="7B7B7B" w:themeColor="accent3" w:themeShade="BF"/>
          <w:sz w:val="22"/>
          <w:szCs w:val="22"/>
          <w:lang w:val="en-GB"/>
        </w:rPr>
      </w:pPr>
    </w:p>
    <w:p w14:paraId="3CB7A12D" w14:textId="1EF28E8D" w:rsidR="000B0581" w:rsidRDefault="000B05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three modes of liquidations are as hereunder:</w:t>
      </w:r>
    </w:p>
    <w:p w14:paraId="5A53842C" w14:textId="080AE88C" w:rsidR="000B0581" w:rsidRPr="000B0581" w:rsidRDefault="000B0581" w:rsidP="000B0581">
      <w:pPr>
        <w:pStyle w:val="ListParagraph"/>
        <w:numPr>
          <w:ilvl w:val="0"/>
          <w:numId w:val="26"/>
        </w:numPr>
        <w:jc w:val="both"/>
        <w:rPr>
          <w:rFonts w:ascii="Arial" w:hAnsi="Arial" w:cs="Arial"/>
          <w:color w:val="7B7B7B" w:themeColor="accent3" w:themeShade="BF"/>
          <w:sz w:val="22"/>
          <w:szCs w:val="22"/>
          <w:lang w:val="en-GB"/>
        </w:rPr>
      </w:pPr>
      <w:r w:rsidRPr="000B0581">
        <w:rPr>
          <w:rFonts w:ascii="Arial" w:hAnsi="Arial" w:cs="Arial"/>
          <w:color w:val="7B7B7B" w:themeColor="accent3" w:themeShade="BF"/>
          <w:sz w:val="22"/>
          <w:szCs w:val="22"/>
          <w:lang w:val="en-GB"/>
        </w:rPr>
        <w:t>member’s voluntary liquidation;</w:t>
      </w:r>
    </w:p>
    <w:p w14:paraId="1D4BDE03" w14:textId="3A7DE13B" w:rsidR="000B0581" w:rsidRDefault="000B0581" w:rsidP="000B058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voluntary liquidation;</w:t>
      </w:r>
    </w:p>
    <w:p w14:paraId="0A3678B1" w14:textId="4B5C3B83" w:rsidR="000B0581" w:rsidRDefault="000B0581" w:rsidP="000B058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compulsory liquidation</w:t>
      </w:r>
    </w:p>
    <w:p w14:paraId="756DBB90" w14:textId="77777777" w:rsidR="008028FB" w:rsidRDefault="008028FB" w:rsidP="000B0581">
      <w:pPr>
        <w:jc w:val="both"/>
        <w:rPr>
          <w:rFonts w:ascii="Arial" w:hAnsi="Arial" w:cs="Arial"/>
          <w:color w:val="7B7B7B" w:themeColor="accent3" w:themeShade="BF"/>
          <w:sz w:val="22"/>
          <w:szCs w:val="22"/>
          <w:lang w:val="en-GB"/>
        </w:rPr>
      </w:pPr>
    </w:p>
    <w:p w14:paraId="2C63F7B1" w14:textId="5DD2A76C" w:rsidR="000B0581" w:rsidRPr="008028FB" w:rsidRDefault="008028FB" w:rsidP="000B0581">
      <w:pPr>
        <w:jc w:val="both"/>
        <w:rPr>
          <w:rFonts w:ascii="Arial" w:hAnsi="Arial" w:cs="Arial"/>
          <w:b/>
          <w:color w:val="7B7B7B" w:themeColor="accent3" w:themeShade="BF"/>
          <w:sz w:val="22"/>
          <w:szCs w:val="22"/>
          <w:lang w:val="en-GB"/>
        </w:rPr>
      </w:pPr>
      <w:r w:rsidRPr="008028FB">
        <w:rPr>
          <w:rFonts w:ascii="Arial" w:hAnsi="Arial" w:cs="Arial"/>
          <w:b/>
          <w:color w:val="7B7B7B" w:themeColor="accent3" w:themeShade="BF"/>
          <w:sz w:val="22"/>
          <w:szCs w:val="22"/>
          <w:lang w:val="en-GB"/>
        </w:rPr>
        <w:t>(iii) Conversion from Corporate Rescue to Liquidation:</w:t>
      </w:r>
    </w:p>
    <w:p w14:paraId="3C57C4F4" w14:textId="4C4D0300" w:rsidR="008028FB" w:rsidRDefault="008028FB" w:rsidP="000B0581">
      <w:pPr>
        <w:jc w:val="both"/>
        <w:rPr>
          <w:rFonts w:ascii="Arial" w:hAnsi="Arial" w:cs="Arial"/>
          <w:color w:val="7B7B7B" w:themeColor="accent3" w:themeShade="BF"/>
          <w:sz w:val="22"/>
          <w:szCs w:val="22"/>
          <w:lang w:val="en-GB"/>
        </w:rPr>
      </w:pPr>
    </w:p>
    <w:p w14:paraId="4178FF60" w14:textId="76A42AFD" w:rsidR="008028FB" w:rsidRDefault="008028FB" w:rsidP="000B05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judicial management order is discharged after 180 days unless extended by the court. A discharge does not mean automatic liquidation, but the Court has a discretion to order that the company be placed into liquidation.</w:t>
      </w:r>
    </w:p>
    <w:p w14:paraId="13122718" w14:textId="5698983C" w:rsidR="008028FB" w:rsidRDefault="008028FB" w:rsidP="000B0581">
      <w:pPr>
        <w:jc w:val="both"/>
        <w:rPr>
          <w:rFonts w:ascii="Arial" w:hAnsi="Arial" w:cs="Arial"/>
          <w:color w:val="7B7B7B" w:themeColor="accent3" w:themeShade="BF"/>
          <w:sz w:val="22"/>
          <w:szCs w:val="22"/>
          <w:lang w:val="en-GB"/>
        </w:rPr>
      </w:pPr>
    </w:p>
    <w:p w14:paraId="7CCCCF17" w14:textId="77777777" w:rsidR="008028FB" w:rsidRDefault="008028FB" w:rsidP="008028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is no specific procedure to convert a liquidation to any form of corporate rescue.</w:t>
      </w:r>
    </w:p>
    <w:p w14:paraId="39A9D00D" w14:textId="77777777" w:rsidR="008028FB" w:rsidRDefault="008028FB" w:rsidP="008028FB">
      <w:pPr>
        <w:jc w:val="both"/>
        <w:rPr>
          <w:rFonts w:ascii="Arial" w:hAnsi="Arial" w:cs="Arial"/>
          <w:color w:val="7B7B7B" w:themeColor="accent3" w:themeShade="BF"/>
          <w:sz w:val="22"/>
          <w:szCs w:val="22"/>
          <w:lang w:val="en-GB"/>
        </w:rPr>
      </w:pPr>
    </w:p>
    <w:p w14:paraId="2CD42ACD" w14:textId="7871F703" w:rsidR="008028FB" w:rsidRDefault="008028FB" w:rsidP="008028FB">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(iv) </w:t>
      </w:r>
      <w:r w:rsidRPr="008028FB">
        <w:rPr>
          <w:rFonts w:ascii="Arial" w:hAnsi="Arial" w:cs="Arial"/>
          <w:b/>
          <w:color w:val="7B7B7B" w:themeColor="accent3" w:themeShade="BF"/>
          <w:sz w:val="22"/>
          <w:szCs w:val="22"/>
          <w:lang w:val="en-GB"/>
        </w:rPr>
        <w:t xml:space="preserve"> Threshold for entering the procedure:</w:t>
      </w:r>
    </w:p>
    <w:p w14:paraId="75B1E385" w14:textId="07D39AC3" w:rsidR="008028FB" w:rsidRDefault="008028FB" w:rsidP="008028FB">
      <w:pPr>
        <w:ind w:left="360"/>
        <w:jc w:val="both"/>
        <w:rPr>
          <w:rFonts w:ascii="Arial" w:hAnsi="Arial" w:cs="Arial"/>
          <w:b/>
          <w:color w:val="7B7B7B" w:themeColor="accent3" w:themeShade="BF"/>
          <w:sz w:val="22"/>
          <w:szCs w:val="22"/>
          <w:lang w:val="en-GB"/>
        </w:rPr>
      </w:pPr>
    </w:p>
    <w:p w14:paraId="5BE4D147" w14:textId="5F2455E2" w:rsidR="008028FB" w:rsidRDefault="008028FB" w:rsidP="008028FB">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court may only make a judicial management order if it is satisfied that company is or will unable to pay the debt and the making of order would be likely to achieve one or more of the following purposes:</w:t>
      </w:r>
    </w:p>
    <w:p w14:paraId="0FFFB950" w14:textId="2F359D17" w:rsidR="008028FB" w:rsidRDefault="008028FB" w:rsidP="008028F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survival of the company, or the whole or part of its undertaking as a going concern;</w:t>
      </w:r>
    </w:p>
    <w:p w14:paraId="36D84CF4" w14:textId="309FE32E" w:rsidR="008028FB" w:rsidRDefault="008028FB" w:rsidP="008028F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approval under section 210 of the Companies Act of a compromise or arrangement;</w:t>
      </w:r>
    </w:p>
    <w:p w14:paraId="00DB20E0" w14:textId="68282913" w:rsidR="008028FB" w:rsidRDefault="008028FB" w:rsidP="008028FB">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more advantageous realisation of the company’s assets that would occur in winding up</w:t>
      </w:r>
    </w:p>
    <w:p w14:paraId="67BCB051" w14:textId="5857BE67" w:rsidR="008028FB" w:rsidRPr="008028FB" w:rsidRDefault="00573FE4" w:rsidP="00573F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liquidation, the court should be convinced that the company is unable to pay the debt as per section 254(2) of the Companies Act.</w:t>
      </w:r>
    </w:p>
    <w:p w14:paraId="7B8A5DFD" w14:textId="77777777" w:rsidR="000B0581" w:rsidRPr="00EE39EF" w:rsidRDefault="000B0581" w:rsidP="000B0581">
      <w:pPr>
        <w:jc w:val="both"/>
        <w:rPr>
          <w:rFonts w:ascii="Arial" w:hAnsi="Arial" w:cs="Arial"/>
          <w:b/>
          <w:color w:val="7B7B7B" w:themeColor="accent3" w:themeShade="BF"/>
          <w:sz w:val="22"/>
          <w:szCs w:val="22"/>
          <w:lang w:val="en-GB"/>
        </w:rPr>
      </w:pPr>
    </w:p>
    <w:p w14:paraId="4AA511B4" w14:textId="5ED0ABE5" w:rsidR="00EE39EF" w:rsidRPr="00EE39EF" w:rsidRDefault="00EE39EF" w:rsidP="002A37BB">
      <w:pPr>
        <w:jc w:val="both"/>
        <w:rPr>
          <w:rFonts w:ascii="Arial" w:hAnsi="Arial" w:cs="Arial"/>
          <w:b/>
          <w:color w:val="7B7B7B" w:themeColor="accent3" w:themeShade="BF"/>
          <w:sz w:val="22"/>
          <w:szCs w:val="22"/>
          <w:lang w:val="en-GB"/>
        </w:rPr>
      </w:pPr>
      <w:r w:rsidRPr="00EE39EF">
        <w:rPr>
          <w:rFonts w:ascii="Arial" w:hAnsi="Arial" w:cs="Arial"/>
          <w:b/>
          <w:color w:val="7B7B7B" w:themeColor="accent3" w:themeShade="BF"/>
          <w:sz w:val="22"/>
          <w:szCs w:val="22"/>
          <w:lang w:val="en-GB"/>
        </w:rPr>
        <w:t>(v) Moratorium:</w:t>
      </w:r>
    </w:p>
    <w:p w14:paraId="5539A1C4" w14:textId="77777777" w:rsidR="00EE39EF" w:rsidRDefault="00EE39EF" w:rsidP="002A37BB">
      <w:pPr>
        <w:jc w:val="both"/>
        <w:rPr>
          <w:rFonts w:ascii="Arial" w:hAnsi="Arial" w:cs="Arial"/>
          <w:color w:val="7B7B7B" w:themeColor="accent3" w:themeShade="BF"/>
          <w:sz w:val="22"/>
          <w:szCs w:val="22"/>
          <w:lang w:val="en-GB"/>
        </w:rPr>
      </w:pPr>
    </w:p>
    <w:p w14:paraId="037E0904" w14:textId="73999185" w:rsidR="00EE39EF" w:rsidRDefault="00EE39E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automatic moratorium on legal proceedings against the company comes into effect upon the filing of the judicial management application.</w:t>
      </w:r>
    </w:p>
    <w:p w14:paraId="7F4AAF8E" w14:textId="77777777" w:rsidR="00CB0EB3" w:rsidRDefault="00CB0EB3" w:rsidP="002A37BB">
      <w:pPr>
        <w:jc w:val="both"/>
        <w:rPr>
          <w:rFonts w:ascii="Arial" w:hAnsi="Arial" w:cs="Arial"/>
          <w:color w:val="7B7B7B" w:themeColor="accent3" w:themeShade="BF"/>
          <w:sz w:val="22"/>
          <w:szCs w:val="22"/>
          <w:lang w:val="en-GB"/>
        </w:rPr>
      </w:pPr>
    </w:p>
    <w:p w14:paraId="7F2989B0" w14:textId="54204F2C" w:rsidR="00CB0EB3" w:rsidRDefault="007064B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voluntary winding up, the moratorium is imposed from the commencement of winding up.</w:t>
      </w:r>
    </w:p>
    <w:p w14:paraId="390FDD25" w14:textId="3E4DCFD7" w:rsidR="00DF75F8" w:rsidRPr="002A37BB" w:rsidRDefault="007064B1" w:rsidP="002A37BB">
      <w:pPr>
        <w:jc w:val="both"/>
        <w:rPr>
          <w:rFonts w:ascii="Arial" w:hAnsi="Arial" w:cs="Arial"/>
          <w:sz w:val="22"/>
          <w:szCs w:val="22"/>
          <w:lang w:val="en-GB"/>
        </w:rPr>
      </w:pPr>
      <w:r>
        <w:rPr>
          <w:rFonts w:ascii="Arial" w:hAnsi="Arial" w:cs="Arial"/>
          <w:color w:val="7B7B7B" w:themeColor="accent3" w:themeShade="BF"/>
          <w:sz w:val="22"/>
          <w:szCs w:val="22"/>
          <w:lang w:val="en-GB"/>
        </w:rPr>
        <w:t>For Compulsory winding up, during the period until a winding up order is made, the company or any creditor or contributory can apply to court to restrain proceedings. Once a winding up order is made, any action against the company requires the leave of the court.</w:t>
      </w:r>
      <w:r w:rsidR="0007291B" w:rsidRPr="002A37BB">
        <w:rPr>
          <w:rFonts w:ascii="Arial" w:hAnsi="Arial" w:cs="Arial"/>
          <w:color w:val="7B7B7B" w:themeColor="accent3" w:themeShade="BF"/>
          <w:sz w:val="22"/>
          <w:szCs w:val="22"/>
          <w:lang w:val="en-GB"/>
        </w:rPr>
        <w:t>]</w:t>
      </w:r>
    </w:p>
    <w:p w14:paraId="30A3B314" w14:textId="77777777" w:rsidR="007E40F0" w:rsidRPr="00D30C18" w:rsidRDefault="007E40F0" w:rsidP="00087F21">
      <w:pPr>
        <w:jc w:val="both"/>
        <w:rPr>
          <w:rFonts w:ascii="Arial" w:hAnsi="Arial" w:cs="Arial"/>
          <w:color w:val="7B7B7B" w:themeColor="accent3" w:themeShade="BF"/>
          <w:sz w:val="22"/>
          <w:szCs w:val="22"/>
          <w:lang w:val="en-GB"/>
        </w:rPr>
      </w:pPr>
    </w:p>
    <w:p w14:paraId="1319C98E" w14:textId="4AF23BD9" w:rsidR="007E40F0" w:rsidRPr="00D30C18" w:rsidRDefault="00D30C18" w:rsidP="00087F21">
      <w:pPr>
        <w:jc w:val="both"/>
        <w:rPr>
          <w:rFonts w:ascii="Arial" w:hAnsi="Arial" w:cs="Arial"/>
          <w:b/>
          <w:color w:val="7B7B7B" w:themeColor="accent3" w:themeShade="BF"/>
          <w:sz w:val="22"/>
          <w:szCs w:val="22"/>
          <w:lang w:val="en-GB"/>
        </w:rPr>
      </w:pPr>
      <w:r w:rsidRPr="00D30C18">
        <w:rPr>
          <w:rFonts w:ascii="Arial" w:hAnsi="Arial" w:cs="Arial"/>
          <w:b/>
          <w:color w:val="7B7B7B" w:themeColor="accent3" w:themeShade="BF"/>
          <w:sz w:val="22"/>
          <w:szCs w:val="22"/>
          <w:lang w:val="en-GB"/>
        </w:rPr>
        <w:t>(vi) Rescue Plan:</w:t>
      </w:r>
    </w:p>
    <w:p w14:paraId="5B70C8B6" w14:textId="4BF5D9EB" w:rsidR="00D30C18" w:rsidRPr="00D30C18" w:rsidRDefault="00D30C18" w:rsidP="00087F21">
      <w:pPr>
        <w:jc w:val="both"/>
        <w:rPr>
          <w:rFonts w:ascii="Arial" w:hAnsi="Arial" w:cs="Arial"/>
          <w:color w:val="7B7B7B" w:themeColor="accent3" w:themeShade="BF"/>
          <w:sz w:val="22"/>
          <w:szCs w:val="22"/>
          <w:lang w:val="en-GB"/>
        </w:rPr>
      </w:pPr>
    </w:p>
    <w:p w14:paraId="31B5F80B" w14:textId="267664FC" w:rsidR="00D30C18" w:rsidRPr="00D30C18" w:rsidRDefault="00D30C18" w:rsidP="00087F21">
      <w:pPr>
        <w:jc w:val="both"/>
        <w:rPr>
          <w:rFonts w:ascii="Arial" w:hAnsi="Arial" w:cs="Arial"/>
          <w:color w:val="7B7B7B" w:themeColor="accent3" w:themeShade="BF"/>
          <w:sz w:val="22"/>
          <w:szCs w:val="22"/>
          <w:lang w:val="en-GB"/>
        </w:rPr>
      </w:pPr>
      <w:r w:rsidRPr="00D30C18">
        <w:rPr>
          <w:rFonts w:ascii="Arial" w:hAnsi="Arial" w:cs="Arial"/>
          <w:color w:val="7B7B7B" w:themeColor="accent3" w:themeShade="BF"/>
          <w:sz w:val="22"/>
          <w:szCs w:val="22"/>
          <w:lang w:val="en-GB"/>
        </w:rPr>
        <w:t>As per the purpose of judicial management and pursuant to IRD Act, 2018, for a proposal to be binding on the company, the judicial manager and the creditor or class of creditors, it has to be approved by a majority of class of creditors present and voting representing three quarters in value of the respective class of creditors.</w:t>
      </w:r>
    </w:p>
    <w:p w14:paraId="270CD4C4" w14:textId="388084A2" w:rsidR="00D30C18" w:rsidRPr="00D30C18" w:rsidRDefault="00D30C18" w:rsidP="00087F21">
      <w:pPr>
        <w:jc w:val="both"/>
        <w:rPr>
          <w:rFonts w:ascii="Arial" w:hAnsi="Arial" w:cs="Arial"/>
          <w:color w:val="7B7B7B" w:themeColor="accent3" w:themeShade="BF"/>
          <w:sz w:val="22"/>
          <w:szCs w:val="22"/>
          <w:lang w:val="en-GB"/>
        </w:rPr>
      </w:pPr>
    </w:p>
    <w:p w14:paraId="356D1511" w14:textId="083FA85C" w:rsidR="00D30C18" w:rsidRPr="00D30C18" w:rsidRDefault="00D30C18" w:rsidP="00087F21">
      <w:pPr>
        <w:jc w:val="both"/>
        <w:rPr>
          <w:rFonts w:ascii="Arial" w:hAnsi="Arial" w:cs="Arial"/>
          <w:color w:val="7B7B7B" w:themeColor="accent3" w:themeShade="BF"/>
          <w:sz w:val="22"/>
          <w:szCs w:val="22"/>
          <w:lang w:val="en-GB"/>
        </w:rPr>
      </w:pPr>
      <w:r w:rsidRPr="00D30C18">
        <w:rPr>
          <w:rFonts w:ascii="Arial" w:hAnsi="Arial" w:cs="Arial"/>
          <w:color w:val="7B7B7B" w:themeColor="accent3" w:themeShade="BF"/>
          <w:sz w:val="22"/>
          <w:szCs w:val="22"/>
          <w:lang w:val="en-GB"/>
        </w:rPr>
        <w:t>No such provision in the liquidation proceedings.</w:t>
      </w:r>
    </w:p>
    <w:p w14:paraId="0D2A7371" w14:textId="1EE600B6" w:rsidR="00D30C18" w:rsidRPr="00D30C18" w:rsidRDefault="00D30C18" w:rsidP="00087F21">
      <w:pPr>
        <w:jc w:val="both"/>
        <w:rPr>
          <w:rFonts w:ascii="Arial" w:hAnsi="Arial" w:cs="Arial"/>
          <w:color w:val="7B7B7B" w:themeColor="accent3" w:themeShade="BF"/>
          <w:sz w:val="22"/>
          <w:szCs w:val="22"/>
          <w:lang w:val="en-GB"/>
        </w:rPr>
      </w:pPr>
    </w:p>
    <w:p w14:paraId="78B60966" w14:textId="0A7B40D7" w:rsidR="00D30C18" w:rsidRPr="00D30C18" w:rsidRDefault="00D30C18" w:rsidP="00087F21">
      <w:pPr>
        <w:jc w:val="both"/>
        <w:rPr>
          <w:rFonts w:ascii="Arial" w:hAnsi="Arial" w:cs="Arial"/>
          <w:b/>
          <w:color w:val="7B7B7B" w:themeColor="accent3" w:themeShade="BF"/>
          <w:sz w:val="22"/>
          <w:szCs w:val="22"/>
          <w:lang w:val="en-GB"/>
        </w:rPr>
      </w:pPr>
      <w:r w:rsidRPr="00D30C18">
        <w:rPr>
          <w:rFonts w:ascii="Arial" w:hAnsi="Arial" w:cs="Arial"/>
          <w:b/>
          <w:color w:val="7B7B7B" w:themeColor="accent3" w:themeShade="BF"/>
          <w:sz w:val="22"/>
          <w:szCs w:val="22"/>
          <w:lang w:val="en-GB"/>
        </w:rPr>
        <w:t>(vii) Disclaiming onerous contracts:</w:t>
      </w:r>
    </w:p>
    <w:p w14:paraId="1734BB39" w14:textId="5B9E451C" w:rsidR="00D30C18" w:rsidRPr="00D30C18" w:rsidRDefault="00D30C18" w:rsidP="00087F21">
      <w:pPr>
        <w:jc w:val="both"/>
        <w:rPr>
          <w:rFonts w:ascii="Arial" w:hAnsi="Arial" w:cs="Arial"/>
          <w:b/>
          <w:color w:val="7B7B7B" w:themeColor="accent3" w:themeShade="BF"/>
          <w:sz w:val="22"/>
          <w:szCs w:val="22"/>
          <w:lang w:val="en-GB"/>
        </w:rPr>
      </w:pPr>
    </w:p>
    <w:p w14:paraId="61CE307E" w14:textId="77910317" w:rsidR="00D30C18" w:rsidRPr="00D30C18" w:rsidRDefault="00D30C18" w:rsidP="00087F21">
      <w:pPr>
        <w:jc w:val="both"/>
        <w:rPr>
          <w:rFonts w:ascii="Arial" w:hAnsi="Arial" w:cs="Arial"/>
          <w:color w:val="7B7B7B" w:themeColor="accent3" w:themeShade="BF"/>
          <w:sz w:val="22"/>
          <w:szCs w:val="22"/>
          <w:lang w:val="en-GB"/>
        </w:rPr>
      </w:pPr>
      <w:r w:rsidRPr="00D30C18">
        <w:rPr>
          <w:rFonts w:ascii="Arial" w:hAnsi="Arial" w:cs="Arial"/>
          <w:color w:val="7B7B7B" w:themeColor="accent3" w:themeShade="BF"/>
          <w:sz w:val="22"/>
          <w:szCs w:val="22"/>
          <w:lang w:val="en-GB"/>
        </w:rPr>
        <w:t>Judicial managers, unlike liquidators, have no power to disclaim onerous contracts entered into by the company prior to the judicial manager’s order.</w:t>
      </w:r>
    </w:p>
    <w:p w14:paraId="113088E3" w14:textId="4BB23B50" w:rsidR="00D30C18" w:rsidRPr="00D30C18" w:rsidRDefault="00D30C18" w:rsidP="00087F21">
      <w:pPr>
        <w:jc w:val="both"/>
        <w:rPr>
          <w:rFonts w:ascii="Arial" w:hAnsi="Arial" w:cs="Arial"/>
          <w:color w:val="7B7B7B" w:themeColor="accent3" w:themeShade="BF"/>
          <w:sz w:val="22"/>
          <w:szCs w:val="22"/>
          <w:lang w:val="en-GB"/>
        </w:rPr>
      </w:pPr>
    </w:p>
    <w:p w14:paraId="0F9A5A23" w14:textId="2F760A5E" w:rsidR="00D30C18" w:rsidRPr="00D30C18" w:rsidRDefault="00D30C18" w:rsidP="00087F21">
      <w:pPr>
        <w:jc w:val="both"/>
        <w:rPr>
          <w:rFonts w:ascii="Arial" w:hAnsi="Arial" w:cs="Arial"/>
          <w:b/>
          <w:color w:val="7B7B7B" w:themeColor="accent3" w:themeShade="BF"/>
          <w:sz w:val="22"/>
          <w:szCs w:val="22"/>
          <w:lang w:val="en-GB"/>
        </w:rPr>
      </w:pPr>
      <w:r w:rsidRPr="00D30C18">
        <w:rPr>
          <w:rFonts w:ascii="Arial" w:hAnsi="Arial" w:cs="Arial"/>
          <w:b/>
          <w:color w:val="7B7B7B" w:themeColor="accent3" w:themeShade="BF"/>
          <w:sz w:val="22"/>
          <w:szCs w:val="22"/>
          <w:lang w:val="en-GB"/>
        </w:rPr>
        <w:t>(viii) Preferential/priority claims:</w:t>
      </w:r>
    </w:p>
    <w:p w14:paraId="5E788998" w14:textId="2559739D" w:rsidR="00D30C18" w:rsidRPr="00D30C18" w:rsidRDefault="00D30C18" w:rsidP="00087F21">
      <w:pPr>
        <w:jc w:val="both"/>
        <w:rPr>
          <w:rFonts w:ascii="Arial" w:hAnsi="Arial" w:cs="Arial"/>
          <w:color w:val="7B7B7B" w:themeColor="accent3" w:themeShade="BF"/>
          <w:sz w:val="22"/>
          <w:szCs w:val="22"/>
          <w:lang w:val="en-GB"/>
        </w:rPr>
      </w:pPr>
    </w:p>
    <w:p w14:paraId="73B50A80" w14:textId="127E7782" w:rsidR="00D30C18" w:rsidRPr="00D30C18" w:rsidRDefault="00D30C18" w:rsidP="00087F21">
      <w:pPr>
        <w:jc w:val="both"/>
        <w:rPr>
          <w:rFonts w:ascii="Arial" w:hAnsi="Arial" w:cs="Arial"/>
          <w:color w:val="7B7B7B" w:themeColor="accent3" w:themeShade="BF"/>
          <w:sz w:val="22"/>
          <w:szCs w:val="22"/>
          <w:lang w:val="en-GB"/>
        </w:rPr>
      </w:pPr>
      <w:r w:rsidRPr="00D30C18">
        <w:rPr>
          <w:rFonts w:ascii="Arial" w:hAnsi="Arial" w:cs="Arial"/>
          <w:color w:val="7B7B7B" w:themeColor="accent3" w:themeShade="BF"/>
          <w:sz w:val="22"/>
          <w:szCs w:val="22"/>
          <w:lang w:val="en-GB"/>
        </w:rPr>
        <w:t>There are no statutory preferential or priority claims that apply to corporate rescue proceedings.</w:t>
      </w:r>
    </w:p>
    <w:p w14:paraId="18BB7B03" w14:textId="63D7F9E2" w:rsidR="00D30C18" w:rsidRPr="00D30C18" w:rsidRDefault="00D30C18" w:rsidP="00087F21">
      <w:pPr>
        <w:jc w:val="both"/>
        <w:rPr>
          <w:rFonts w:ascii="Arial" w:hAnsi="Arial" w:cs="Arial"/>
          <w:color w:val="7B7B7B" w:themeColor="accent3" w:themeShade="BF"/>
          <w:sz w:val="22"/>
          <w:szCs w:val="22"/>
          <w:lang w:val="en-GB"/>
        </w:rPr>
      </w:pPr>
    </w:p>
    <w:p w14:paraId="6F9A40F2" w14:textId="33C0F92D" w:rsidR="00D30C18" w:rsidRPr="00D30C18" w:rsidRDefault="00D30C18" w:rsidP="00087F21">
      <w:pPr>
        <w:jc w:val="both"/>
        <w:rPr>
          <w:rFonts w:ascii="Arial" w:hAnsi="Arial" w:cs="Arial"/>
          <w:color w:val="7B7B7B" w:themeColor="accent3" w:themeShade="BF"/>
          <w:sz w:val="22"/>
          <w:szCs w:val="22"/>
          <w:lang w:val="en-GB"/>
        </w:rPr>
      </w:pPr>
      <w:r w:rsidRPr="00D30C18">
        <w:rPr>
          <w:rFonts w:ascii="Arial" w:hAnsi="Arial" w:cs="Arial"/>
          <w:color w:val="7B7B7B" w:themeColor="accent3" w:themeShade="BF"/>
          <w:sz w:val="22"/>
          <w:szCs w:val="22"/>
          <w:lang w:val="en-GB"/>
        </w:rPr>
        <w:t>In distributing the assets of a company in liquidation, its secured creditors will generally first be paid out of the assets that have been charged or mortgaged in their favour, while the remainder of the assets will be distributed among the other creditors.</w:t>
      </w:r>
    </w:p>
    <w:p w14:paraId="1C8807B6" w14:textId="64B35BBD" w:rsidR="00D30C18" w:rsidRPr="00D30C18" w:rsidRDefault="00D30C18" w:rsidP="00087F21">
      <w:pPr>
        <w:jc w:val="both"/>
        <w:rPr>
          <w:rFonts w:ascii="Arial" w:hAnsi="Arial" w:cs="Arial"/>
          <w:color w:val="7B7B7B" w:themeColor="accent3" w:themeShade="BF"/>
          <w:sz w:val="22"/>
          <w:szCs w:val="22"/>
          <w:lang w:val="en-GB"/>
        </w:rPr>
      </w:pPr>
    </w:p>
    <w:p w14:paraId="55A81353" w14:textId="77777777" w:rsidR="00D30C18" w:rsidRPr="00D30C18" w:rsidRDefault="00D30C18" w:rsidP="00087F21">
      <w:pPr>
        <w:jc w:val="both"/>
        <w:rPr>
          <w:rFonts w:ascii="Arial" w:hAnsi="Arial" w:cs="Arial"/>
          <w:b/>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1"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662BD00A" w:rsidR="00AF44E3" w:rsidRDefault="00AF44E3" w:rsidP="001C7B25">
      <w:pPr>
        <w:jc w:val="center"/>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lastRenderedPageBreak/>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2CB2F00B"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B44C18">
        <w:rPr>
          <w:rFonts w:ascii="Arial" w:hAnsi="Arial" w:cs="Arial"/>
          <w:sz w:val="22"/>
          <w:szCs w:val="22"/>
          <w:lang w:val="en-GB"/>
        </w:rPr>
        <w:t xml:space="preserve">be </w:t>
      </w:r>
      <w:r w:rsidR="00B44C18" w:rsidRPr="00F130CF">
        <w:rPr>
          <w:rFonts w:ascii="Arial" w:hAnsi="Arial" w:cs="Arial"/>
          <w:sz w:val="22"/>
          <w:szCs w:val="22"/>
          <w:lang w:val="en-GB"/>
        </w:rPr>
        <w:t>presented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CF0454E" w:rsidR="00CF14BE" w:rsidRPr="00CF14BE" w:rsidRDefault="00B44C18" w:rsidP="00BE65AA">
      <w:pPr>
        <w:pStyle w:val="ListParagraph"/>
        <w:numPr>
          <w:ilvl w:val="0"/>
          <w:numId w:val="3"/>
        </w:numPr>
        <w:ind w:left="426"/>
        <w:jc w:val="both"/>
        <w:rPr>
          <w:lang w:val="en-GB"/>
        </w:rPr>
      </w:pPr>
      <w:r>
        <w:rPr>
          <w:rFonts w:ascii="Arial" w:hAnsi="Arial" w:cs="Arial"/>
          <w:sz w:val="22"/>
          <w:szCs w:val="22"/>
          <w:lang w:val="en-GB"/>
        </w:rPr>
        <w:t>Assuming that</w:t>
      </w:r>
      <w:r w:rsidR="00631DDB">
        <w:rPr>
          <w:rFonts w:ascii="Arial" w:hAnsi="Arial" w:cs="Arial"/>
          <w:sz w:val="22"/>
          <w:szCs w:val="22"/>
          <w:lang w:val="en-GB"/>
        </w:rPr>
        <w:t xml:space="preserve"> PEC is placed </w:t>
      </w:r>
      <w:r w:rsidR="00667F67">
        <w:rPr>
          <w:rFonts w:ascii="Arial" w:hAnsi="Arial" w:cs="Arial"/>
          <w:sz w:val="22"/>
          <w:szCs w:val="22"/>
          <w:lang w:val="en-GB"/>
        </w:rPr>
        <w:t>under</w:t>
      </w:r>
      <w:r w:rsidR="00631DDB">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1F26204F" w14:textId="74733A1A" w:rsidR="00761079" w:rsidRDefault="00761079" w:rsidP="00761079">
      <w:pPr>
        <w:pStyle w:val="ListParagraph"/>
        <w:numPr>
          <w:ilvl w:val="0"/>
          <w:numId w:val="28"/>
        </w:numPr>
        <w:jc w:val="both"/>
        <w:rPr>
          <w:rFonts w:ascii="Arial" w:hAnsi="Arial" w:cs="Arial"/>
          <w:color w:val="7B7B7B" w:themeColor="accent3" w:themeShade="BF"/>
          <w:sz w:val="22"/>
          <w:szCs w:val="22"/>
          <w:lang w:val="en-GB"/>
        </w:rPr>
      </w:pPr>
      <w:r w:rsidRPr="00761079">
        <w:rPr>
          <w:rFonts w:ascii="Arial" w:hAnsi="Arial" w:cs="Arial"/>
          <w:color w:val="7B7B7B" w:themeColor="accent3" w:themeShade="BF"/>
          <w:sz w:val="22"/>
          <w:szCs w:val="22"/>
          <w:lang w:val="en-GB"/>
        </w:rPr>
        <w:t>A court may only make a judicial management order if it is satisfied that company is or will</w:t>
      </w:r>
      <w:r>
        <w:rPr>
          <w:rFonts w:ascii="Arial" w:hAnsi="Arial" w:cs="Arial"/>
          <w:color w:val="7B7B7B" w:themeColor="accent3" w:themeShade="BF"/>
          <w:sz w:val="22"/>
          <w:szCs w:val="22"/>
          <w:lang w:val="en-GB"/>
        </w:rPr>
        <w:t xml:space="preserve"> be</w:t>
      </w:r>
      <w:r w:rsidRPr="00761079">
        <w:rPr>
          <w:rFonts w:ascii="Arial" w:hAnsi="Arial" w:cs="Arial"/>
          <w:color w:val="7B7B7B" w:themeColor="accent3" w:themeShade="BF"/>
          <w:sz w:val="22"/>
          <w:szCs w:val="22"/>
          <w:lang w:val="en-GB"/>
        </w:rPr>
        <w:t xml:space="preserve"> unable to pay the debt and the making of order would be likely to achieve one or more of the following purposes:</w:t>
      </w:r>
    </w:p>
    <w:p w14:paraId="319328E5" w14:textId="77777777" w:rsidR="00761079" w:rsidRPr="00761079" w:rsidRDefault="00761079" w:rsidP="00761079">
      <w:pPr>
        <w:pStyle w:val="ListParagraph"/>
        <w:ind w:left="1080"/>
        <w:jc w:val="both"/>
        <w:rPr>
          <w:rFonts w:ascii="Arial" w:hAnsi="Arial" w:cs="Arial"/>
          <w:color w:val="7B7B7B" w:themeColor="accent3" w:themeShade="BF"/>
          <w:sz w:val="22"/>
          <w:szCs w:val="22"/>
          <w:lang w:val="en-GB"/>
        </w:rPr>
      </w:pPr>
    </w:p>
    <w:p w14:paraId="14B24A19" w14:textId="152CB256" w:rsidR="00761079" w:rsidRDefault="00761079" w:rsidP="00761079">
      <w:pPr>
        <w:pStyle w:val="ListParagraph"/>
        <w:numPr>
          <w:ilvl w:val="1"/>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survival of the company, or the whole or part of its undertaking as a going concern;</w:t>
      </w:r>
    </w:p>
    <w:p w14:paraId="16D15AEE" w14:textId="6C3E0365" w:rsidR="00761079" w:rsidRDefault="00761079" w:rsidP="00761079">
      <w:pPr>
        <w:pStyle w:val="ListParagraph"/>
        <w:numPr>
          <w:ilvl w:val="1"/>
          <w:numId w:val="27"/>
        </w:numPr>
        <w:jc w:val="both"/>
        <w:rPr>
          <w:rFonts w:ascii="Arial" w:hAnsi="Arial" w:cs="Arial"/>
          <w:color w:val="7B7B7B" w:themeColor="accent3" w:themeShade="BF"/>
          <w:sz w:val="22"/>
          <w:szCs w:val="22"/>
          <w:lang w:val="en-GB"/>
        </w:rPr>
      </w:pPr>
      <w:r w:rsidRPr="00761079">
        <w:rPr>
          <w:rFonts w:ascii="Arial" w:hAnsi="Arial" w:cs="Arial"/>
          <w:color w:val="7B7B7B" w:themeColor="accent3" w:themeShade="BF"/>
          <w:sz w:val="22"/>
          <w:szCs w:val="22"/>
          <w:lang w:val="en-GB"/>
        </w:rPr>
        <w:t>The approval under section 210 of the Companies Act of a compromise or arrangement;</w:t>
      </w:r>
    </w:p>
    <w:p w14:paraId="789A18A0" w14:textId="557AF71F" w:rsidR="00761079" w:rsidRPr="00761079" w:rsidRDefault="00761079" w:rsidP="00761079">
      <w:pPr>
        <w:pStyle w:val="ListParagraph"/>
        <w:numPr>
          <w:ilvl w:val="1"/>
          <w:numId w:val="27"/>
        </w:numPr>
        <w:jc w:val="both"/>
        <w:rPr>
          <w:rFonts w:ascii="Arial" w:hAnsi="Arial" w:cs="Arial"/>
          <w:color w:val="7B7B7B" w:themeColor="accent3" w:themeShade="BF"/>
          <w:sz w:val="22"/>
          <w:szCs w:val="22"/>
          <w:lang w:val="en-GB"/>
        </w:rPr>
      </w:pPr>
      <w:r w:rsidRPr="00761079">
        <w:rPr>
          <w:rFonts w:ascii="Arial" w:hAnsi="Arial" w:cs="Arial"/>
          <w:color w:val="7B7B7B" w:themeColor="accent3" w:themeShade="BF"/>
          <w:sz w:val="22"/>
          <w:szCs w:val="22"/>
          <w:lang w:val="en-GB"/>
        </w:rPr>
        <w:t>The more advantageous realisation of the company’s assets that would occur in winding up</w:t>
      </w:r>
    </w:p>
    <w:p w14:paraId="5CF83AF4" w14:textId="77777777" w:rsidR="00761079" w:rsidRDefault="00761079" w:rsidP="00761079">
      <w:pPr>
        <w:ind w:left="720"/>
        <w:jc w:val="both"/>
        <w:rPr>
          <w:rFonts w:ascii="Arial" w:hAnsi="Arial" w:cs="Arial"/>
          <w:sz w:val="22"/>
          <w:szCs w:val="22"/>
          <w:lang w:val="en-GB"/>
        </w:rPr>
      </w:pPr>
    </w:p>
    <w:p w14:paraId="30A844DC" w14:textId="06550D02" w:rsidR="001A007A" w:rsidRDefault="00761079" w:rsidP="00761079">
      <w:pPr>
        <w:ind w:left="720"/>
        <w:jc w:val="both"/>
        <w:rPr>
          <w:rFonts w:ascii="Arial" w:hAnsi="Arial" w:cs="Arial"/>
          <w:sz w:val="22"/>
          <w:szCs w:val="22"/>
          <w:lang w:val="en-GB"/>
        </w:rPr>
      </w:pPr>
      <w:r>
        <w:rPr>
          <w:rFonts w:ascii="Arial" w:hAnsi="Arial" w:cs="Arial"/>
          <w:sz w:val="22"/>
          <w:szCs w:val="22"/>
          <w:lang w:val="en-GB"/>
        </w:rPr>
        <w:t xml:space="preserve">In the given facts, it may be proved </w:t>
      </w:r>
      <w:r w:rsidR="00591264">
        <w:rPr>
          <w:rFonts w:ascii="Arial" w:hAnsi="Arial" w:cs="Arial"/>
          <w:sz w:val="22"/>
          <w:szCs w:val="22"/>
          <w:lang w:val="en-GB"/>
        </w:rPr>
        <w:t>that PEC since having assets in various fields, it is essential that to run the company as a going concern and for the survival the company may be put under the judicial management.</w:t>
      </w:r>
    </w:p>
    <w:p w14:paraId="4266726E" w14:textId="6DC7DBC5" w:rsidR="001A007A" w:rsidRDefault="00591264" w:rsidP="00591264">
      <w:pPr>
        <w:ind w:left="720"/>
        <w:jc w:val="both"/>
        <w:rPr>
          <w:rFonts w:ascii="Arial" w:hAnsi="Arial" w:cs="Arial"/>
          <w:sz w:val="22"/>
          <w:szCs w:val="22"/>
          <w:lang w:val="en-GB"/>
        </w:rPr>
      </w:pPr>
      <w:r>
        <w:rPr>
          <w:rFonts w:ascii="Arial" w:hAnsi="Arial" w:cs="Arial"/>
          <w:sz w:val="22"/>
          <w:szCs w:val="22"/>
          <w:lang w:val="en-GB"/>
        </w:rPr>
        <w:t>It should be presented to the C</w:t>
      </w:r>
      <w:r w:rsidR="00862DB4">
        <w:rPr>
          <w:rFonts w:ascii="Arial" w:hAnsi="Arial" w:cs="Arial"/>
          <w:sz w:val="22"/>
          <w:szCs w:val="22"/>
          <w:lang w:val="en-GB"/>
        </w:rPr>
        <w:t>ourt that the Company has substantial assets in Singapore and has a place of business as well. It</w:t>
      </w:r>
      <w:r>
        <w:rPr>
          <w:rFonts w:ascii="Arial" w:hAnsi="Arial" w:cs="Arial"/>
          <w:sz w:val="22"/>
          <w:szCs w:val="22"/>
          <w:lang w:val="en-GB"/>
        </w:rPr>
        <w:t xml:space="preserve"> is under an obligation to pay SGD 3 billion and a 6 </w:t>
      </w:r>
      <w:r w:rsidR="00B44C18">
        <w:rPr>
          <w:rFonts w:ascii="Arial" w:hAnsi="Arial" w:cs="Arial"/>
          <w:sz w:val="22"/>
          <w:szCs w:val="22"/>
          <w:lang w:val="en-GB"/>
        </w:rPr>
        <w:t>months’</w:t>
      </w:r>
      <w:r>
        <w:rPr>
          <w:rFonts w:ascii="Arial" w:hAnsi="Arial" w:cs="Arial"/>
          <w:sz w:val="22"/>
          <w:szCs w:val="22"/>
          <w:lang w:val="en-GB"/>
        </w:rPr>
        <w:t xml:space="preserve"> extension has bee</w:t>
      </w:r>
      <w:r w:rsidR="00862DB4">
        <w:rPr>
          <w:rFonts w:ascii="Arial" w:hAnsi="Arial" w:cs="Arial"/>
          <w:sz w:val="22"/>
          <w:szCs w:val="22"/>
          <w:lang w:val="en-GB"/>
        </w:rPr>
        <w:t xml:space="preserve">n granted under moratorium and the </w:t>
      </w:r>
      <w:r w:rsidR="00B44C18">
        <w:rPr>
          <w:rFonts w:ascii="Arial" w:hAnsi="Arial" w:cs="Arial"/>
          <w:sz w:val="22"/>
          <w:szCs w:val="22"/>
          <w:lang w:val="en-GB"/>
        </w:rPr>
        <w:t>new</w:t>
      </w:r>
      <w:r w:rsidR="00862DB4">
        <w:rPr>
          <w:rFonts w:ascii="Arial" w:hAnsi="Arial" w:cs="Arial"/>
          <w:sz w:val="22"/>
          <w:szCs w:val="22"/>
          <w:lang w:val="en-GB"/>
        </w:rPr>
        <w:t xml:space="preserve"> Company will not be able to pay its debts. It should also be presented to the Court that there is a reasonable probability of rehabilitating the company in view of the assets in Singapore.</w:t>
      </w:r>
    </w:p>
    <w:p w14:paraId="6F40BCE0" w14:textId="478EE369" w:rsidR="007F659B" w:rsidRDefault="007F659B" w:rsidP="00087F21">
      <w:pPr>
        <w:jc w:val="both"/>
        <w:rPr>
          <w:rFonts w:ascii="Arial" w:hAnsi="Arial" w:cs="Arial"/>
          <w:sz w:val="22"/>
          <w:szCs w:val="22"/>
          <w:lang w:val="en-GB"/>
        </w:rPr>
      </w:pPr>
    </w:p>
    <w:p w14:paraId="3CD68051" w14:textId="77777777" w:rsidR="005B5990" w:rsidRDefault="005B5990" w:rsidP="005B5990">
      <w:pPr>
        <w:ind w:left="720"/>
        <w:jc w:val="both"/>
        <w:rPr>
          <w:rFonts w:ascii="Arial" w:hAnsi="Arial" w:cs="Arial"/>
          <w:sz w:val="22"/>
          <w:szCs w:val="22"/>
          <w:lang w:val="en-GB"/>
        </w:rPr>
      </w:pPr>
      <w:r>
        <w:rPr>
          <w:rFonts w:ascii="Arial" w:hAnsi="Arial" w:cs="Arial"/>
          <w:sz w:val="22"/>
          <w:szCs w:val="22"/>
          <w:lang w:val="en-GB"/>
        </w:rPr>
        <w:tab/>
      </w:r>
    </w:p>
    <w:p w14:paraId="0C0572A1" w14:textId="53805995" w:rsidR="005B5990" w:rsidRDefault="005B5990" w:rsidP="005B5990">
      <w:pPr>
        <w:pStyle w:val="ListParagraph"/>
        <w:numPr>
          <w:ilvl w:val="0"/>
          <w:numId w:val="28"/>
        </w:numPr>
        <w:jc w:val="both"/>
        <w:rPr>
          <w:rFonts w:ascii="Arial" w:hAnsi="Arial" w:cs="Arial"/>
          <w:sz w:val="22"/>
          <w:szCs w:val="22"/>
          <w:lang w:val="en-GB"/>
        </w:rPr>
      </w:pPr>
      <w:r>
        <w:rPr>
          <w:rFonts w:ascii="Arial" w:hAnsi="Arial" w:cs="Arial"/>
          <w:sz w:val="22"/>
          <w:szCs w:val="22"/>
          <w:lang w:val="en-GB"/>
        </w:rPr>
        <w:t>For obtaining rescue financing, it should be proved either or both:</w:t>
      </w:r>
    </w:p>
    <w:p w14:paraId="7DF9837D" w14:textId="77777777" w:rsidR="005B5990" w:rsidRDefault="005B5990" w:rsidP="005B5990">
      <w:pPr>
        <w:pStyle w:val="ListParagraph"/>
        <w:ind w:left="1080"/>
        <w:jc w:val="both"/>
        <w:rPr>
          <w:rFonts w:ascii="Arial" w:hAnsi="Arial" w:cs="Arial"/>
          <w:sz w:val="22"/>
          <w:szCs w:val="22"/>
          <w:lang w:val="en-GB"/>
        </w:rPr>
      </w:pPr>
    </w:p>
    <w:p w14:paraId="480B3DBD" w14:textId="77777777" w:rsidR="005B5990" w:rsidRDefault="005B5990" w:rsidP="005B5990">
      <w:pPr>
        <w:pStyle w:val="ListParagraph"/>
        <w:numPr>
          <w:ilvl w:val="0"/>
          <w:numId w:val="29"/>
        </w:numPr>
        <w:jc w:val="both"/>
        <w:rPr>
          <w:rFonts w:ascii="Arial" w:hAnsi="Arial" w:cs="Arial"/>
          <w:sz w:val="22"/>
          <w:szCs w:val="22"/>
          <w:lang w:val="en-GB"/>
        </w:rPr>
      </w:pPr>
      <w:r>
        <w:rPr>
          <w:rFonts w:ascii="Arial" w:hAnsi="Arial" w:cs="Arial"/>
          <w:sz w:val="22"/>
          <w:szCs w:val="22"/>
          <w:lang w:val="en-GB"/>
        </w:rPr>
        <w:t>Necessary for the survival of a debtor that obtains the financing;</w:t>
      </w:r>
    </w:p>
    <w:p w14:paraId="724C5ECA" w14:textId="77777777" w:rsidR="005B5990" w:rsidRPr="00862DB4" w:rsidRDefault="005B5990" w:rsidP="005B5990">
      <w:pPr>
        <w:pStyle w:val="ListParagraph"/>
        <w:numPr>
          <w:ilvl w:val="0"/>
          <w:numId w:val="29"/>
        </w:numPr>
        <w:jc w:val="both"/>
        <w:rPr>
          <w:rFonts w:ascii="Arial" w:hAnsi="Arial" w:cs="Arial"/>
          <w:sz w:val="22"/>
          <w:szCs w:val="22"/>
          <w:lang w:val="en-GB"/>
        </w:rPr>
      </w:pPr>
      <w:r>
        <w:rPr>
          <w:rFonts w:ascii="Arial" w:hAnsi="Arial" w:cs="Arial"/>
          <w:sz w:val="22"/>
          <w:szCs w:val="22"/>
          <w:lang w:val="en-GB"/>
        </w:rPr>
        <w:t>Necessary to achieve a more advantageous realisation of the assets of a debtor that obtains the financing, than on a winding up of that debtor.</w:t>
      </w:r>
    </w:p>
    <w:p w14:paraId="4FB7033E" w14:textId="4DD35D01" w:rsidR="005B5990" w:rsidRDefault="005B5990" w:rsidP="00087F21">
      <w:pPr>
        <w:jc w:val="both"/>
        <w:rPr>
          <w:rFonts w:ascii="Arial" w:hAnsi="Arial" w:cs="Arial"/>
          <w:sz w:val="22"/>
          <w:szCs w:val="22"/>
          <w:lang w:val="en-GB"/>
        </w:rPr>
      </w:pPr>
    </w:p>
    <w:p w14:paraId="40A3C30F" w14:textId="544F10BA" w:rsidR="005B5990" w:rsidRDefault="005B5990" w:rsidP="005B5990">
      <w:pPr>
        <w:pStyle w:val="ListParagraph"/>
        <w:numPr>
          <w:ilvl w:val="0"/>
          <w:numId w:val="28"/>
        </w:numPr>
        <w:jc w:val="both"/>
        <w:rPr>
          <w:rFonts w:ascii="Arial" w:hAnsi="Arial" w:cs="Arial"/>
          <w:sz w:val="22"/>
          <w:szCs w:val="22"/>
          <w:lang w:val="en-GB"/>
        </w:rPr>
      </w:pPr>
      <w:r>
        <w:rPr>
          <w:rFonts w:ascii="Arial" w:hAnsi="Arial" w:cs="Arial"/>
          <w:sz w:val="22"/>
          <w:szCs w:val="22"/>
          <w:lang w:val="en-GB"/>
        </w:rPr>
        <w:t xml:space="preserve">Singapore law does not recognise the concept of insolvency proceedings for a family or group of companies. Each company is treated as a separate legal entity and separate insolvency proceedings must be filed for each company. With very limited exceptions, the creditors of a company can only claim against that particular </w:t>
      </w:r>
      <w:r>
        <w:rPr>
          <w:rFonts w:ascii="Arial" w:hAnsi="Arial" w:cs="Arial"/>
          <w:sz w:val="22"/>
          <w:szCs w:val="22"/>
          <w:lang w:val="en-GB"/>
        </w:rPr>
        <w:lastRenderedPageBreak/>
        <w:t>company in its insolvency proceedings. However, the law does permit each sepa</w:t>
      </w:r>
      <w:r w:rsidR="00D43C74">
        <w:rPr>
          <w:rFonts w:ascii="Arial" w:hAnsi="Arial" w:cs="Arial"/>
          <w:sz w:val="22"/>
          <w:szCs w:val="22"/>
          <w:lang w:val="en-GB"/>
        </w:rPr>
        <w:t>ra</w:t>
      </w:r>
      <w:r>
        <w:rPr>
          <w:rFonts w:ascii="Arial" w:hAnsi="Arial" w:cs="Arial"/>
          <w:sz w:val="22"/>
          <w:szCs w:val="22"/>
          <w:lang w:val="en-GB"/>
        </w:rPr>
        <w:t>te application to be heard in court together before the same insolvency judge. In this way, the related proceedings for each company in the family can be dealt with by the same judge. Thus, in the present case, creditors of each separate legal entity within a group of companies can decide to file different insolvency or other processes for each entity.</w:t>
      </w:r>
    </w:p>
    <w:p w14:paraId="5BAF0B7A" w14:textId="77777777" w:rsidR="005B5990" w:rsidRPr="005B5990" w:rsidRDefault="005B5990" w:rsidP="005B5990">
      <w:pPr>
        <w:pStyle w:val="ListParagraph"/>
        <w:ind w:left="1080"/>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4E4F20C2" w14:textId="40527395" w:rsidR="006358BE" w:rsidRDefault="006358BE"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10 March 2017, Singapore adopted the UNCITRAL Model Law on Cross Border I</w:t>
      </w:r>
      <w:r w:rsidR="00BE2549">
        <w:rPr>
          <w:rFonts w:ascii="Arial" w:hAnsi="Arial" w:cs="Arial"/>
          <w:color w:val="7B7B7B" w:themeColor="accent3" w:themeShade="BF"/>
          <w:sz w:val="22"/>
          <w:szCs w:val="22"/>
          <w:lang w:val="en-GB"/>
        </w:rPr>
        <w:t>nsolvency th</w:t>
      </w:r>
      <w:r>
        <w:rPr>
          <w:rFonts w:ascii="Arial" w:hAnsi="Arial" w:cs="Arial"/>
          <w:color w:val="7B7B7B" w:themeColor="accent3" w:themeShade="BF"/>
          <w:sz w:val="22"/>
          <w:szCs w:val="22"/>
          <w:lang w:val="en-GB"/>
        </w:rPr>
        <w:t>r</w:t>
      </w:r>
      <w:r w:rsidR="00BE2549">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ugh its adoption of the 2017 Amendment Act. Adoption of the Model Law via the Amendment Act now allows foreign representatives to apply to the High Court of Singapore for the recognition of foreign proceedings. The Model Law as adopted in Singapore is substantially in the same form as the original Model Law and also provides for international co-operation and communication between courts and representatives, and for concurrent insolvency proceedings.</w:t>
      </w:r>
    </w:p>
    <w:p w14:paraId="19B07853" w14:textId="77777777" w:rsidR="006358BE" w:rsidRDefault="006358BE" w:rsidP="005C529D">
      <w:pPr>
        <w:autoSpaceDE w:val="0"/>
        <w:autoSpaceDN w:val="0"/>
        <w:adjustRightInd w:val="0"/>
        <w:jc w:val="both"/>
        <w:rPr>
          <w:rFonts w:ascii="Arial" w:hAnsi="Arial" w:cs="Arial"/>
          <w:color w:val="7B7B7B" w:themeColor="accent3" w:themeShade="BF"/>
          <w:sz w:val="22"/>
          <w:szCs w:val="22"/>
          <w:lang w:val="en-GB"/>
        </w:rPr>
      </w:pPr>
    </w:p>
    <w:p w14:paraId="5612F49F" w14:textId="77777777" w:rsidR="00BE2549" w:rsidRDefault="006358BE"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Notably, the Model Law as incorporated in the Amendment Act has no requirement of reciprocity with the State in which the foreign proceeding is occurring.</w:t>
      </w:r>
    </w:p>
    <w:p w14:paraId="6FE43E04" w14:textId="77777777" w:rsidR="00BE2549" w:rsidRDefault="00BE2549" w:rsidP="005C529D">
      <w:pPr>
        <w:autoSpaceDE w:val="0"/>
        <w:autoSpaceDN w:val="0"/>
        <w:adjustRightInd w:val="0"/>
        <w:jc w:val="both"/>
        <w:rPr>
          <w:rFonts w:ascii="Arial" w:hAnsi="Arial" w:cs="Arial"/>
          <w:color w:val="7B7B7B" w:themeColor="accent3" w:themeShade="BF"/>
          <w:sz w:val="22"/>
          <w:szCs w:val="22"/>
          <w:lang w:val="en-GB"/>
        </w:rPr>
      </w:pPr>
    </w:p>
    <w:p w14:paraId="6987BA9D" w14:textId="06EAE1DE" w:rsidR="005C529D" w:rsidRPr="002A37BB" w:rsidRDefault="00BE2549" w:rsidP="005C529D">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Accordingly, the judicial management moratoria obtained by PEC and its subsidiaries have extra territorial effect, though, the judicial manager is supposed to file for recognition of main proceedings initiated in Singapore, in the other jurisdiction</w:t>
      </w:r>
      <w:r w:rsidR="0009058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as well. This issue has also been authoritatively adjudicated by the High Court of England &amp; Wales in the case of H&amp;CS Holdings Pte Ltd Vs Glencore International AG (2019) EWHC 1457 (Ch) wherein the High Court recognised a moratorium order granted by the High Court of Singapore under section 211 B of Singapore’s Amended Companies Act, as a foreign main proceeding under the Model Law. </w:t>
      </w:r>
      <w:r w:rsidR="0007291B"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lastRenderedPageBreak/>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57B6988E" w:rsidR="002D3473" w:rsidRDefault="0009058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[Singapore is one of the few Asian countries to have adopted the Model Law, which was enacted in the US, UK and Australia more than ten years ago. On March 10,2017, Singapore adopted the UNCITRAL Model Law on Cross Border Insolvency through its adoption of the 2017 Amendment Act. Further, in a related development, on 1 February 2017, the Supreme Court of Singapore adopted the Guidelines for Communication and Cooperation between Courts in Cross Border Insolvency Matters (the JIN Guidelines). This is the first time that a judicial communication and co-operation framework for cross-border insolvency has been adopted in Singapore.</w:t>
      </w:r>
    </w:p>
    <w:p w14:paraId="130773E1" w14:textId="40ED7409" w:rsidR="00090582" w:rsidRDefault="00090582" w:rsidP="00087F21">
      <w:pPr>
        <w:autoSpaceDE w:val="0"/>
        <w:autoSpaceDN w:val="0"/>
        <w:adjustRightInd w:val="0"/>
        <w:jc w:val="both"/>
        <w:rPr>
          <w:rFonts w:ascii="Arial" w:hAnsi="Arial" w:cs="Arial"/>
          <w:color w:val="7B7B7B" w:themeColor="accent3" w:themeShade="BF"/>
          <w:sz w:val="22"/>
          <w:szCs w:val="22"/>
          <w:lang w:val="en-GB"/>
        </w:rPr>
      </w:pPr>
    </w:p>
    <w:p w14:paraId="2A4422F6" w14:textId="7C82EA53" w:rsidR="005668DE" w:rsidRDefault="0009058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Reciprocal Enforcement of Commonwealth Judgements Act (REJCA) enables judgements from the United</w:t>
      </w:r>
      <w:r w:rsidR="005668DE">
        <w:rPr>
          <w:rFonts w:ascii="Arial" w:hAnsi="Arial" w:cs="Arial"/>
          <w:color w:val="7B7B7B" w:themeColor="accent3" w:themeShade="BF"/>
          <w:sz w:val="22"/>
          <w:szCs w:val="22"/>
          <w:lang w:val="en-GB"/>
        </w:rPr>
        <w:t xml:space="preserve"> Kingdom</w:t>
      </w:r>
      <w:r>
        <w:rPr>
          <w:rFonts w:ascii="Arial" w:hAnsi="Arial" w:cs="Arial"/>
          <w:color w:val="7B7B7B" w:themeColor="accent3" w:themeShade="BF"/>
          <w:sz w:val="22"/>
          <w:szCs w:val="22"/>
          <w:lang w:val="en-GB"/>
        </w:rPr>
        <w:t xml:space="preserve"> and Australia</w:t>
      </w:r>
      <w:r w:rsidR="005668DE">
        <w:rPr>
          <w:rFonts w:ascii="Arial" w:hAnsi="Arial" w:cs="Arial"/>
          <w:color w:val="7B7B7B" w:themeColor="accent3" w:themeShade="BF"/>
          <w:sz w:val="22"/>
          <w:szCs w:val="22"/>
          <w:lang w:val="en-GB"/>
        </w:rPr>
        <w:t xml:space="preserve"> to be registered in the Singapore High Court. The second applicable regime in Singapore is that under the Reciprocal Enforcement of Foreign Judgements Act, where so far only Hong Kong SAR has been a gazetted country recognised for registration.</w:t>
      </w:r>
    </w:p>
    <w:p w14:paraId="540F2E74" w14:textId="77777777" w:rsidR="005668DE" w:rsidRDefault="005668DE" w:rsidP="00087F21">
      <w:pPr>
        <w:autoSpaceDE w:val="0"/>
        <w:autoSpaceDN w:val="0"/>
        <w:adjustRightInd w:val="0"/>
        <w:jc w:val="both"/>
        <w:rPr>
          <w:rFonts w:ascii="Arial" w:hAnsi="Arial" w:cs="Arial"/>
          <w:color w:val="7B7B7B" w:themeColor="accent3" w:themeShade="BF"/>
          <w:sz w:val="22"/>
          <w:szCs w:val="22"/>
          <w:lang w:val="en-GB"/>
        </w:rPr>
      </w:pPr>
    </w:p>
    <w:p w14:paraId="70894F50" w14:textId="1EB4167F" w:rsidR="00090582" w:rsidRPr="002A37BB" w:rsidRDefault="005668DE"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 Singapore, the RECJA establishes a statutory scheme for the recognition and enforcement of judgements of superior courts from the abovementioned jurisdictions to be registered. Under section 3(1), a judgement creditor is allowed to apply to the Singapore High Court for the registration of a judgement. The Singapore High Court may order such judgement to be registered if it thinks, in all the circumstances of the case, that it is just and convenient for the judgement to be enforced in Singapore.</w:t>
      </w:r>
      <w:r w:rsidR="00090582">
        <w:rPr>
          <w:rFonts w:ascii="Arial" w:hAnsi="Arial" w:cs="Arial"/>
          <w:color w:val="7B7B7B" w:themeColor="accent3" w:themeShade="BF"/>
          <w:sz w:val="22"/>
          <w:szCs w:val="22"/>
          <w:lang w:val="en-GB"/>
        </w:rPr>
        <w:t xml:space="preserve">  </w:t>
      </w:r>
    </w:p>
    <w:p w14:paraId="4721A448" w14:textId="59E3CCE1" w:rsidR="002D3473" w:rsidRDefault="002D3473" w:rsidP="00087F21">
      <w:pPr>
        <w:autoSpaceDE w:val="0"/>
        <w:autoSpaceDN w:val="0"/>
        <w:adjustRightInd w:val="0"/>
        <w:jc w:val="both"/>
        <w:rPr>
          <w:rFonts w:ascii="Arial" w:hAnsi="Arial" w:cs="Arial"/>
          <w:sz w:val="22"/>
          <w:szCs w:val="22"/>
          <w:lang w:val="en-GB"/>
        </w:rPr>
      </w:pPr>
    </w:p>
    <w:p w14:paraId="1337A87C" w14:textId="3065DB7A" w:rsidR="005668DE" w:rsidRDefault="005668D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Once registered, the foreign judgement may be enforced against in Singapore as if it was a judgement issued from the Singapore High Court without fresh proceedings to be commenced.</w:t>
      </w:r>
      <w:r w:rsidR="005F3C48">
        <w:rPr>
          <w:rFonts w:ascii="Arial" w:hAnsi="Arial" w:cs="Arial"/>
          <w:sz w:val="22"/>
          <w:szCs w:val="22"/>
          <w:lang w:val="en-GB"/>
        </w:rPr>
        <w:t xml:space="preserve"> A foreign judgement that is recognised potentially has an estoppel effect on a specific issue or on a cause of action.]</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EF42" w14:textId="77777777" w:rsidR="008C737E" w:rsidRDefault="008C737E">
      <w:r>
        <w:separator/>
      </w:r>
    </w:p>
  </w:endnote>
  <w:endnote w:type="continuationSeparator" w:id="0">
    <w:p w14:paraId="34CD77AE" w14:textId="77777777" w:rsidR="008C737E" w:rsidRDefault="008C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090582" w:rsidRPr="00FC7B47" w:rsidRDefault="0009058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090582" w:rsidRPr="00FC7B47" w:rsidRDefault="0009058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63FCC019" w:rsidR="00090582" w:rsidRPr="009B4976" w:rsidRDefault="00090582"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44C18">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09CBBDDF" w14:textId="2251EEA1" w:rsidR="00090582" w:rsidRPr="009B4976" w:rsidRDefault="00B44C18" w:rsidP="009B4976">
    <w:pPr>
      <w:pStyle w:val="Footer"/>
      <w:ind w:right="360"/>
      <w:rPr>
        <w:rFonts w:ascii="Arial" w:hAnsi="Arial" w:cs="Arial"/>
        <w:sz w:val="18"/>
        <w:szCs w:val="18"/>
        <w:lang w:val="en-GB"/>
      </w:rPr>
    </w:pPr>
    <w:r>
      <w:rPr>
        <w:rFonts w:ascii="Arial" w:hAnsi="Arial" w:cs="Arial"/>
        <w:sz w:val="18"/>
        <w:szCs w:val="18"/>
        <w:lang w:val="en-GB"/>
      </w:rPr>
      <w:t>202021IFU-366.assessment8E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6D87" w14:textId="77777777" w:rsidR="008C737E" w:rsidRDefault="008C737E">
      <w:r>
        <w:separator/>
      </w:r>
    </w:p>
  </w:footnote>
  <w:footnote w:type="continuationSeparator" w:id="0">
    <w:p w14:paraId="396C530D" w14:textId="77777777" w:rsidR="008C737E" w:rsidRDefault="008C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81"/>
    <w:multiLevelType w:val="hybridMultilevel"/>
    <w:tmpl w:val="E1FAEAFC"/>
    <w:lvl w:ilvl="0" w:tplc="A4EA1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21F7A"/>
    <w:multiLevelType w:val="hybridMultilevel"/>
    <w:tmpl w:val="AA54D00C"/>
    <w:lvl w:ilvl="0" w:tplc="55BECA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F2EC0"/>
    <w:multiLevelType w:val="hybridMultilevel"/>
    <w:tmpl w:val="A852E38A"/>
    <w:lvl w:ilvl="0" w:tplc="60A27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D2965"/>
    <w:multiLevelType w:val="hybridMultilevel"/>
    <w:tmpl w:val="D84C7822"/>
    <w:lvl w:ilvl="0" w:tplc="39FCD7A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A5269"/>
    <w:multiLevelType w:val="hybridMultilevel"/>
    <w:tmpl w:val="EBF84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5876E1D"/>
    <w:multiLevelType w:val="hybridMultilevel"/>
    <w:tmpl w:val="8B42FFAA"/>
    <w:lvl w:ilvl="0" w:tplc="12861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1" w15:restartNumberingAfterBreak="0">
    <w:nsid w:val="29E45D47"/>
    <w:multiLevelType w:val="hybridMultilevel"/>
    <w:tmpl w:val="E03CE972"/>
    <w:lvl w:ilvl="0" w:tplc="A01012D6">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17FCD"/>
    <w:multiLevelType w:val="hybridMultilevel"/>
    <w:tmpl w:val="7CD69E70"/>
    <w:lvl w:ilvl="0" w:tplc="356269FC">
      <w:start w:val="2"/>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13087"/>
    <w:multiLevelType w:val="hybridMultilevel"/>
    <w:tmpl w:val="5C50F9CC"/>
    <w:lvl w:ilvl="0" w:tplc="FDCAE9F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692858"/>
    <w:multiLevelType w:val="hybridMultilevel"/>
    <w:tmpl w:val="A73066C0"/>
    <w:lvl w:ilvl="0" w:tplc="C9903884">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42294"/>
    <w:multiLevelType w:val="hybridMultilevel"/>
    <w:tmpl w:val="4F34117E"/>
    <w:lvl w:ilvl="0" w:tplc="431E4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55CDF"/>
    <w:multiLevelType w:val="hybridMultilevel"/>
    <w:tmpl w:val="451CA6C4"/>
    <w:lvl w:ilvl="0" w:tplc="D3D2C08C">
      <w:start w:val="1"/>
      <w:numFmt w:val="lowerLetter"/>
      <w:lvlText w:val="(%1)"/>
      <w:lvlJc w:val="left"/>
      <w:pPr>
        <w:ind w:left="730" w:hanging="360"/>
      </w:pPr>
      <w:rPr>
        <w:rFonts w:hint="default"/>
        <w:color w:val="7B7B7B" w:themeColor="accent3" w:themeShade="BF"/>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8"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5"/>
  </w:num>
  <w:num w:numId="5">
    <w:abstractNumId w:val="14"/>
  </w:num>
  <w:num w:numId="6">
    <w:abstractNumId w:val="27"/>
  </w:num>
  <w:num w:numId="7">
    <w:abstractNumId w:val="7"/>
  </w:num>
  <w:num w:numId="8">
    <w:abstractNumId w:val="23"/>
  </w:num>
  <w:num w:numId="9">
    <w:abstractNumId w:val="26"/>
  </w:num>
  <w:num w:numId="10">
    <w:abstractNumId w:val="12"/>
  </w:num>
  <w:num w:numId="11">
    <w:abstractNumId w:val="21"/>
  </w:num>
  <w:num w:numId="12">
    <w:abstractNumId w:val="15"/>
  </w:num>
  <w:num w:numId="13">
    <w:abstractNumId w:val="16"/>
  </w:num>
  <w:num w:numId="14">
    <w:abstractNumId w:val="1"/>
  </w:num>
  <w:num w:numId="15">
    <w:abstractNumId w:val="19"/>
  </w:num>
  <w:num w:numId="16">
    <w:abstractNumId w:val="24"/>
  </w:num>
  <w:num w:numId="17">
    <w:abstractNumId w:val="28"/>
  </w:num>
  <w:num w:numId="18">
    <w:abstractNumId w:val="11"/>
  </w:num>
  <w:num w:numId="19">
    <w:abstractNumId w:val="20"/>
  </w:num>
  <w:num w:numId="20">
    <w:abstractNumId w:val="18"/>
  </w:num>
  <w:num w:numId="21">
    <w:abstractNumId w:val="17"/>
  </w:num>
  <w:num w:numId="22">
    <w:abstractNumId w:val="4"/>
  </w:num>
  <w:num w:numId="23">
    <w:abstractNumId w:val="25"/>
  </w:num>
  <w:num w:numId="24">
    <w:abstractNumId w:val="0"/>
  </w:num>
  <w:num w:numId="25">
    <w:abstractNumId w:val="3"/>
  </w:num>
  <w:num w:numId="26">
    <w:abstractNumId w:val="9"/>
  </w:num>
  <w:num w:numId="27">
    <w:abstractNumId w:val="2"/>
  </w:num>
  <w:num w:numId="28">
    <w:abstractNumId w:val="6"/>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53029"/>
    <w:rsid w:val="00057286"/>
    <w:rsid w:val="00062F53"/>
    <w:rsid w:val="00065166"/>
    <w:rsid w:val="00067A22"/>
    <w:rsid w:val="0007291B"/>
    <w:rsid w:val="00082609"/>
    <w:rsid w:val="000851CC"/>
    <w:rsid w:val="00087F21"/>
    <w:rsid w:val="00090582"/>
    <w:rsid w:val="00093BE8"/>
    <w:rsid w:val="000A407B"/>
    <w:rsid w:val="000A68ED"/>
    <w:rsid w:val="000B0581"/>
    <w:rsid w:val="000B4074"/>
    <w:rsid w:val="000B5FF1"/>
    <w:rsid w:val="000B609F"/>
    <w:rsid w:val="000C2AB6"/>
    <w:rsid w:val="000D2BEC"/>
    <w:rsid w:val="000D55A8"/>
    <w:rsid w:val="000E1246"/>
    <w:rsid w:val="000E4841"/>
    <w:rsid w:val="000F0B79"/>
    <w:rsid w:val="000F0CF2"/>
    <w:rsid w:val="000F1677"/>
    <w:rsid w:val="000F3D6C"/>
    <w:rsid w:val="000F45B1"/>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5942"/>
    <w:rsid w:val="00166A82"/>
    <w:rsid w:val="00180548"/>
    <w:rsid w:val="00180AC4"/>
    <w:rsid w:val="00180CCE"/>
    <w:rsid w:val="00181A91"/>
    <w:rsid w:val="0018267A"/>
    <w:rsid w:val="00182779"/>
    <w:rsid w:val="001830DF"/>
    <w:rsid w:val="00187C2E"/>
    <w:rsid w:val="001957E8"/>
    <w:rsid w:val="00195E02"/>
    <w:rsid w:val="001966D9"/>
    <w:rsid w:val="001A007A"/>
    <w:rsid w:val="001A2AC0"/>
    <w:rsid w:val="001A33FF"/>
    <w:rsid w:val="001A4484"/>
    <w:rsid w:val="001A7E9A"/>
    <w:rsid w:val="001B0F70"/>
    <w:rsid w:val="001B5016"/>
    <w:rsid w:val="001B73FB"/>
    <w:rsid w:val="001C45FC"/>
    <w:rsid w:val="001C7B25"/>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3100"/>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0712F"/>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68DE"/>
    <w:rsid w:val="00567AD7"/>
    <w:rsid w:val="00573FE4"/>
    <w:rsid w:val="005758A7"/>
    <w:rsid w:val="00575B2D"/>
    <w:rsid w:val="005771EA"/>
    <w:rsid w:val="0058230B"/>
    <w:rsid w:val="005833D0"/>
    <w:rsid w:val="005846F3"/>
    <w:rsid w:val="0058622F"/>
    <w:rsid w:val="00591264"/>
    <w:rsid w:val="00592F82"/>
    <w:rsid w:val="0059480D"/>
    <w:rsid w:val="005A0CCA"/>
    <w:rsid w:val="005A6ED5"/>
    <w:rsid w:val="005A6FF2"/>
    <w:rsid w:val="005A726D"/>
    <w:rsid w:val="005B5514"/>
    <w:rsid w:val="005B5990"/>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2FA6"/>
    <w:rsid w:val="005F3C48"/>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58BE"/>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03A4"/>
    <w:rsid w:val="006B435A"/>
    <w:rsid w:val="006B4C64"/>
    <w:rsid w:val="006D2BBF"/>
    <w:rsid w:val="006D45F3"/>
    <w:rsid w:val="006D6BD5"/>
    <w:rsid w:val="006E4183"/>
    <w:rsid w:val="006E481A"/>
    <w:rsid w:val="006E5298"/>
    <w:rsid w:val="006E73C9"/>
    <w:rsid w:val="006F2457"/>
    <w:rsid w:val="006F4A78"/>
    <w:rsid w:val="006F734A"/>
    <w:rsid w:val="00700D83"/>
    <w:rsid w:val="00704852"/>
    <w:rsid w:val="007064B1"/>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1079"/>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06B2"/>
    <w:rsid w:val="007D3C92"/>
    <w:rsid w:val="007D7C92"/>
    <w:rsid w:val="007E1154"/>
    <w:rsid w:val="007E40F0"/>
    <w:rsid w:val="007E6BA4"/>
    <w:rsid w:val="007E7678"/>
    <w:rsid w:val="007F41F8"/>
    <w:rsid w:val="007F659B"/>
    <w:rsid w:val="008028FB"/>
    <w:rsid w:val="0080454E"/>
    <w:rsid w:val="00804C32"/>
    <w:rsid w:val="00806302"/>
    <w:rsid w:val="00807119"/>
    <w:rsid w:val="0082483F"/>
    <w:rsid w:val="0082694D"/>
    <w:rsid w:val="008277A3"/>
    <w:rsid w:val="008279C0"/>
    <w:rsid w:val="00831582"/>
    <w:rsid w:val="0084683C"/>
    <w:rsid w:val="00851178"/>
    <w:rsid w:val="00853901"/>
    <w:rsid w:val="00856BD4"/>
    <w:rsid w:val="00856FC1"/>
    <w:rsid w:val="00862DB4"/>
    <w:rsid w:val="00867701"/>
    <w:rsid w:val="008723F3"/>
    <w:rsid w:val="00876F56"/>
    <w:rsid w:val="00881DE6"/>
    <w:rsid w:val="008837A6"/>
    <w:rsid w:val="0089145D"/>
    <w:rsid w:val="008A11CA"/>
    <w:rsid w:val="008A4DF2"/>
    <w:rsid w:val="008A6CFE"/>
    <w:rsid w:val="008B0F78"/>
    <w:rsid w:val="008B155E"/>
    <w:rsid w:val="008B5333"/>
    <w:rsid w:val="008B6223"/>
    <w:rsid w:val="008B779D"/>
    <w:rsid w:val="008C1D22"/>
    <w:rsid w:val="008C66E0"/>
    <w:rsid w:val="008C737E"/>
    <w:rsid w:val="008E3339"/>
    <w:rsid w:val="008F20FC"/>
    <w:rsid w:val="008F5FFE"/>
    <w:rsid w:val="00905A43"/>
    <w:rsid w:val="00912C79"/>
    <w:rsid w:val="00921B8C"/>
    <w:rsid w:val="0092447E"/>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691D"/>
    <w:rsid w:val="009E717E"/>
    <w:rsid w:val="009F1595"/>
    <w:rsid w:val="009F206F"/>
    <w:rsid w:val="009F275E"/>
    <w:rsid w:val="009F3B9D"/>
    <w:rsid w:val="00A01DDA"/>
    <w:rsid w:val="00A047EE"/>
    <w:rsid w:val="00A2274A"/>
    <w:rsid w:val="00A235B7"/>
    <w:rsid w:val="00A27A7A"/>
    <w:rsid w:val="00A34ABE"/>
    <w:rsid w:val="00A36BB2"/>
    <w:rsid w:val="00A407EF"/>
    <w:rsid w:val="00A46B4C"/>
    <w:rsid w:val="00A5117B"/>
    <w:rsid w:val="00A51AFD"/>
    <w:rsid w:val="00A52215"/>
    <w:rsid w:val="00A56D34"/>
    <w:rsid w:val="00A57EFB"/>
    <w:rsid w:val="00A60074"/>
    <w:rsid w:val="00A64900"/>
    <w:rsid w:val="00A6627C"/>
    <w:rsid w:val="00A71019"/>
    <w:rsid w:val="00A81029"/>
    <w:rsid w:val="00A83871"/>
    <w:rsid w:val="00A845F5"/>
    <w:rsid w:val="00A92054"/>
    <w:rsid w:val="00A94F39"/>
    <w:rsid w:val="00A96489"/>
    <w:rsid w:val="00AA2FEC"/>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C18"/>
    <w:rsid w:val="00B44D9A"/>
    <w:rsid w:val="00B50EA0"/>
    <w:rsid w:val="00B51B95"/>
    <w:rsid w:val="00B54D7D"/>
    <w:rsid w:val="00B56103"/>
    <w:rsid w:val="00B57819"/>
    <w:rsid w:val="00B64929"/>
    <w:rsid w:val="00B736DF"/>
    <w:rsid w:val="00B743D6"/>
    <w:rsid w:val="00B74FBD"/>
    <w:rsid w:val="00B77F46"/>
    <w:rsid w:val="00B81AE8"/>
    <w:rsid w:val="00B82586"/>
    <w:rsid w:val="00B829A3"/>
    <w:rsid w:val="00B86DB1"/>
    <w:rsid w:val="00B87869"/>
    <w:rsid w:val="00B9639B"/>
    <w:rsid w:val="00BB0F2B"/>
    <w:rsid w:val="00BB456F"/>
    <w:rsid w:val="00BE2549"/>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0EB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30C18"/>
    <w:rsid w:val="00D43C74"/>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35421"/>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1B9"/>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39EF"/>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0B2"/>
    <w:rsid w:val="00F60538"/>
    <w:rsid w:val="00F61DD2"/>
    <w:rsid w:val="00F66AFF"/>
    <w:rsid w:val="00F674C7"/>
    <w:rsid w:val="00F67692"/>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7AC71A7B-3715-4FF2-B404-FB9686D6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Ravi Prakash Sharma TPR (IN)</cp:lastModifiedBy>
  <cp:revision>2</cp:revision>
  <dcterms:created xsi:type="dcterms:W3CDTF">2021-07-16T10:21:00Z</dcterms:created>
  <dcterms:modified xsi:type="dcterms:W3CDTF">2021-07-16T10:21:00Z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