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FFD8"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3BD4C696" wp14:editId="6CD3349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4C7AE93" w14:textId="77777777" w:rsidR="004B23A2" w:rsidRDefault="004B23A2" w:rsidP="00592F82">
      <w:pPr>
        <w:jc w:val="center"/>
        <w:rPr>
          <w:rFonts w:ascii="Arial" w:hAnsi="Arial" w:cs="Arial"/>
          <w:b/>
          <w:sz w:val="22"/>
          <w:szCs w:val="22"/>
          <w:lang w:val="en-GB"/>
        </w:rPr>
      </w:pPr>
    </w:p>
    <w:p w14:paraId="3B812494" w14:textId="77777777" w:rsidR="00397D3A" w:rsidRDefault="00397D3A" w:rsidP="00592F82">
      <w:pPr>
        <w:jc w:val="center"/>
        <w:rPr>
          <w:rFonts w:ascii="Arial" w:hAnsi="Arial" w:cs="Arial"/>
          <w:b/>
          <w:sz w:val="22"/>
          <w:szCs w:val="22"/>
          <w:lang w:val="en-GB"/>
        </w:rPr>
      </w:pPr>
    </w:p>
    <w:p w14:paraId="6465202C" w14:textId="77777777" w:rsidR="00437297" w:rsidRDefault="00437297" w:rsidP="00592F82">
      <w:pPr>
        <w:jc w:val="center"/>
        <w:rPr>
          <w:rFonts w:ascii="Arial" w:hAnsi="Arial" w:cs="Arial"/>
          <w:b/>
          <w:sz w:val="22"/>
          <w:szCs w:val="22"/>
          <w:lang w:val="en-GB"/>
        </w:rPr>
      </w:pPr>
    </w:p>
    <w:p w14:paraId="16903318" w14:textId="77777777" w:rsidR="00437297" w:rsidRDefault="00437297" w:rsidP="00592F82">
      <w:pPr>
        <w:jc w:val="center"/>
        <w:rPr>
          <w:rFonts w:ascii="Arial" w:hAnsi="Arial" w:cs="Arial"/>
          <w:b/>
          <w:sz w:val="22"/>
          <w:szCs w:val="22"/>
          <w:lang w:val="en-GB"/>
        </w:rPr>
      </w:pPr>
    </w:p>
    <w:p w14:paraId="3504E3E8" w14:textId="77777777" w:rsidR="00397D3A" w:rsidRDefault="00397D3A" w:rsidP="00592F82">
      <w:pPr>
        <w:jc w:val="center"/>
        <w:rPr>
          <w:rFonts w:ascii="Arial" w:hAnsi="Arial" w:cs="Arial"/>
          <w:b/>
          <w:sz w:val="22"/>
          <w:szCs w:val="22"/>
          <w:lang w:val="en-GB"/>
        </w:rPr>
      </w:pPr>
    </w:p>
    <w:p w14:paraId="17A7FA00" w14:textId="77777777" w:rsidR="00397D3A" w:rsidRDefault="00397D3A" w:rsidP="00592F82">
      <w:pPr>
        <w:jc w:val="center"/>
        <w:rPr>
          <w:rFonts w:ascii="Arial" w:hAnsi="Arial" w:cs="Arial"/>
          <w:b/>
          <w:sz w:val="22"/>
          <w:szCs w:val="22"/>
          <w:lang w:val="en-GB"/>
        </w:rPr>
      </w:pPr>
    </w:p>
    <w:p w14:paraId="222E86C0" w14:textId="77777777" w:rsidR="00E93993" w:rsidRDefault="00E93993" w:rsidP="00592F82">
      <w:pPr>
        <w:jc w:val="center"/>
        <w:rPr>
          <w:rFonts w:ascii="Arial" w:hAnsi="Arial" w:cs="Arial"/>
          <w:b/>
          <w:sz w:val="22"/>
          <w:szCs w:val="22"/>
          <w:lang w:val="en-GB"/>
        </w:rPr>
      </w:pPr>
    </w:p>
    <w:p w14:paraId="6DF448CB" w14:textId="77777777" w:rsidR="00434A8C" w:rsidRDefault="00434A8C"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F9973CE" w14:textId="77777777" w:rsidR="0011473D" w:rsidRDefault="00C56B61"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D84AFA">
        <w:rPr>
          <w:rFonts w:ascii="Arial" w:hAnsi="Arial" w:cs="Arial"/>
          <w:b/>
          <w:color w:val="000000" w:themeColor="text1"/>
          <w:sz w:val="28"/>
          <w:szCs w:val="28"/>
          <w:lang w:val="en-GB"/>
        </w:rPr>
        <w:t>6D</w:t>
      </w:r>
    </w:p>
    <w:p w14:paraId="4CFC7A94" w14:textId="77777777" w:rsidR="002638B0" w:rsidRDefault="002638B0"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CF76A51" w14:textId="77777777" w:rsidR="002638B0" w:rsidRPr="0018318A" w:rsidRDefault="00D84AFA"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8318A">
        <w:rPr>
          <w:rFonts w:ascii="Arial" w:hAnsi="Arial" w:cs="Arial"/>
          <w:b/>
          <w:color w:val="000000" w:themeColor="text1"/>
          <w:sz w:val="28"/>
          <w:szCs w:val="28"/>
          <w:lang w:val="en-GB"/>
        </w:rPr>
        <w:t>ITALY</w:t>
      </w:r>
    </w:p>
    <w:p w14:paraId="0AB66425" w14:textId="77777777" w:rsidR="00434A8C" w:rsidRPr="007C6201" w:rsidRDefault="00434A8C" w:rsidP="00C32FC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122C9432" w14:textId="77777777" w:rsidR="009D0811" w:rsidRDefault="009D0811" w:rsidP="00592F82">
      <w:pPr>
        <w:jc w:val="center"/>
        <w:rPr>
          <w:rFonts w:ascii="Arial" w:hAnsi="Arial" w:cs="Arial"/>
          <w:b/>
          <w:sz w:val="22"/>
          <w:szCs w:val="22"/>
          <w:lang w:val="en-GB"/>
        </w:rPr>
      </w:pPr>
    </w:p>
    <w:p w14:paraId="533DF0D8" w14:textId="77777777" w:rsidR="00E93993" w:rsidRDefault="00E93993" w:rsidP="00592F82">
      <w:pPr>
        <w:jc w:val="center"/>
        <w:rPr>
          <w:rFonts w:ascii="Arial" w:hAnsi="Arial" w:cs="Arial"/>
          <w:b/>
          <w:sz w:val="22"/>
          <w:szCs w:val="22"/>
          <w:lang w:val="en-GB"/>
        </w:rPr>
      </w:pPr>
    </w:p>
    <w:p w14:paraId="0A4D6E88" w14:textId="77777777" w:rsidR="00397D3A" w:rsidRDefault="00397D3A" w:rsidP="00592F82">
      <w:pPr>
        <w:jc w:val="center"/>
        <w:rPr>
          <w:rFonts w:ascii="Arial" w:hAnsi="Arial" w:cs="Arial"/>
          <w:b/>
          <w:sz w:val="22"/>
          <w:szCs w:val="22"/>
          <w:lang w:val="en-GB"/>
        </w:rPr>
      </w:pPr>
    </w:p>
    <w:p w14:paraId="579605A3" w14:textId="77777777" w:rsidR="00397D3A" w:rsidRDefault="00397D3A" w:rsidP="00592F82">
      <w:pPr>
        <w:jc w:val="center"/>
        <w:rPr>
          <w:rFonts w:ascii="Arial" w:hAnsi="Arial" w:cs="Arial"/>
          <w:b/>
          <w:sz w:val="22"/>
          <w:szCs w:val="22"/>
          <w:lang w:val="en-GB"/>
        </w:rPr>
      </w:pPr>
    </w:p>
    <w:p w14:paraId="31631AD4" w14:textId="77777777" w:rsidR="00437297" w:rsidRDefault="00437297" w:rsidP="00592F82">
      <w:pPr>
        <w:jc w:val="center"/>
        <w:rPr>
          <w:rFonts w:ascii="Arial" w:hAnsi="Arial" w:cs="Arial"/>
          <w:b/>
          <w:sz w:val="22"/>
          <w:szCs w:val="22"/>
          <w:lang w:val="en-GB"/>
        </w:rPr>
      </w:pPr>
    </w:p>
    <w:p w14:paraId="4208FDF9" w14:textId="77777777" w:rsidR="00397D3A" w:rsidRDefault="00397D3A" w:rsidP="00592F82">
      <w:pPr>
        <w:jc w:val="center"/>
        <w:rPr>
          <w:rFonts w:ascii="Arial" w:hAnsi="Arial" w:cs="Arial"/>
          <w:b/>
          <w:sz w:val="22"/>
          <w:szCs w:val="22"/>
          <w:lang w:val="en-GB"/>
        </w:rPr>
      </w:pPr>
    </w:p>
    <w:p w14:paraId="6E0413D1" w14:textId="77777777" w:rsidR="00397D3A" w:rsidRDefault="00397D3A" w:rsidP="00592F82">
      <w:pPr>
        <w:jc w:val="center"/>
        <w:rPr>
          <w:rFonts w:ascii="Arial" w:hAnsi="Arial" w:cs="Arial"/>
          <w:b/>
          <w:sz w:val="22"/>
          <w:szCs w:val="22"/>
          <w:lang w:val="en-GB"/>
        </w:rPr>
      </w:pPr>
    </w:p>
    <w:p w14:paraId="2D793B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EE7B4D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8318A">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8318A">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A120D6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6197F13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D0DC6EA"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8318A">
        <w:rPr>
          <w:rFonts w:ascii="Arial" w:hAnsi="Arial" w:cs="Arial"/>
          <w:b/>
          <w:color w:val="767171" w:themeColor="background2" w:themeShade="80"/>
          <w:sz w:val="22"/>
          <w:szCs w:val="22"/>
          <w:lang w:val="en-GB"/>
        </w:rPr>
        <w:t>6D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94C31E"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A0E3402" w14:textId="77777777" w:rsidR="00793173" w:rsidRDefault="00793173" w:rsidP="007C6201">
      <w:pPr>
        <w:jc w:val="both"/>
        <w:rPr>
          <w:rFonts w:ascii="Arial" w:hAnsi="Arial" w:cs="Arial"/>
          <w:b/>
          <w:sz w:val="22"/>
          <w:szCs w:val="22"/>
          <w:lang w:val="en-GB"/>
        </w:rPr>
      </w:pPr>
    </w:p>
    <w:p w14:paraId="1DEE0FF6" w14:textId="77777777" w:rsidR="00DB56F2" w:rsidRDefault="00DB56F2" w:rsidP="007C6201">
      <w:pPr>
        <w:jc w:val="both"/>
        <w:rPr>
          <w:rFonts w:ascii="Arial" w:hAnsi="Arial" w:cs="Arial"/>
          <w:b/>
          <w:sz w:val="22"/>
          <w:szCs w:val="22"/>
          <w:lang w:val="en-GB"/>
        </w:rPr>
      </w:pPr>
    </w:p>
    <w:p w14:paraId="50E72509" w14:textId="77777777" w:rsidR="00397D3A" w:rsidRDefault="00397D3A" w:rsidP="007C6201">
      <w:pPr>
        <w:jc w:val="both"/>
        <w:rPr>
          <w:rFonts w:ascii="Arial" w:hAnsi="Arial" w:cs="Arial"/>
          <w:b/>
          <w:sz w:val="22"/>
          <w:szCs w:val="22"/>
          <w:lang w:val="en-GB"/>
        </w:rPr>
      </w:pPr>
    </w:p>
    <w:p w14:paraId="4E84ADD9" w14:textId="77777777" w:rsidR="00397D3A" w:rsidRDefault="00397D3A" w:rsidP="007C6201">
      <w:pPr>
        <w:jc w:val="both"/>
        <w:rPr>
          <w:rFonts w:ascii="Arial" w:hAnsi="Arial" w:cs="Arial"/>
          <w:b/>
          <w:sz w:val="22"/>
          <w:szCs w:val="22"/>
          <w:lang w:val="en-GB"/>
        </w:rPr>
      </w:pPr>
    </w:p>
    <w:p w14:paraId="530E4708" w14:textId="77777777" w:rsidR="00397D3A" w:rsidRDefault="00397D3A" w:rsidP="007C6201">
      <w:pPr>
        <w:jc w:val="both"/>
        <w:rPr>
          <w:rFonts w:ascii="Arial" w:hAnsi="Arial" w:cs="Arial"/>
          <w:b/>
          <w:sz w:val="22"/>
          <w:szCs w:val="22"/>
          <w:lang w:val="en-GB"/>
        </w:rPr>
      </w:pPr>
    </w:p>
    <w:p w14:paraId="65C7D8A4" w14:textId="77777777" w:rsidR="00397D3A" w:rsidRDefault="00397D3A" w:rsidP="007C6201">
      <w:pPr>
        <w:jc w:val="both"/>
        <w:rPr>
          <w:rFonts w:ascii="Arial" w:hAnsi="Arial" w:cs="Arial"/>
          <w:b/>
          <w:sz w:val="22"/>
          <w:szCs w:val="22"/>
          <w:lang w:val="en-GB"/>
        </w:rPr>
      </w:pPr>
    </w:p>
    <w:p w14:paraId="3ECF0A82" w14:textId="77777777" w:rsidR="00397D3A" w:rsidRDefault="00397D3A" w:rsidP="007C6201">
      <w:pPr>
        <w:jc w:val="both"/>
        <w:rPr>
          <w:rFonts w:ascii="Arial" w:hAnsi="Arial" w:cs="Arial"/>
          <w:b/>
          <w:sz w:val="22"/>
          <w:szCs w:val="22"/>
          <w:lang w:val="en-GB"/>
        </w:rPr>
      </w:pPr>
    </w:p>
    <w:p w14:paraId="27D2EB87" w14:textId="77777777" w:rsidR="00397D3A" w:rsidRDefault="00397D3A" w:rsidP="007C6201">
      <w:pPr>
        <w:jc w:val="both"/>
        <w:rPr>
          <w:rFonts w:ascii="Arial" w:hAnsi="Arial" w:cs="Arial"/>
          <w:b/>
          <w:sz w:val="22"/>
          <w:szCs w:val="22"/>
          <w:lang w:val="en-GB"/>
        </w:rPr>
      </w:pPr>
    </w:p>
    <w:p w14:paraId="61A26CC3" w14:textId="77777777" w:rsidR="00397D3A" w:rsidRDefault="00397D3A" w:rsidP="007C6201">
      <w:pPr>
        <w:jc w:val="both"/>
        <w:rPr>
          <w:rFonts w:ascii="Arial" w:hAnsi="Arial" w:cs="Arial"/>
          <w:b/>
          <w:sz w:val="22"/>
          <w:szCs w:val="22"/>
          <w:lang w:val="en-GB"/>
        </w:rPr>
      </w:pPr>
    </w:p>
    <w:p w14:paraId="2F336310"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616C17B4" w14:textId="77777777" w:rsidR="0018318A" w:rsidRDefault="0018318A" w:rsidP="009D0811">
      <w:pPr>
        <w:jc w:val="center"/>
        <w:rPr>
          <w:rFonts w:ascii="Arial" w:hAnsi="Arial" w:cs="Arial"/>
          <w:b/>
          <w:sz w:val="22"/>
          <w:szCs w:val="22"/>
          <w:u w:val="single"/>
          <w:lang w:val="en-GB"/>
        </w:rPr>
      </w:pPr>
    </w:p>
    <w:p w14:paraId="0AD64BC1" w14:textId="77777777" w:rsidR="0018318A" w:rsidRDefault="0018318A" w:rsidP="009D0811">
      <w:pPr>
        <w:jc w:val="center"/>
        <w:rPr>
          <w:rFonts w:ascii="Arial" w:hAnsi="Arial" w:cs="Arial"/>
          <w:b/>
          <w:sz w:val="22"/>
          <w:szCs w:val="22"/>
          <w:u w:val="single"/>
          <w:lang w:val="en-GB"/>
        </w:rPr>
      </w:pPr>
    </w:p>
    <w:p w14:paraId="5A24EC26" w14:textId="77777777" w:rsidR="0018318A" w:rsidRDefault="0018318A" w:rsidP="009D0811">
      <w:pPr>
        <w:jc w:val="center"/>
        <w:rPr>
          <w:rFonts w:ascii="Arial" w:hAnsi="Arial" w:cs="Arial"/>
          <w:b/>
          <w:sz w:val="22"/>
          <w:szCs w:val="22"/>
          <w:u w:val="single"/>
          <w:lang w:val="en-GB"/>
        </w:rPr>
      </w:pPr>
    </w:p>
    <w:p w14:paraId="5584611E"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8EAAA4" w14:textId="77777777" w:rsidR="0011473D" w:rsidRPr="00592F82" w:rsidRDefault="0011473D" w:rsidP="00592F82">
      <w:pPr>
        <w:jc w:val="both"/>
        <w:rPr>
          <w:rFonts w:ascii="Arial" w:hAnsi="Arial" w:cs="Arial"/>
          <w:sz w:val="22"/>
          <w:szCs w:val="22"/>
          <w:lang w:val="en-GB"/>
        </w:rPr>
      </w:pPr>
    </w:p>
    <w:p w14:paraId="46354140" w14:textId="77777777" w:rsidR="00397D3A" w:rsidRDefault="00397D3A" w:rsidP="00592F82">
      <w:pPr>
        <w:jc w:val="both"/>
        <w:rPr>
          <w:rFonts w:ascii="Arial" w:hAnsi="Arial" w:cs="Arial"/>
          <w:b/>
          <w:sz w:val="22"/>
          <w:szCs w:val="22"/>
          <w:lang w:val="en-GB"/>
        </w:rPr>
      </w:pPr>
    </w:p>
    <w:p w14:paraId="2F949270" w14:textId="77777777" w:rsidR="005C53D1" w:rsidRPr="001E23FD" w:rsidRDefault="005C53D1" w:rsidP="005C53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C2A614" w14:textId="77777777" w:rsidR="005C53D1" w:rsidRPr="001E23FD" w:rsidRDefault="005C53D1" w:rsidP="005C53D1">
      <w:pPr>
        <w:jc w:val="both"/>
        <w:rPr>
          <w:rFonts w:ascii="Arial" w:hAnsi="Arial" w:cs="Arial"/>
          <w:b/>
          <w:sz w:val="22"/>
          <w:szCs w:val="22"/>
          <w:lang w:val="en-GB"/>
        </w:rPr>
      </w:pPr>
    </w:p>
    <w:p w14:paraId="536A53D6" w14:textId="77777777" w:rsidR="005C53D1" w:rsidRPr="001E23FD" w:rsidRDefault="005C53D1" w:rsidP="005C53D1">
      <w:pPr>
        <w:jc w:val="both"/>
        <w:rPr>
          <w:rFonts w:ascii="Arial" w:hAnsi="Arial" w:cs="Arial"/>
          <w:sz w:val="22"/>
          <w:szCs w:val="22"/>
          <w:lang w:val="en-GB"/>
        </w:rPr>
      </w:pPr>
    </w:p>
    <w:p w14:paraId="311F1B46"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16620CD" w14:textId="77777777" w:rsidR="005C53D1" w:rsidRPr="001E23FD" w:rsidRDefault="005C53D1" w:rsidP="005C53D1">
      <w:pPr>
        <w:ind w:left="720" w:hanging="720"/>
        <w:jc w:val="both"/>
        <w:rPr>
          <w:rFonts w:ascii="Arial" w:hAnsi="Arial" w:cs="Arial"/>
          <w:sz w:val="22"/>
          <w:szCs w:val="22"/>
          <w:lang w:val="en-GB"/>
        </w:rPr>
      </w:pPr>
    </w:p>
    <w:p w14:paraId="1605202F"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B05808" w14:textId="77777777" w:rsidR="005C53D1" w:rsidRPr="001E23FD" w:rsidRDefault="005C53D1" w:rsidP="005C53D1">
      <w:pPr>
        <w:ind w:left="720" w:hanging="720"/>
        <w:jc w:val="both"/>
        <w:rPr>
          <w:rFonts w:ascii="Arial" w:hAnsi="Arial" w:cs="Arial"/>
          <w:sz w:val="22"/>
          <w:szCs w:val="22"/>
          <w:lang w:val="en-GB"/>
        </w:rPr>
      </w:pPr>
    </w:p>
    <w:p w14:paraId="512E0425"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D61E617" w14:textId="77777777" w:rsidR="005C53D1" w:rsidRPr="001E23FD" w:rsidRDefault="005C53D1" w:rsidP="005C53D1">
      <w:pPr>
        <w:ind w:left="720" w:hanging="720"/>
        <w:jc w:val="both"/>
        <w:rPr>
          <w:rFonts w:ascii="Arial" w:hAnsi="Arial" w:cs="Arial"/>
          <w:sz w:val="22"/>
          <w:szCs w:val="22"/>
          <w:lang w:val="en-GB"/>
        </w:rPr>
      </w:pPr>
    </w:p>
    <w:p w14:paraId="5FC4FAB6" w14:textId="5831C4BE"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2D309C9" w14:textId="77777777" w:rsidR="005C53D1" w:rsidRPr="001E23FD" w:rsidRDefault="005C53D1" w:rsidP="005C53D1">
      <w:pPr>
        <w:ind w:left="720" w:hanging="720"/>
        <w:jc w:val="both"/>
        <w:rPr>
          <w:rFonts w:ascii="Arial" w:hAnsi="Arial" w:cs="Arial"/>
          <w:sz w:val="22"/>
          <w:szCs w:val="22"/>
          <w:lang w:val="en-GB"/>
        </w:rPr>
      </w:pPr>
    </w:p>
    <w:p w14:paraId="152B2C8E"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458F078" w14:textId="77777777" w:rsidR="005C53D1" w:rsidRPr="001E23FD" w:rsidRDefault="005C53D1" w:rsidP="005C53D1">
      <w:pPr>
        <w:ind w:left="720" w:hanging="720"/>
        <w:jc w:val="both"/>
        <w:rPr>
          <w:rFonts w:ascii="Arial" w:hAnsi="Arial" w:cs="Arial"/>
          <w:sz w:val="22"/>
          <w:szCs w:val="22"/>
          <w:lang w:val="en-GB"/>
        </w:rPr>
      </w:pPr>
    </w:p>
    <w:p w14:paraId="530DFDDD" w14:textId="77777777" w:rsidR="005C53D1" w:rsidRPr="001E23FD" w:rsidRDefault="005C53D1" w:rsidP="005C53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AD0F20F" w14:textId="77777777" w:rsidR="005C53D1" w:rsidRPr="001E23FD" w:rsidRDefault="005C53D1" w:rsidP="005C53D1">
      <w:pPr>
        <w:ind w:left="720" w:hanging="720"/>
        <w:jc w:val="both"/>
        <w:rPr>
          <w:rFonts w:ascii="Arial" w:hAnsi="Arial" w:cs="Arial"/>
          <w:sz w:val="22"/>
          <w:szCs w:val="22"/>
          <w:lang w:val="en-GB"/>
        </w:rPr>
      </w:pPr>
    </w:p>
    <w:p w14:paraId="087B3A3B" w14:textId="20704979" w:rsidR="004A2D83" w:rsidRPr="00592F82" w:rsidRDefault="005C53D1" w:rsidP="005C53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902AF">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A759F9A" w14:textId="77777777" w:rsidR="00F3323E" w:rsidRPr="00592F82" w:rsidRDefault="00F3323E" w:rsidP="00592F82">
      <w:pPr>
        <w:ind w:left="720" w:hanging="720"/>
        <w:jc w:val="both"/>
        <w:rPr>
          <w:rFonts w:ascii="Arial" w:hAnsi="Arial" w:cs="Arial"/>
          <w:sz w:val="22"/>
          <w:szCs w:val="22"/>
          <w:lang w:val="en-GB"/>
        </w:rPr>
      </w:pPr>
    </w:p>
    <w:p w14:paraId="0D78E3AA" w14:textId="77777777" w:rsidR="00F3323E" w:rsidRPr="00592F82" w:rsidRDefault="00F3323E" w:rsidP="00592F82">
      <w:pPr>
        <w:ind w:left="720" w:hanging="720"/>
        <w:jc w:val="both"/>
        <w:rPr>
          <w:rFonts w:ascii="Arial" w:hAnsi="Arial" w:cs="Arial"/>
          <w:sz w:val="22"/>
          <w:szCs w:val="22"/>
          <w:lang w:val="en-GB"/>
        </w:rPr>
      </w:pPr>
    </w:p>
    <w:p w14:paraId="71C2A907" w14:textId="77777777" w:rsidR="0018318A" w:rsidRDefault="0018318A">
      <w:pPr>
        <w:rPr>
          <w:rFonts w:ascii="Arial" w:hAnsi="Arial" w:cs="Arial"/>
          <w:b/>
          <w:sz w:val="22"/>
          <w:szCs w:val="22"/>
          <w:u w:val="single"/>
          <w:lang w:val="en-GB"/>
        </w:rPr>
      </w:pPr>
      <w:r>
        <w:rPr>
          <w:rFonts w:ascii="Arial" w:hAnsi="Arial" w:cs="Arial"/>
          <w:b/>
          <w:sz w:val="22"/>
          <w:szCs w:val="22"/>
          <w:u w:val="single"/>
          <w:lang w:val="en-GB"/>
        </w:rPr>
        <w:br w:type="page"/>
      </w:r>
    </w:p>
    <w:p w14:paraId="53DB5B31"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21464523" w14:textId="77777777" w:rsidR="00F3323E" w:rsidRPr="00B9639B" w:rsidRDefault="00F3323E" w:rsidP="00B9639B">
      <w:pPr>
        <w:ind w:left="720" w:hanging="720"/>
        <w:jc w:val="both"/>
        <w:rPr>
          <w:rFonts w:ascii="Arial" w:hAnsi="Arial" w:cs="Arial"/>
          <w:sz w:val="22"/>
          <w:szCs w:val="22"/>
          <w:lang w:val="en-GB"/>
        </w:rPr>
      </w:pPr>
    </w:p>
    <w:p w14:paraId="1FD71D7E"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1A933315" w14:textId="77777777" w:rsidR="00F3323E" w:rsidRPr="00B9639B" w:rsidRDefault="00F3323E" w:rsidP="00B9639B">
      <w:pPr>
        <w:ind w:left="720" w:hanging="720"/>
        <w:jc w:val="both"/>
        <w:rPr>
          <w:rFonts w:ascii="Arial" w:hAnsi="Arial" w:cs="Arial"/>
          <w:sz w:val="22"/>
          <w:szCs w:val="22"/>
          <w:lang w:val="en-GB"/>
        </w:rPr>
      </w:pPr>
    </w:p>
    <w:p w14:paraId="1C1B6AF9"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2E38ABA" w14:textId="4091F46F" w:rsidR="00AF228E" w:rsidRDefault="00AF228E" w:rsidP="00C55824">
      <w:pPr>
        <w:autoSpaceDE w:val="0"/>
        <w:autoSpaceDN w:val="0"/>
        <w:adjustRightInd w:val="0"/>
        <w:jc w:val="both"/>
        <w:rPr>
          <w:rFonts w:ascii="Arial" w:hAnsi="Arial" w:cs="Arial"/>
          <w:sz w:val="22"/>
          <w:szCs w:val="22"/>
        </w:rPr>
      </w:pPr>
    </w:p>
    <w:p w14:paraId="3A5B282E" w14:textId="74DF83D1" w:rsidR="00662352" w:rsidRDefault="00662352" w:rsidP="00C55824">
      <w:pPr>
        <w:autoSpaceDE w:val="0"/>
        <w:autoSpaceDN w:val="0"/>
        <w:adjustRightInd w:val="0"/>
        <w:jc w:val="both"/>
        <w:rPr>
          <w:rFonts w:ascii="Arial" w:hAnsi="Arial" w:cs="Arial"/>
          <w:sz w:val="22"/>
          <w:szCs w:val="22"/>
        </w:rPr>
      </w:pPr>
      <w:r w:rsidRPr="00662352">
        <w:rPr>
          <w:rFonts w:ascii="Arial" w:hAnsi="Arial" w:cs="Arial"/>
          <w:b/>
          <w:bCs/>
          <w:sz w:val="22"/>
          <w:szCs w:val="22"/>
          <w:u w:val="single"/>
        </w:rPr>
        <w:t>Select the CORRECT answer under each of the following questions (1.1 to 1.10)</w:t>
      </w:r>
      <w:r>
        <w:rPr>
          <w:rFonts w:ascii="Arial" w:hAnsi="Arial" w:cs="Arial"/>
          <w:sz w:val="22"/>
          <w:szCs w:val="22"/>
        </w:rPr>
        <w:t>.</w:t>
      </w:r>
    </w:p>
    <w:p w14:paraId="56E41226" w14:textId="77777777" w:rsidR="00662352" w:rsidRPr="00B9639B" w:rsidRDefault="00662352" w:rsidP="00C55824">
      <w:pPr>
        <w:autoSpaceDE w:val="0"/>
        <w:autoSpaceDN w:val="0"/>
        <w:adjustRightInd w:val="0"/>
        <w:jc w:val="both"/>
        <w:rPr>
          <w:rFonts w:ascii="Arial" w:hAnsi="Arial" w:cs="Arial"/>
          <w:sz w:val="22"/>
          <w:szCs w:val="22"/>
        </w:rPr>
      </w:pPr>
    </w:p>
    <w:p w14:paraId="4E4DEB3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1E45A188" w14:textId="77777777" w:rsidR="00E9597C" w:rsidRDefault="00E9597C" w:rsidP="00C55824">
      <w:pPr>
        <w:jc w:val="both"/>
        <w:rPr>
          <w:rFonts w:ascii="Arial" w:hAnsi="Arial" w:cs="Arial"/>
          <w:sz w:val="22"/>
          <w:szCs w:val="22"/>
        </w:rPr>
      </w:pPr>
    </w:p>
    <w:p w14:paraId="515D315A" w14:textId="77777777" w:rsidR="00D84AFA" w:rsidRDefault="00D84AFA" w:rsidP="00D84AFA">
      <w:pPr>
        <w:jc w:val="both"/>
        <w:rPr>
          <w:rFonts w:ascii="Arial" w:hAnsi="Arial" w:cs="Arial"/>
          <w:sz w:val="22"/>
          <w:szCs w:val="22"/>
        </w:rPr>
      </w:pPr>
      <w:r w:rsidRPr="00D84AFA">
        <w:rPr>
          <w:rFonts w:ascii="Arial" w:hAnsi="Arial" w:cs="Arial"/>
          <w:sz w:val="22"/>
          <w:szCs w:val="22"/>
        </w:rPr>
        <w:t xml:space="preserve">The motto </w:t>
      </w:r>
      <w:r w:rsidRPr="00D84AFA">
        <w:rPr>
          <w:rFonts w:ascii="Arial" w:hAnsi="Arial" w:cs="Arial"/>
          <w:i/>
          <w:sz w:val="22"/>
          <w:szCs w:val="22"/>
        </w:rPr>
        <w:t>“si fallitus, ergo fraudator”</w:t>
      </w:r>
      <w:r w:rsidRPr="00D84AFA">
        <w:rPr>
          <w:rFonts w:ascii="Arial" w:hAnsi="Arial" w:cs="Arial"/>
          <w:sz w:val="22"/>
          <w:szCs w:val="22"/>
        </w:rPr>
        <w:t xml:space="preserve"> was coined by Baldo degli Ubaldi to describe the state of those debtors that were:</w:t>
      </w:r>
    </w:p>
    <w:p w14:paraId="7F3B3656" w14:textId="77777777" w:rsidR="00D84AFA" w:rsidRPr="00D84AFA" w:rsidRDefault="00D84AFA" w:rsidP="00D84AFA">
      <w:pPr>
        <w:jc w:val="both"/>
        <w:rPr>
          <w:rFonts w:ascii="Arial" w:hAnsi="Arial" w:cs="Arial"/>
          <w:sz w:val="22"/>
          <w:szCs w:val="22"/>
        </w:rPr>
      </w:pPr>
    </w:p>
    <w:p w14:paraId="1DA08FFC" w14:textId="11CE9DA1" w:rsidR="00D84AFA" w:rsidRDefault="00E23C28" w:rsidP="00A63388">
      <w:pPr>
        <w:pStyle w:val="Odlomakpopisa"/>
        <w:numPr>
          <w:ilvl w:val="0"/>
          <w:numId w:val="1"/>
        </w:numPr>
        <w:ind w:left="426"/>
        <w:jc w:val="both"/>
        <w:rPr>
          <w:rFonts w:ascii="Arial" w:hAnsi="Arial" w:cs="Arial"/>
          <w:sz w:val="22"/>
          <w:szCs w:val="22"/>
        </w:rPr>
      </w:pPr>
      <w:r w:rsidRPr="00A63388">
        <w:rPr>
          <w:rFonts w:ascii="Arial" w:hAnsi="Arial" w:cs="Arial"/>
          <w:sz w:val="22"/>
          <w:szCs w:val="22"/>
        </w:rPr>
        <w:t>i</w:t>
      </w:r>
      <w:r w:rsidR="00D84AFA" w:rsidRPr="00A63388">
        <w:rPr>
          <w:rFonts w:ascii="Arial" w:hAnsi="Arial" w:cs="Arial"/>
          <w:sz w:val="22"/>
          <w:szCs w:val="22"/>
        </w:rPr>
        <w:t>nsolvent and trying to escape from punishment</w:t>
      </w:r>
      <w:r w:rsidR="00BF516F" w:rsidRPr="00A63388">
        <w:rPr>
          <w:rFonts w:ascii="Arial" w:hAnsi="Arial" w:cs="Arial"/>
          <w:sz w:val="22"/>
          <w:szCs w:val="22"/>
        </w:rPr>
        <w:t>.</w:t>
      </w:r>
    </w:p>
    <w:p w14:paraId="3E81E881" w14:textId="77777777" w:rsidR="00A63388" w:rsidRPr="00A63388" w:rsidRDefault="00A63388" w:rsidP="00A63388">
      <w:pPr>
        <w:jc w:val="both"/>
        <w:rPr>
          <w:rFonts w:ascii="Arial" w:hAnsi="Arial" w:cs="Arial"/>
          <w:sz w:val="22"/>
          <w:szCs w:val="22"/>
        </w:rPr>
      </w:pPr>
    </w:p>
    <w:p w14:paraId="33C06B13" w14:textId="18C16D7D" w:rsidR="00D84AFA" w:rsidRDefault="00E23C28" w:rsidP="00A63388">
      <w:pPr>
        <w:pStyle w:val="Odlomakpopisa"/>
        <w:numPr>
          <w:ilvl w:val="0"/>
          <w:numId w:val="1"/>
        </w:numPr>
        <w:ind w:left="426"/>
        <w:jc w:val="both"/>
        <w:rPr>
          <w:rFonts w:ascii="Arial" w:hAnsi="Arial" w:cs="Arial"/>
          <w:sz w:val="22"/>
          <w:szCs w:val="22"/>
        </w:rPr>
      </w:pPr>
      <w:r w:rsidRPr="003C218B">
        <w:rPr>
          <w:rFonts w:ascii="Arial" w:hAnsi="Arial" w:cs="Arial"/>
          <w:sz w:val="22"/>
          <w:szCs w:val="22"/>
          <w:highlight w:val="yellow"/>
        </w:rPr>
        <w:t>i</w:t>
      </w:r>
      <w:r w:rsidR="00D84AFA" w:rsidRPr="003C218B">
        <w:rPr>
          <w:rFonts w:ascii="Arial" w:hAnsi="Arial" w:cs="Arial"/>
          <w:sz w:val="22"/>
          <w:szCs w:val="22"/>
          <w:highlight w:val="yellow"/>
        </w:rPr>
        <w:t>nsolvent and responsible for despicable acts, such as defrauding people</w:t>
      </w:r>
      <w:r w:rsidR="00BF516F" w:rsidRPr="003C218B">
        <w:rPr>
          <w:rFonts w:ascii="Arial" w:hAnsi="Arial" w:cs="Arial"/>
          <w:sz w:val="22"/>
          <w:szCs w:val="22"/>
          <w:highlight w:val="yellow"/>
        </w:rPr>
        <w:t>.</w:t>
      </w:r>
    </w:p>
    <w:p w14:paraId="4F9218F8" w14:textId="77777777" w:rsidR="00A63388" w:rsidRPr="00A63388" w:rsidRDefault="00A63388" w:rsidP="00A63388">
      <w:pPr>
        <w:jc w:val="both"/>
        <w:rPr>
          <w:rFonts w:ascii="Arial" w:hAnsi="Arial" w:cs="Arial"/>
          <w:sz w:val="22"/>
          <w:szCs w:val="22"/>
        </w:rPr>
      </w:pPr>
    </w:p>
    <w:p w14:paraId="77D8780A" w14:textId="32D4C3A7" w:rsidR="00D84AFA" w:rsidRDefault="008962F2" w:rsidP="00A63388">
      <w:pPr>
        <w:pStyle w:val="Odlomakpopisa"/>
        <w:numPr>
          <w:ilvl w:val="0"/>
          <w:numId w:val="1"/>
        </w:numPr>
        <w:ind w:left="426"/>
        <w:jc w:val="both"/>
        <w:rPr>
          <w:rFonts w:ascii="Arial" w:hAnsi="Arial" w:cs="Arial"/>
          <w:sz w:val="22"/>
          <w:szCs w:val="22"/>
        </w:rPr>
      </w:pPr>
      <w:r w:rsidRPr="00A63388">
        <w:rPr>
          <w:rFonts w:ascii="Arial" w:hAnsi="Arial" w:cs="Arial"/>
          <w:sz w:val="22"/>
          <w:szCs w:val="22"/>
        </w:rPr>
        <w:t>s</w:t>
      </w:r>
      <w:r w:rsidR="00D84AFA" w:rsidRPr="00A63388">
        <w:rPr>
          <w:rFonts w:ascii="Arial" w:hAnsi="Arial" w:cs="Arial"/>
          <w:sz w:val="22"/>
          <w:szCs w:val="22"/>
        </w:rPr>
        <w:t>imply insolvent</w:t>
      </w:r>
      <w:r w:rsidR="00BF516F" w:rsidRPr="00A63388">
        <w:rPr>
          <w:rFonts w:ascii="Arial" w:hAnsi="Arial" w:cs="Arial"/>
          <w:sz w:val="22"/>
          <w:szCs w:val="22"/>
        </w:rPr>
        <w:t>.</w:t>
      </w:r>
    </w:p>
    <w:p w14:paraId="2762A42D" w14:textId="77777777" w:rsidR="00A63388" w:rsidRPr="00A63388" w:rsidRDefault="00A63388" w:rsidP="00A63388">
      <w:pPr>
        <w:jc w:val="both"/>
        <w:rPr>
          <w:rFonts w:ascii="Arial" w:hAnsi="Arial" w:cs="Arial"/>
          <w:sz w:val="22"/>
          <w:szCs w:val="22"/>
        </w:rPr>
      </w:pPr>
    </w:p>
    <w:p w14:paraId="4682040E" w14:textId="086CA50F" w:rsidR="00D84AFA" w:rsidRPr="00A63388" w:rsidRDefault="008962F2" w:rsidP="00A63388">
      <w:pPr>
        <w:pStyle w:val="Odlomakpopisa"/>
        <w:numPr>
          <w:ilvl w:val="0"/>
          <w:numId w:val="1"/>
        </w:numPr>
        <w:ind w:left="426"/>
        <w:jc w:val="both"/>
        <w:rPr>
          <w:rFonts w:ascii="Arial" w:hAnsi="Arial" w:cs="Arial"/>
          <w:sz w:val="22"/>
          <w:szCs w:val="22"/>
        </w:rPr>
      </w:pPr>
      <w:r w:rsidRPr="00A63388">
        <w:rPr>
          <w:rFonts w:ascii="Arial" w:hAnsi="Arial" w:cs="Arial"/>
          <w:sz w:val="22"/>
          <w:szCs w:val="22"/>
        </w:rPr>
        <w:t>s</w:t>
      </w:r>
      <w:r w:rsidR="00D84AFA" w:rsidRPr="00A63388">
        <w:rPr>
          <w:rFonts w:ascii="Arial" w:hAnsi="Arial" w:cs="Arial"/>
          <w:sz w:val="22"/>
          <w:szCs w:val="22"/>
        </w:rPr>
        <w:t>imply fraudulent.</w:t>
      </w:r>
    </w:p>
    <w:p w14:paraId="04E260A3" w14:textId="77777777" w:rsidR="005B79F4" w:rsidRDefault="005B79F4" w:rsidP="00C55824">
      <w:pPr>
        <w:jc w:val="both"/>
        <w:rPr>
          <w:rFonts w:ascii="Arial" w:hAnsi="Arial" w:cs="Arial"/>
          <w:sz w:val="22"/>
          <w:szCs w:val="22"/>
        </w:rPr>
      </w:pPr>
    </w:p>
    <w:p w14:paraId="7BA1EEA1"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E4C9725" w14:textId="77777777" w:rsidR="00E9597C" w:rsidRDefault="00E9597C" w:rsidP="00C55824">
      <w:pPr>
        <w:jc w:val="both"/>
        <w:rPr>
          <w:rFonts w:ascii="Arial" w:hAnsi="Arial" w:cs="Arial"/>
          <w:sz w:val="22"/>
          <w:szCs w:val="22"/>
        </w:rPr>
      </w:pPr>
    </w:p>
    <w:p w14:paraId="7559C029" w14:textId="77777777" w:rsidR="00D84AFA" w:rsidRDefault="00D84AFA" w:rsidP="00D84AFA">
      <w:pPr>
        <w:jc w:val="both"/>
        <w:rPr>
          <w:rFonts w:ascii="Arial" w:hAnsi="Arial" w:cs="Arial"/>
          <w:sz w:val="22"/>
          <w:szCs w:val="22"/>
        </w:rPr>
      </w:pPr>
      <w:r w:rsidRPr="00D84AFA">
        <w:rPr>
          <w:rFonts w:ascii="Arial" w:hAnsi="Arial" w:cs="Arial"/>
          <w:sz w:val="22"/>
          <w:szCs w:val="22"/>
        </w:rPr>
        <w:t>When an insolvency petition is filed:</w:t>
      </w:r>
    </w:p>
    <w:p w14:paraId="0F2DE89F" w14:textId="77777777" w:rsidR="00D84AFA" w:rsidRPr="00D84AFA" w:rsidRDefault="00D84AFA" w:rsidP="00D84AFA">
      <w:pPr>
        <w:ind w:left="426" w:hanging="284"/>
        <w:jc w:val="both"/>
        <w:rPr>
          <w:rFonts w:ascii="Arial" w:hAnsi="Arial" w:cs="Arial"/>
          <w:sz w:val="22"/>
          <w:szCs w:val="22"/>
        </w:rPr>
      </w:pPr>
    </w:p>
    <w:p w14:paraId="6F41DBD3" w14:textId="7FAC1DF7" w:rsidR="00D84AFA" w:rsidRPr="003C218B" w:rsidRDefault="00E23C28" w:rsidP="00A63388">
      <w:pPr>
        <w:pStyle w:val="Odlomakpopisa"/>
        <w:numPr>
          <w:ilvl w:val="0"/>
          <w:numId w:val="3"/>
        </w:numPr>
        <w:ind w:left="426"/>
        <w:jc w:val="both"/>
        <w:rPr>
          <w:rFonts w:ascii="Arial" w:hAnsi="Arial" w:cs="Arial"/>
          <w:sz w:val="22"/>
          <w:szCs w:val="22"/>
          <w:highlight w:val="yellow"/>
        </w:rPr>
      </w:pPr>
      <w:r w:rsidRPr="003C218B">
        <w:rPr>
          <w:rFonts w:ascii="Arial" w:hAnsi="Arial" w:cs="Arial"/>
          <w:sz w:val="22"/>
          <w:szCs w:val="22"/>
          <w:highlight w:val="yellow"/>
        </w:rPr>
        <w:t>a</w:t>
      </w:r>
      <w:r w:rsidR="00D84AFA" w:rsidRPr="003C218B">
        <w:rPr>
          <w:rFonts w:ascii="Arial" w:hAnsi="Arial" w:cs="Arial"/>
          <w:sz w:val="22"/>
          <w:szCs w:val="22"/>
          <w:highlight w:val="yellow"/>
        </w:rPr>
        <w:t>ll connected actions are dealt with by the insolvency court where the proceedings were commenced, irrespective of their value</w:t>
      </w:r>
      <w:r w:rsidR="00BF516F" w:rsidRPr="003C218B">
        <w:rPr>
          <w:rFonts w:ascii="Arial" w:hAnsi="Arial" w:cs="Arial"/>
          <w:sz w:val="22"/>
          <w:szCs w:val="22"/>
          <w:highlight w:val="yellow"/>
        </w:rPr>
        <w:t>.</w:t>
      </w:r>
    </w:p>
    <w:p w14:paraId="09067E53" w14:textId="77777777" w:rsidR="00A63388" w:rsidRPr="00A63388" w:rsidRDefault="00A63388" w:rsidP="00A63388">
      <w:pPr>
        <w:jc w:val="both"/>
        <w:rPr>
          <w:rFonts w:ascii="Arial" w:hAnsi="Arial" w:cs="Arial"/>
          <w:sz w:val="22"/>
          <w:szCs w:val="22"/>
        </w:rPr>
      </w:pPr>
    </w:p>
    <w:p w14:paraId="4C9B131B" w14:textId="5928F7B7" w:rsidR="00D84AFA" w:rsidRDefault="00E23C28" w:rsidP="00A63388">
      <w:pPr>
        <w:pStyle w:val="Odlomakpopisa"/>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here is no </w:t>
      </w:r>
      <w:r w:rsidR="00D84AFA" w:rsidRPr="00A63388">
        <w:rPr>
          <w:rFonts w:ascii="Arial" w:hAnsi="Arial" w:cs="Arial"/>
          <w:i/>
          <w:sz w:val="22"/>
          <w:szCs w:val="22"/>
        </w:rPr>
        <w:t xml:space="preserve">vis attractiva </w:t>
      </w:r>
      <w:r w:rsidR="00D84AFA" w:rsidRPr="00A63388">
        <w:rPr>
          <w:rFonts w:ascii="Arial" w:hAnsi="Arial" w:cs="Arial"/>
          <w:sz w:val="22"/>
          <w:szCs w:val="22"/>
        </w:rPr>
        <w:t>for connected actions</w:t>
      </w:r>
      <w:r w:rsidR="00BF516F" w:rsidRPr="00A63388">
        <w:rPr>
          <w:rFonts w:ascii="Arial" w:hAnsi="Arial" w:cs="Arial"/>
          <w:sz w:val="22"/>
          <w:szCs w:val="22"/>
        </w:rPr>
        <w:t>.</w:t>
      </w:r>
    </w:p>
    <w:p w14:paraId="13B3FEDA" w14:textId="77777777" w:rsidR="00A63388" w:rsidRPr="00A63388" w:rsidRDefault="00A63388" w:rsidP="00A63388">
      <w:pPr>
        <w:jc w:val="both"/>
        <w:rPr>
          <w:rFonts w:ascii="Arial" w:hAnsi="Arial" w:cs="Arial"/>
          <w:sz w:val="22"/>
          <w:szCs w:val="22"/>
        </w:rPr>
      </w:pPr>
    </w:p>
    <w:p w14:paraId="7438CA8C" w14:textId="7B449CBA" w:rsidR="00D84AFA" w:rsidRDefault="00E23C28" w:rsidP="00A63388">
      <w:pPr>
        <w:pStyle w:val="Odlomakpopisa"/>
        <w:numPr>
          <w:ilvl w:val="0"/>
          <w:numId w:val="3"/>
        </w:numPr>
        <w:ind w:left="426"/>
        <w:jc w:val="both"/>
        <w:rPr>
          <w:rFonts w:ascii="Arial" w:hAnsi="Arial" w:cs="Arial"/>
          <w:sz w:val="22"/>
          <w:szCs w:val="22"/>
        </w:rPr>
      </w:pPr>
      <w:r w:rsidRPr="00A63388">
        <w:rPr>
          <w:rFonts w:ascii="Arial" w:hAnsi="Arial" w:cs="Arial"/>
          <w:sz w:val="22"/>
          <w:szCs w:val="22"/>
        </w:rPr>
        <w:t>t</w:t>
      </w:r>
      <w:r w:rsidR="00D84AFA" w:rsidRPr="00A63388">
        <w:rPr>
          <w:rFonts w:ascii="Arial" w:hAnsi="Arial" w:cs="Arial"/>
          <w:sz w:val="22"/>
          <w:szCs w:val="22"/>
        </w:rPr>
        <w:t xml:space="preserve">he </w:t>
      </w:r>
      <w:r w:rsidR="00D84AFA" w:rsidRPr="00A63388">
        <w:rPr>
          <w:rFonts w:ascii="Arial" w:hAnsi="Arial" w:cs="Arial"/>
          <w:i/>
          <w:sz w:val="22"/>
          <w:szCs w:val="22"/>
        </w:rPr>
        <w:t>vis attractiva</w:t>
      </w:r>
      <w:r w:rsidR="00D84AFA" w:rsidRPr="00A63388">
        <w:rPr>
          <w:rFonts w:ascii="Arial" w:hAnsi="Arial" w:cs="Arial"/>
          <w:sz w:val="22"/>
          <w:szCs w:val="22"/>
        </w:rPr>
        <w:t xml:space="preserve"> is limited to those actions that deal with the status of the creditors, but not those that deal with the legal position of the debtor and its legal representatives</w:t>
      </w:r>
      <w:r w:rsidR="00BF516F" w:rsidRPr="00A63388">
        <w:rPr>
          <w:rFonts w:ascii="Arial" w:hAnsi="Arial" w:cs="Arial"/>
          <w:sz w:val="22"/>
          <w:szCs w:val="22"/>
        </w:rPr>
        <w:t>.</w:t>
      </w:r>
    </w:p>
    <w:p w14:paraId="123D79DE" w14:textId="77777777" w:rsidR="00A63388" w:rsidRPr="00A63388" w:rsidRDefault="00A63388" w:rsidP="00A63388">
      <w:pPr>
        <w:jc w:val="both"/>
        <w:rPr>
          <w:rFonts w:ascii="Arial" w:hAnsi="Arial" w:cs="Arial"/>
          <w:sz w:val="22"/>
          <w:szCs w:val="22"/>
        </w:rPr>
      </w:pPr>
    </w:p>
    <w:p w14:paraId="41BF5199" w14:textId="18CF4CB0" w:rsidR="00D84AFA" w:rsidRPr="00A63388" w:rsidRDefault="00E23C28" w:rsidP="00A63388">
      <w:pPr>
        <w:pStyle w:val="Odlomakpopisa"/>
        <w:numPr>
          <w:ilvl w:val="0"/>
          <w:numId w:val="3"/>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 connected actions are dealt with by the insolvency court where the proceedings were commenced, unless they exceed the threshold of </w:t>
      </w:r>
      <w:r w:rsidR="00BE222E" w:rsidRPr="00A63388">
        <w:rPr>
          <w:rFonts w:ascii="Arial" w:hAnsi="Arial" w:cs="Arial"/>
          <w:sz w:val="22"/>
          <w:szCs w:val="22"/>
        </w:rPr>
        <w:t xml:space="preserve">EUR </w:t>
      </w:r>
      <w:r w:rsidR="00D84AFA" w:rsidRPr="00A63388">
        <w:rPr>
          <w:rFonts w:ascii="Arial" w:hAnsi="Arial" w:cs="Arial"/>
          <w:sz w:val="22"/>
          <w:szCs w:val="22"/>
        </w:rPr>
        <w:t>1,000,000, in which case the local Court of Appeal will deal with the action.</w:t>
      </w:r>
    </w:p>
    <w:p w14:paraId="63AA346B" w14:textId="77777777" w:rsidR="005B79F4" w:rsidRDefault="005B79F4" w:rsidP="00C55824">
      <w:pPr>
        <w:ind w:left="66"/>
        <w:jc w:val="both"/>
        <w:rPr>
          <w:rFonts w:ascii="Arial" w:hAnsi="Arial" w:cs="Arial"/>
          <w:iCs/>
          <w:sz w:val="22"/>
          <w:szCs w:val="22"/>
          <w:lang w:val="en-GB"/>
        </w:rPr>
      </w:pPr>
    </w:p>
    <w:p w14:paraId="13A9E4E9"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77BF71AB" w14:textId="77777777" w:rsidR="00E9597C" w:rsidRDefault="00E9597C" w:rsidP="00C55824">
      <w:pPr>
        <w:jc w:val="both"/>
        <w:rPr>
          <w:rFonts w:ascii="Arial" w:hAnsi="Arial" w:cs="Arial"/>
          <w:sz w:val="22"/>
          <w:szCs w:val="22"/>
        </w:rPr>
      </w:pPr>
    </w:p>
    <w:p w14:paraId="2DD5CCFE" w14:textId="644BE1D0" w:rsidR="00D84AFA" w:rsidRDefault="00D84AFA" w:rsidP="00D84AFA">
      <w:pPr>
        <w:jc w:val="both"/>
        <w:rPr>
          <w:rFonts w:ascii="Arial" w:hAnsi="Arial" w:cs="Arial"/>
          <w:sz w:val="22"/>
          <w:szCs w:val="22"/>
        </w:rPr>
      </w:pPr>
      <w:r w:rsidRPr="00D84AFA">
        <w:rPr>
          <w:rFonts w:ascii="Arial" w:hAnsi="Arial" w:cs="Arial"/>
          <w:sz w:val="22"/>
          <w:szCs w:val="22"/>
        </w:rPr>
        <w:t xml:space="preserve">The submission of a petition for </w:t>
      </w:r>
      <w:r w:rsidRPr="00D84AFA">
        <w:rPr>
          <w:rFonts w:ascii="Arial" w:hAnsi="Arial" w:cs="Arial"/>
          <w:i/>
          <w:sz w:val="22"/>
          <w:szCs w:val="22"/>
        </w:rPr>
        <w:t>concordato in bianco</w:t>
      </w:r>
      <w:r w:rsidRPr="00D84AFA">
        <w:rPr>
          <w:rFonts w:ascii="Arial" w:hAnsi="Arial" w:cs="Arial"/>
          <w:sz w:val="22"/>
          <w:szCs w:val="22"/>
        </w:rPr>
        <w:t>:</w:t>
      </w:r>
    </w:p>
    <w:p w14:paraId="7E25E6CA" w14:textId="77777777" w:rsidR="00D84AFA" w:rsidRPr="00D84AFA" w:rsidRDefault="00D84AFA" w:rsidP="00D84AFA">
      <w:pPr>
        <w:jc w:val="both"/>
        <w:rPr>
          <w:rFonts w:ascii="Arial" w:hAnsi="Arial" w:cs="Arial"/>
          <w:sz w:val="22"/>
          <w:szCs w:val="22"/>
        </w:rPr>
      </w:pPr>
    </w:p>
    <w:p w14:paraId="0F13CE45" w14:textId="035C1E21" w:rsidR="00D84AFA" w:rsidRPr="003C218B" w:rsidRDefault="00477F16" w:rsidP="00A63388">
      <w:pPr>
        <w:pStyle w:val="Odlomakpopisa"/>
        <w:numPr>
          <w:ilvl w:val="0"/>
          <w:numId w:val="5"/>
        </w:numPr>
        <w:ind w:left="426"/>
        <w:jc w:val="both"/>
        <w:rPr>
          <w:rFonts w:ascii="Arial" w:hAnsi="Arial" w:cs="Arial"/>
          <w:sz w:val="22"/>
          <w:szCs w:val="22"/>
          <w:highlight w:val="yellow"/>
        </w:rPr>
      </w:pPr>
      <w:r w:rsidRPr="003C218B">
        <w:rPr>
          <w:rFonts w:ascii="Arial" w:hAnsi="Arial" w:cs="Arial"/>
          <w:sz w:val="22"/>
          <w:szCs w:val="22"/>
          <w:highlight w:val="yellow"/>
        </w:rPr>
        <w:t>w</w:t>
      </w:r>
      <w:r w:rsidR="00D84AFA" w:rsidRPr="003C218B">
        <w:rPr>
          <w:rFonts w:ascii="Arial" w:hAnsi="Arial" w:cs="Arial"/>
          <w:sz w:val="22"/>
          <w:szCs w:val="22"/>
          <w:highlight w:val="yellow"/>
        </w:rPr>
        <w:t>as introduced in the law to offer a Chapter 11-style procedure to Italian distressed yet viable businesses</w:t>
      </w:r>
      <w:r w:rsidR="00BF516F" w:rsidRPr="003C218B">
        <w:rPr>
          <w:rFonts w:ascii="Arial" w:hAnsi="Arial" w:cs="Arial"/>
          <w:sz w:val="22"/>
          <w:szCs w:val="22"/>
          <w:highlight w:val="yellow"/>
        </w:rPr>
        <w:t>.</w:t>
      </w:r>
    </w:p>
    <w:p w14:paraId="7FFC8983" w14:textId="77777777" w:rsidR="00A63388" w:rsidRPr="00A63388" w:rsidRDefault="00A63388" w:rsidP="00A63388">
      <w:pPr>
        <w:jc w:val="both"/>
        <w:rPr>
          <w:rFonts w:ascii="Arial" w:hAnsi="Arial" w:cs="Arial"/>
          <w:sz w:val="22"/>
          <w:szCs w:val="22"/>
        </w:rPr>
      </w:pPr>
    </w:p>
    <w:p w14:paraId="05DCDC5A" w14:textId="16346945" w:rsidR="00D84AFA" w:rsidRDefault="00477F16" w:rsidP="00A63388">
      <w:pPr>
        <w:pStyle w:val="Odlomakpopisa"/>
        <w:numPr>
          <w:ilvl w:val="0"/>
          <w:numId w:val="5"/>
        </w:numPr>
        <w:ind w:left="426"/>
        <w:jc w:val="both"/>
        <w:rPr>
          <w:rFonts w:ascii="Arial" w:hAnsi="Arial" w:cs="Arial"/>
          <w:sz w:val="22"/>
          <w:szCs w:val="22"/>
        </w:rPr>
      </w:pPr>
      <w:r w:rsidRPr="00A63388">
        <w:rPr>
          <w:rFonts w:ascii="Arial" w:hAnsi="Arial" w:cs="Arial"/>
          <w:sz w:val="22"/>
          <w:szCs w:val="22"/>
        </w:rPr>
        <w:t>g</w:t>
      </w:r>
      <w:r w:rsidR="00D84AFA" w:rsidRPr="00A63388">
        <w:rPr>
          <w:rFonts w:ascii="Arial" w:hAnsi="Arial" w:cs="Arial"/>
          <w:sz w:val="22"/>
          <w:szCs w:val="22"/>
        </w:rPr>
        <w:t>ave unrestricted freedom to insolvent debtors, which prompted the legislator to ban the use of this procedure in 2015</w:t>
      </w:r>
      <w:r w:rsidR="00BF516F" w:rsidRPr="00A63388">
        <w:rPr>
          <w:rFonts w:ascii="Arial" w:hAnsi="Arial" w:cs="Arial"/>
          <w:sz w:val="22"/>
          <w:szCs w:val="22"/>
        </w:rPr>
        <w:t>.</w:t>
      </w:r>
    </w:p>
    <w:p w14:paraId="73B72726" w14:textId="77777777" w:rsidR="00A63388" w:rsidRPr="00A63388" w:rsidRDefault="00A63388" w:rsidP="00A63388">
      <w:pPr>
        <w:jc w:val="both"/>
        <w:rPr>
          <w:rFonts w:ascii="Arial" w:hAnsi="Arial" w:cs="Arial"/>
          <w:sz w:val="22"/>
          <w:szCs w:val="22"/>
        </w:rPr>
      </w:pPr>
    </w:p>
    <w:p w14:paraId="04FE0D6A" w14:textId="5465C7A7" w:rsidR="00D84AFA" w:rsidRDefault="00477F16" w:rsidP="00A63388">
      <w:pPr>
        <w:pStyle w:val="Odlomakpopisa"/>
        <w:numPr>
          <w:ilvl w:val="0"/>
          <w:numId w:val="5"/>
        </w:numPr>
        <w:ind w:left="426"/>
        <w:jc w:val="both"/>
        <w:rPr>
          <w:rFonts w:ascii="Arial" w:hAnsi="Arial" w:cs="Arial"/>
          <w:sz w:val="22"/>
          <w:szCs w:val="22"/>
        </w:rPr>
      </w:pPr>
      <w:r w:rsidRPr="00A63388">
        <w:rPr>
          <w:rFonts w:ascii="Arial" w:hAnsi="Arial" w:cs="Arial"/>
          <w:sz w:val="22"/>
          <w:szCs w:val="22"/>
        </w:rPr>
        <w:lastRenderedPageBreak/>
        <w:t>d</w:t>
      </w:r>
      <w:r w:rsidR="00D84AFA" w:rsidRPr="00A63388">
        <w:rPr>
          <w:rFonts w:ascii="Arial" w:hAnsi="Arial" w:cs="Arial"/>
          <w:sz w:val="22"/>
          <w:szCs w:val="22"/>
        </w:rPr>
        <w:t>etermines the same effect on creditors as the submission of a traditional pre-insolvency composition petition with reference to actions against the assets of the debtor</w:t>
      </w:r>
      <w:r w:rsidR="00BF516F" w:rsidRPr="00A63388">
        <w:rPr>
          <w:rFonts w:ascii="Arial" w:hAnsi="Arial" w:cs="Arial"/>
          <w:sz w:val="22"/>
          <w:szCs w:val="22"/>
        </w:rPr>
        <w:t>.</w:t>
      </w:r>
    </w:p>
    <w:p w14:paraId="5FA92C68" w14:textId="77777777" w:rsidR="00A63388" w:rsidRPr="00A63388" w:rsidRDefault="00A63388" w:rsidP="00A63388">
      <w:pPr>
        <w:jc w:val="both"/>
        <w:rPr>
          <w:rFonts w:ascii="Arial" w:hAnsi="Arial" w:cs="Arial"/>
          <w:sz w:val="22"/>
          <w:szCs w:val="22"/>
        </w:rPr>
      </w:pPr>
    </w:p>
    <w:p w14:paraId="21554F23" w14:textId="3AE0958F" w:rsidR="00D84AFA" w:rsidRPr="00A63388" w:rsidRDefault="00477F16" w:rsidP="00A63388">
      <w:pPr>
        <w:pStyle w:val="Odlomakpopisa"/>
        <w:numPr>
          <w:ilvl w:val="0"/>
          <w:numId w:val="5"/>
        </w:numPr>
        <w:ind w:left="426"/>
        <w:jc w:val="both"/>
        <w:rPr>
          <w:rFonts w:ascii="Arial" w:hAnsi="Arial" w:cs="Arial"/>
          <w:sz w:val="22"/>
          <w:szCs w:val="22"/>
        </w:rPr>
      </w:pPr>
      <w:r w:rsidRPr="00A63388">
        <w:rPr>
          <w:rFonts w:ascii="Arial" w:hAnsi="Arial" w:cs="Arial"/>
          <w:sz w:val="22"/>
          <w:szCs w:val="22"/>
        </w:rPr>
        <w:t>a</w:t>
      </w:r>
      <w:r w:rsidR="00D84AFA" w:rsidRPr="00A63388">
        <w:rPr>
          <w:rFonts w:ascii="Arial" w:hAnsi="Arial" w:cs="Arial"/>
          <w:sz w:val="22"/>
          <w:szCs w:val="22"/>
        </w:rPr>
        <w:t xml:space="preserve">llows the creditors to continue only existing enforcement actions and, in any case, </w:t>
      </w:r>
      <w:r w:rsidR="00615B13" w:rsidRPr="00A63388">
        <w:rPr>
          <w:rFonts w:ascii="Arial" w:hAnsi="Arial" w:cs="Arial"/>
          <w:sz w:val="22"/>
          <w:szCs w:val="22"/>
        </w:rPr>
        <w:t xml:space="preserve">only </w:t>
      </w:r>
      <w:r w:rsidR="00D84AFA" w:rsidRPr="00A63388">
        <w:rPr>
          <w:rFonts w:ascii="Arial" w:hAnsi="Arial" w:cs="Arial"/>
          <w:sz w:val="22"/>
          <w:szCs w:val="22"/>
        </w:rPr>
        <w:t>up to the point in time when the debtor submits a restructuring plan.</w:t>
      </w:r>
    </w:p>
    <w:p w14:paraId="60C9AAF5" w14:textId="28B174FB" w:rsidR="00DB50FB" w:rsidRDefault="00DB50FB" w:rsidP="00C55824">
      <w:pPr>
        <w:jc w:val="both"/>
        <w:rPr>
          <w:rFonts w:ascii="Arial" w:hAnsi="Arial" w:cs="Arial"/>
          <w:sz w:val="22"/>
          <w:szCs w:val="22"/>
        </w:rPr>
      </w:pPr>
    </w:p>
    <w:p w14:paraId="33B07084" w14:textId="4E22DC0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p>
    <w:p w14:paraId="12D946EE" w14:textId="77777777" w:rsidR="00E9597C" w:rsidRDefault="00E9597C" w:rsidP="00C55824">
      <w:pPr>
        <w:jc w:val="both"/>
        <w:rPr>
          <w:rFonts w:ascii="Arial" w:hAnsi="Arial" w:cs="Arial"/>
          <w:sz w:val="22"/>
          <w:szCs w:val="22"/>
        </w:rPr>
      </w:pPr>
    </w:p>
    <w:p w14:paraId="0C69FF2B" w14:textId="62F19013" w:rsidR="00D84AFA" w:rsidRDefault="00D84AFA" w:rsidP="00BE641F">
      <w:pPr>
        <w:jc w:val="both"/>
        <w:rPr>
          <w:rFonts w:ascii="Arial" w:hAnsi="Arial" w:cs="Arial"/>
          <w:sz w:val="22"/>
          <w:szCs w:val="22"/>
          <w:lang w:val="en-GB"/>
        </w:rPr>
      </w:pPr>
      <w:r>
        <w:rPr>
          <w:rFonts w:ascii="Arial" w:hAnsi="Arial" w:cs="Arial"/>
          <w:sz w:val="22"/>
          <w:szCs w:val="22"/>
          <w:lang w:val="en-GB"/>
        </w:rPr>
        <w:t>The director’s duty to manage the company in a prudent and reasonable manner is owed</w:t>
      </w:r>
      <w:r w:rsidR="00BE641F">
        <w:rPr>
          <w:rFonts w:ascii="Arial" w:hAnsi="Arial" w:cs="Arial"/>
          <w:sz w:val="22"/>
          <w:szCs w:val="22"/>
          <w:lang w:val="en-GB"/>
        </w:rPr>
        <w:t xml:space="preserve"> to</w:t>
      </w:r>
      <w:r>
        <w:rPr>
          <w:rFonts w:ascii="Arial" w:hAnsi="Arial" w:cs="Arial"/>
          <w:sz w:val="22"/>
          <w:szCs w:val="22"/>
          <w:lang w:val="en-GB"/>
        </w:rPr>
        <w:t>:</w:t>
      </w:r>
    </w:p>
    <w:p w14:paraId="596EC5EC" w14:textId="77777777" w:rsidR="00D84AFA" w:rsidRDefault="00D84AFA" w:rsidP="00D84AFA">
      <w:pPr>
        <w:ind w:left="360"/>
        <w:jc w:val="both"/>
        <w:rPr>
          <w:rFonts w:ascii="Arial" w:hAnsi="Arial" w:cs="Arial"/>
          <w:sz w:val="22"/>
          <w:szCs w:val="22"/>
          <w:lang w:val="en-GB"/>
        </w:rPr>
      </w:pPr>
    </w:p>
    <w:p w14:paraId="09ABDC82" w14:textId="4492BFCB" w:rsidR="00D84AFA" w:rsidRPr="000B2B81" w:rsidRDefault="00615B13" w:rsidP="00A63388">
      <w:pPr>
        <w:pStyle w:val="Odlomakpopisa"/>
        <w:numPr>
          <w:ilvl w:val="0"/>
          <w:numId w:val="7"/>
        </w:numPr>
        <w:ind w:left="426"/>
        <w:jc w:val="both"/>
        <w:rPr>
          <w:rFonts w:ascii="Arial" w:hAnsi="Arial" w:cs="Arial"/>
          <w:sz w:val="22"/>
          <w:szCs w:val="22"/>
          <w:highlight w:val="yellow"/>
          <w:lang w:val="en-GB"/>
        </w:rPr>
      </w:pPr>
      <w:r w:rsidRPr="000B2B81">
        <w:rPr>
          <w:rFonts w:ascii="Arial" w:hAnsi="Arial" w:cs="Arial"/>
          <w:sz w:val="22"/>
          <w:szCs w:val="22"/>
          <w:highlight w:val="yellow"/>
          <w:lang w:val="en-GB"/>
        </w:rPr>
        <w:t xml:space="preserve">the </w:t>
      </w:r>
      <w:r w:rsidR="00D84AFA" w:rsidRPr="000B2B81">
        <w:rPr>
          <w:rFonts w:ascii="Arial" w:hAnsi="Arial" w:cs="Arial"/>
          <w:sz w:val="22"/>
          <w:szCs w:val="22"/>
          <w:highlight w:val="yellow"/>
          <w:lang w:val="en-GB"/>
        </w:rPr>
        <w:t>company’s shareholders</w:t>
      </w:r>
      <w:r w:rsidRPr="000B2B81">
        <w:rPr>
          <w:rFonts w:ascii="Arial" w:hAnsi="Arial" w:cs="Arial"/>
          <w:sz w:val="22"/>
          <w:szCs w:val="22"/>
          <w:highlight w:val="yellow"/>
          <w:lang w:val="en-GB"/>
        </w:rPr>
        <w:t>.</w:t>
      </w:r>
    </w:p>
    <w:p w14:paraId="4CD4B194" w14:textId="77777777" w:rsidR="00A63388" w:rsidRPr="00A63388" w:rsidRDefault="00A63388" w:rsidP="00A63388">
      <w:pPr>
        <w:jc w:val="both"/>
        <w:rPr>
          <w:rFonts w:ascii="Arial" w:hAnsi="Arial" w:cs="Arial"/>
          <w:sz w:val="22"/>
          <w:szCs w:val="22"/>
          <w:lang w:val="en-GB"/>
        </w:rPr>
      </w:pPr>
    </w:p>
    <w:p w14:paraId="21371EAD" w14:textId="16AD501D" w:rsidR="00D84AFA" w:rsidRDefault="00615B13" w:rsidP="00A63388">
      <w:pPr>
        <w:pStyle w:val="Odlomakpopisa"/>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creditors</w:t>
      </w:r>
      <w:r w:rsidRPr="00A63388">
        <w:rPr>
          <w:rFonts w:ascii="Arial" w:hAnsi="Arial" w:cs="Arial"/>
          <w:sz w:val="22"/>
          <w:szCs w:val="22"/>
          <w:lang w:val="en-GB"/>
        </w:rPr>
        <w:t>.</w:t>
      </w:r>
    </w:p>
    <w:p w14:paraId="11E717BE" w14:textId="77777777" w:rsidR="00A63388" w:rsidRPr="00A63388" w:rsidRDefault="00A63388" w:rsidP="00A63388">
      <w:pPr>
        <w:jc w:val="both"/>
        <w:rPr>
          <w:rFonts w:ascii="Arial" w:hAnsi="Arial" w:cs="Arial"/>
          <w:sz w:val="22"/>
          <w:szCs w:val="22"/>
          <w:lang w:val="en-GB"/>
        </w:rPr>
      </w:pPr>
    </w:p>
    <w:p w14:paraId="5AA09635" w14:textId="69869822" w:rsidR="00D84AFA" w:rsidRDefault="00615B13" w:rsidP="00A63388">
      <w:pPr>
        <w:pStyle w:val="Odlomakpopisa"/>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company’s shareholders and to its creditors on the eve of insolvency</w:t>
      </w:r>
      <w:r w:rsidRPr="00A63388">
        <w:rPr>
          <w:rFonts w:ascii="Arial" w:hAnsi="Arial" w:cs="Arial"/>
          <w:sz w:val="22"/>
          <w:szCs w:val="22"/>
          <w:lang w:val="en-GB"/>
        </w:rPr>
        <w:t>.</w:t>
      </w:r>
    </w:p>
    <w:p w14:paraId="6B872E76" w14:textId="77777777" w:rsidR="00A63388" w:rsidRPr="00A63388" w:rsidRDefault="00A63388" w:rsidP="00A63388">
      <w:pPr>
        <w:jc w:val="both"/>
        <w:rPr>
          <w:rFonts w:ascii="Arial" w:hAnsi="Arial" w:cs="Arial"/>
          <w:sz w:val="22"/>
          <w:szCs w:val="22"/>
          <w:lang w:val="en-GB"/>
        </w:rPr>
      </w:pPr>
    </w:p>
    <w:p w14:paraId="5DAF5468" w14:textId="4F581DE6" w:rsidR="00D84AFA" w:rsidRPr="00A63388" w:rsidRDefault="00615B13" w:rsidP="00A63388">
      <w:pPr>
        <w:pStyle w:val="Odlomakpopisa"/>
        <w:numPr>
          <w:ilvl w:val="0"/>
          <w:numId w:val="7"/>
        </w:numPr>
        <w:ind w:left="426"/>
        <w:jc w:val="both"/>
        <w:rPr>
          <w:rFonts w:ascii="Arial" w:hAnsi="Arial" w:cs="Arial"/>
          <w:sz w:val="22"/>
          <w:szCs w:val="22"/>
          <w:lang w:val="en-GB"/>
        </w:rPr>
      </w:pPr>
      <w:r w:rsidRPr="00A63388">
        <w:rPr>
          <w:rFonts w:ascii="Arial" w:hAnsi="Arial" w:cs="Arial"/>
          <w:sz w:val="22"/>
          <w:szCs w:val="22"/>
          <w:lang w:val="en-GB"/>
        </w:rPr>
        <w:t xml:space="preserve">the </w:t>
      </w:r>
      <w:r w:rsidR="00D84AFA" w:rsidRPr="00A63388">
        <w:rPr>
          <w:rFonts w:ascii="Arial" w:hAnsi="Arial" w:cs="Arial"/>
          <w:sz w:val="22"/>
          <w:szCs w:val="22"/>
          <w:lang w:val="en-GB"/>
        </w:rPr>
        <w:t>company, irrespective of whether their actions can affect either shareholders or creditors.</w:t>
      </w:r>
    </w:p>
    <w:p w14:paraId="2A45FBDD" w14:textId="77777777" w:rsidR="0020090A" w:rsidRDefault="0020090A" w:rsidP="00C55824">
      <w:pPr>
        <w:jc w:val="both"/>
        <w:rPr>
          <w:rFonts w:ascii="Arial" w:hAnsi="Arial" w:cs="Arial"/>
          <w:sz w:val="22"/>
          <w:szCs w:val="22"/>
        </w:rPr>
      </w:pPr>
    </w:p>
    <w:p w14:paraId="59DC1E35"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C7FB7AF" w14:textId="77777777" w:rsidR="00E9597C" w:rsidRPr="00B9639B" w:rsidRDefault="00E9597C" w:rsidP="0020090A">
      <w:pPr>
        <w:keepNext/>
        <w:jc w:val="both"/>
        <w:rPr>
          <w:rFonts w:ascii="Arial" w:hAnsi="Arial" w:cs="Arial"/>
          <w:b/>
          <w:bCs/>
          <w:sz w:val="22"/>
          <w:szCs w:val="22"/>
        </w:rPr>
      </w:pPr>
    </w:p>
    <w:p w14:paraId="700FC2BA" w14:textId="77777777" w:rsidR="00D84AFA" w:rsidRDefault="00D84AFA" w:rsidP="00D84AFA">
      <w:pPr>
        <w:jc w:val="both"/>
        <w:rPr>
          <w:rFonts w:ascii="Arial" w:hAnsi="Arial" w:cs="Arial"/>
          <w:sz w:val="22"/>
          <w:szCs w:val="22"/>
          <w:lang w:val="en-GB"/>
        </w:rPr>
      </w:pPr>
      <w:r>
        <w:rPr>
          <w:rFonts w:ascii="Arial" w:hAnsi="Arial" w:cs="Arial"/>
          <w:sz w:val="22"/>
          <w:szCs w:val="22"/>
          <w:lang w:val="en-GB"/>
        </w:rPr>
        <w:t>The evolution towards a system where insolvency is not punished as a crime was primarily due to:</w:t>
      </w:r>
    </w:p>
    <w:p w14:paraId="27AE476B" w14:textId="77777777" w:rsidR="00D84AFA" w:rsidRDefault="00D84AFA" w:rsidP="00D84AFA">
      <w:pPr>
        <w:ind w:left="720" w:hanging="720"/>
        <w:jc w:val="both"/>
        <w:rPr>
          <w:rFonts w:ascii="Arial" w:hAnsi="Arial" w:cs="Arial"/>
          <w:sz w:val="22"/>
          <w:szCs w:val="22"/>
          <w:lang w:val="en-GB"/>
        </w:rPr>
      </w:pPr>
    </w:p>
    <w:p w14:paraId="63F6926F" w14:textId="1126ABA1" w:rsidR="00D84AFA" w:rsidRDefault="00801786" w:rsidP="00A63388">
      <w:pPr>
        <w:pStyle w:val="Odlomakpopisa"/>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he rediscovery of Latin legal texts,</w:t>
      </w:r>
      <w:r w:rsidR="00D14A8A" w:rsidRPr="00A63388">
        <w:rPr>
          <w:rFonts w:ascii="Arial" w:hAnsi="Arial" w:cs="Arial"/>
          <w:sz w:val="22"/>
          <w:szCs w:val="22"/>
          <w:lang w:val="en-GB"/>
        </w:rPr>
        <w:t xml:space="preserve"> </w:t>
      </w:r>
      <w:r w:rsidR="00D84AFA" w:rsidRPr="00A63388">
        <w:rPr>
          <w:rFonts w:ascii="Arial" w:hAnsi="Arial" w:cs="Arial"/>
          <w:sz w:val="22"/>
          <w:szCs w:val="22"/>
          <w:lang w:val="en-GB"/>
        </w:rPr>
        <w:t xml:space="preserve">particularly of the </w:t>
      </w:r>
      <w:r w:rsidR="00D84AFA" w:rsidRPr="00A63388">
        <w:rPr>
          <w:rFonts w:ascii="Arial" w:hAnsi="Arial" w:cs="Arial"/>
          <w:i/>
          <w:iCs/>
          <w:sz w:val="22"/>
          <w:szCs w:val="22"/>
          <w:lang w:val="en-GB"/>
        </w:rPr>
        <w:t>Codex Iustinianeus</w:t>
      </w:r>
      <w:r w:rsidR="00D84AFA" w:rsidRPr="00A63388">
        <w:rPr>
          <w:rFonts w:ascii="Arial" w:hAnsi="Arial" w:cs="Arial"/>
          <w:sz w:val="22"/>
          <w:szCs w:val="22"/>
          <w:lang w:val="en-GB"/>
        </w:rPr>
        <w:t xml:space="preserve">, in </w:t>
      </w:r>
      <w:r w:rsidRPr="00A63388">
        <w:rPr>
          <w:rFonts w:ascii="Arial" w:hAnsi="Arial" w:cs="Arial"/>
          <w:sz w:val="22"/>
          <w:szCs w:val="22"/>
          <w:lang w:val="en-GB"/>
        </w:rPr>
        <w:t xml:space="preserve">the </w:t>
      </w:r>
      <w:r w:rsidR="00D84AFA" w:rsidRPr="00A63388">
        <w:rPr>
          <w:rFonts w:ascii="Arial" w:hAnsi="Arial" w:cs="Arial"/>
          <w:sz w:val="22"/>
          <w:szCs w:val="22"/>
          <w:lang w:val="en-GB"/>
        </w:rPr>
        <w:t>late middle ages</w:t>
      </w:r>
      <w:r w:rsidR="00832B6A" w:rsidRPr="00A63388">
        <w:rPr>
          <w:rFonts w:ascii="Arial" w:hAnsi="Arial" w:cs="Arial"/>
          <w:sz w:val="22"/>
          <w:szCs w:val="22"/>
          <w:lang w:val="en-GB"/>
        </w:rPr>
        <w:t>.</w:t>
      </w:r>
    </w:p>
    <w:p w14:paraId="1393027A" w14:textId="77777777" w:rsidR="00A63388" w:rsidRPr="00A63388" w:rsidRDefault="00A63388" w:rsidP="00A63388">
      <w:pPr>
        <w:jc w:val="both"/>
        <w:rPr>
          <w:rFonts w:ascii="Arial" w:hAnsi="Arial" w:cs="Arial"/>
          <w:sz w:val="22"/>
          <w:szCs w:val="22"/>
          <w:lang w:val="en-GB"/>
        </w:rPr>
      </w:pPr>
    </w:p>
    <w:p w14:paraId="055C9FDE" w14:textId="09D2C4A3" w:rsidR="00D84AFA" w:rsidRDefault="00801786" w:rsidP="00A63388">
      <w:pPr>
        <w:pStyle w:val="Odlomakpopisa"/>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 xml:space="preserve">he invasion by Napoleon’s troops in the early </w:t>
      </w:r>
      <w:r w:rsidR="00D14A8A" w:rsidRPr="00A63388">
        <w:rPr>
          <w:rFonts w:ascii="Arial" w:hAnsi="Arial" w:cs="Arial"/>
          <w:sz w:val="22"/>
          <w:szCs w:val="22"/>
          <w:lang w:val="en-GB"/>
        </w:rPr>
        <w:t>19</w:t>
      </w:r>
      <w:r w:rsidR="00D14A8A" w:rsidRPr="00A63388">
        <w:rPr>
          <w:rFonts w:ascii="Arial" w:hAnsi="Arial" w:cs="Arial"/>
          <w:sz w:val="22"/>
          <w:szCs w:val="22"/>
          <w:vertAlign w:val="superscript"/>
          <w:lang w:val="en-GB"/>
        </w:rPr>
        <w:t>th</w:t>
      </w:r>
      <w:r w:rsidR="00D14A8A" w:rsidRPr="00A63388">
        <w:rPr>
          <w:rFonts w:ascii="Arial" w:hAnsi="Arial" w:cs="Arial"/>
          <w:sz w:val="22"/>
          <w:szCs w:val="22"/>
          <w:lang w:val="en-GB"/>
        </w:rPr>
        <w:t xml:space="preserve"> </w:t>
      </w:r>
      <w:r w:rsidR="00D84AFA" w:rsidRPr="00A63388">
        <w:rPr>
          <w:rFonts w:ascii="Arial" w:hAnsi="Arial" w:cs="Arial"/>
          <w:sz w:val="22"/>
          <w:szCs w:val="22"/>
          <w:lang w:val="en-GB"/>
        </w:rPr>
        <w:t xml:space="preserve">century and the </w:t>
      </w:r>
      <w:r w:rsidRPr="00A63388">
        <w:rPr>
          <w:rFonts w:ascii="Arial" w:hAnsi="Arial" w:cs="Arial"/>
          <w:sz w:val="22"/>
          <w:szCs w:val="22"/>
          <w:lang w:val="en-GB"/>
        </w:rPr>
        <w:t>resultant</w:t>
      </w:r>
      <w:r w:rsidR="00D84AFA" w:rsidRPr="00A63388">
        <w:rPr>
          <w:rFonts w:ascii="Arial" w:hAnsi="Arial" w:cs="Arial"/>
          <w:sz w:val="22"/>
          <w:szCs w:val="22"/>
          <w:lang w:val="en-GB"/>
        </w:rPr>
        <w:t xml:space="preserve"> enactment in Italy of French-inspired laws</w:t>
      </w:r>
      <w:r w:rsidR="00832B6A" w:rsidRPr="00A63388">
        <w:rPr>
          <w:rFonts w:ascii="Arial" w:hAnsi="Arial" w:cs="Arial"/>
          <w:sz w:val="22"/>
          <w:szCs w:val="22"/>
          <w:lang w:val="en-GB"/>
        </w:rPr>
        <w:t>.</w:t>
      </w:r>
    </w:p>
    <w:p w14:paraId="75CE4B2C" w14:textId="77777777" w:rsidR="00A63388" w:rsidRPr="00A63388" w:rsidRDefault="00A63388" w:rsidP="00A63388">
      <w:pPr>
        <w:jc w:val="both"/>
        <w:rPr>
          <w:rFonts w:ascii="Arial" w:hAnsi="Arial" w:cs="Arial"/>
          <w:sz w:val="22"/>
          <w:szCs w:val="22"/>
          <w:lang w:val="en-GB"/>
        </w:rPr>
      </w:pPr>
    </w:p>
    <w:p w14:paraId="4D6DBE92" w14:textId="0626CC67" w:rsidR="00D84AFA" w:rsidRPr="000B2B81" w:rsidRDefault="00801786" w:rsidP="00A63388">
      <w:pPr>
        <w:pStyle w:val="Odlomakpopisa"/>
        <w:numPr>
          <w:ilvl w:val="0"/>
          <w:numId w:val="9"/>
        </w:numPr>
        <w:ind w:left="426"/>
        <w:jc w:val="both"/>
        <w:rPr>
          <w:rFonts w:ascii="Arial" w:hAnsi="Arial" w:cs="Arial"/>
          <w:sz w:val="22"/>
          <w:szCs w:val="22"/>
          <w:highlight w:val="yellow"/>
          <w:lang w:val="en-GB"/>
        </w:rPr>
      </w:pPr>
      <w:r w:rsidRPr="000B2B81">
        <w:rPr>
          <w:rFonts w:ascii="Arial" w:hAnsi="Arial" w:cs="Arial"/>
          <w:sz w:val="22"/>
          <w:szCs w:val="22"/>
          <w:highlight w:val="yellow"/>
          <w:lang w:val="en-GB"/>
        </w:rPr>
        <w:t>t</w:t>
      </w:r>
      <w:r w:rsidR="00D84AFA" w:rsidRPr="000B2B81">
        <w:rPr>
          <w:rFonts w:ascii="Arial" w:hAnsi="Arial" w:cs="Arial"/>
          <w:sz w:val="22"/>
          <w:szCs w:val="22"/>
          <w:highlight w:val="yellow"/>
          <w:lang w:val="en-GB"/>
        </w:rPr>
        <w:t>he development of mercantile-oriented societies, where both the local nobility and the growing middle class were involved in trade activities</w:t>
      </w:r>
      <w:r w:rsidR="00832B6A" w:rsidRPr="000B2B81">
        <w:rPr>
          <w:rFonts w:ascii="Arial" w:hAnsi="Arial" w:cs="Arial"/>
          <w:sz w:val="22"/>
          <w:szCs w:val="22"/>
          <w:highlight w:val="yellow"/>
          <w:lang w:val="en-GB"/>
        </w:rPr>
        <w:t>.</w:t>
      </w:r>
    </w:p>
    <w:p w14:paraId="197C30CF" w14:textId="77777777" w:rsidR="00A63388" w:rsidRPr="00A63388" w:rsidRDefault="00A63388" w:rsidP="00A63388">
      <w:pPr>
        <w:jc w:val="both"/>
        <w:rPr>
          <w:rFonts w:ascii="Arial" w:hAnsi="Arial" w:cs="Arial"/>
          <w:sz w:val="22"/>
          <w:szCs w:val="22"/>
          <w:lang w:val="en-GB"/>
        </w:rPr>
      </w:pPr>
    </w:p>
    <w:p w14:paraId="0634C65A" w14:textId="42EDCEA3" w:rsidR="005B79F4" w:rsidRPr="00A63388" w:rsidRDefault="00801786" w:rsidP="00A63388">
      <w:pPr>
        <w:pStyle w:val="Odlomakpopisa"/>
        <w:numPr>
          <w:ilvl w:val="0"/>
          <w:numId w:val="9"/>
        </w:numPr>
        <w:ind w:left="426"/>
        <w:jc w:val="both"/>
        <w:rPr>
          <w:rFonts w:ascii="Arial" w:hAnsi="Arial" w:cs="Arial"/>
          <w:sz w:val="22"/>
          <w:szCs w:val="22"/>
          <w:lang w:val="en-GB"/>
        </w:rPr>
      </w:pPr>
      <w:r w:rsidRPr="00A63388">
        <w:rPr>
          <w:rFonts w:ascii="Arial" w:hAnsi="Arial" w:cs="Arial"/>
          <w:sz w:val="22"/>
          <w:szCs w:val="22"/>
          <w:lang w:val="en-GB"/>
        </w:rPr>
        <w:t>t</w:t>
      </w:r>
      <w:r w:rsidR="00D84AFA" w:rsidRPr="00A63388">
        <w:rPr>
          <w:rFonts w:ascii="Arial" w:hAnsi="Arial" w:cs="Arial"/>
          <w:sz w:val="22"/>
          <w:szCs w:val="22"/>
          <w:lang w:val="en-GB"/>
        </w:rPr>
        <w:t>he social doctrine of the Roman Catholic Church.</w:t>
      </w:r>
    </w:p>
    <w:p w14:paraId="31AA1FF8" w14:textId="77777777" w:rsidR="00D84AFA" w:rsidRDefault="00D84AFA" w:rsidP="00C55824">
      <w:pPr>
        <w:autoSpaceDE w:val="0"/>
        <w:autoSpaceDN w:val="0"/>
        <w:adjustRightInd w:val="0"/>
        <w:jc w:val="both"/>
        <w:rPr>
          <w:rFonts w:ascii="Arial" w:hAnsi="Arial" w:cs="Arial"/>
          <w:sz w:val="22"/>
          <w:szCs w:val="22"/>
        </w:rPr>
      </w:pPr>
    </w:p>
    <w:p w14:paraId="66994C8D"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21AA6CC" w14:textId="77777777" w:rsidR="00E9597C" w:rsidRPr="00B9639B" w:rsidRDefault="00E9597C" w:rsidP="00C55824">
      <w:pPr>
        <w:autoSpaceDE w:val="0"/>
        <w:autoSpaceDN w:val="0"/>
        <w:adjustRightInd w:val="0"/>
        <w:jc w:val="both"/>
        <w:rPr>
          <w:rFonts w:ascii="Arial" w:hAnsi="Arial" w:cs="Arial"/>
          <w:sz w:val="22"/>
          <w:szCs w:val="22"/>
        </w:rPr>
      </w:pPr>
    </w:p>
    <w:p w14:paraId="3D807992" w14:textId="77777777" w:rsidR="00D84AFA" w:rsidRDefault="00D84AFA" w:rsidP="00D84AFA">
      <w:pPr>
        <w:ind w:left="720" w:hanging="720"/>
        <w:jc w:val="both"/>
        <w:rPr>
          <w:rFonts w:ascii="Arial" w:hAnsi="Arial" w:cs="Arial"/>
          <w:sz w:val="22"/>
          <w:szCs w:val="22"/>
          <w:lang w:val="en-GB"/>
        </w:rPr>
      </w:pPr>
      <w:r>
        <w:rPr>
          <w:rFonts w:ascii="Arial" w:hAnsi="Arial" w:cs="Arial"/>
          <w:sz w:val="22"/>
          <w:szCs w:val="22"/>
          <w:lang w:val="en-GB"/>
        </w:rPr>
        <w:t>In order to be executed, a deed of mortgage over real estate needs to be:</w:t>
      </w:r>
    </w:p>
    <w:p w14:paraId="04C49E20" w14:textId="77777777" w:rsidR="00D84AFA" w:rsidRDefault="00D84AFA" w:rsidP="00D84AFA">
      <w:pPr>
        <w:ind w:left="720" w:hanging="720"/>
        <w:jc w:val="both"/>
        <w:rPr>
          <w:rFonts w:ascii="Arial" w:hAnsi="Arial" w:cs="Arial"/>
          <w:sz w:val="22"/>
          <w:szCs w:val="22"/>
          <w:lang w:val="en-GB"/>
        </w:rPr>
      </w:pPr>
    </w:p>
    <w:p w14:paraId="05F2DB10" w14:textId="5702AF6B" w:rsidR="00D84AFA" w:rsidRDefault="00801786" w:rsidP="00A63388">
      <w:pPr>
        <w:pStyle w:val="Odlomakpopisa"/>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and signed by at least one of the parties;</w:t>
      </w:r>
    </w:p>
    <w:p w14:paraId="1D108200" w14:textId="77777777" w:rsidR="00A63388" w:rsidRPr="00A63388" w:rsidRDefault="00A63388" w:rsidP="00A63388">
      <w:pPr>
        <w:jc w:val="both"/>
        <w:rPr>
          <w:rFonts w:ascii="Arial" w:hAnsi="Arial" w:cs="Arial"/>
          <w:sz w:val="22"/>
          <w:szCs w:val="22"/>
          <w:lang w:val="en-GB"/>
        </w:rPr>
      </w:pPr>
    </w:p>
    <w:p w14:paraId="50CAB972" w14:textId="1D580395" w:rsidR="00D84AFA" w:rsidRDefault="00801786" w:rsidP="00A63388">
      <w:pPr>
        <w:pStyle w:val="Odlomakpopisa"/>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and signed by both parties;</w:t>
      </w:r>
    </w:p>
    <w:p w14:paraId="548E2CD7" w14:textId="77777777" w:rsidR="00A63388" w:rsidRPr="00A63388" w:rsidRDefault="00A63388" w:rsidP="00A63388">
      <w:pPr>
        <w:jc w:val="both"/>
        <w:rPr>
          <w:rFonts w:ascii="Arial" w:hAnsi="Arial" w:cs="Arial"/>
          <w:sz w:val="22"/>
          <w:szCs w:val="22"/>
          <w:lang w:val="en-GB"/>
        </w:rPr>
      </w:pPr>
    </w:p>
    <w:p w14:paraId="0C3932F1" w14:textId="6D5B1968" w:rsidR="00D84AFA" w:rsidRDefault="00801786" w:rsidP="00A63388">
      <w:pPr>
        <w:pStyle w:val="Odlomakpopisa"/>
        <w:numPr>
          <w:ilvl w:val="0"/>
          <w:numId w:val="11"/>
        </w:numPr>
        <w:ind w:left="426"/>
        <w:jc w:val="both"/>
        <w:rPr>
          <w:rFonts w:ascii="Arial" w:hAnsi="Arial" w:cs="Arial"/>
          <w:sz w:val="22"/>
          <w:szCs w:val="22"/>
          <w:lang w:val="en-GB"/>
        </w:rPr>
      </w:pPr>
      <w:r w:rsidRPr="00A63388">
        <w:rPr>
          <w:rFonts w:ascii="Arial" w:hAnsi="Arial" w:cs="Arial"/>
          <w:sz w:val="22"/>
          <w:szCs w:val="22"/>
          <w:lang w:val="en-GB"/>
        </w:rPr>
        <w:t>d</w:t>
      </w:r>
      <w:r w:rsidR="00D84AFA" w:rsidRPr="00A63388">
        <w:rPr>
          <w:rFonts w:ascii="Arial" w:hAnsi="Arial" w:cs="Arial"/>
          <w:sz w:val="22"/>
          <w:szCs w:val="22"/>
          <w:lang w:val="en-GB"/>
        </w:rPr>
        <w:t>rafted in writing, signed by both parties and registered with the competent land registry;</w:t>
      </w:r>
    </w:p>
    <w:p w14:paraId="5AEA9ACC" w14:textId="77777777" w:rsidR="00A63388" w:rsidRPr="00A63388" w:rsidRDefault="00A63388" w:rsidP="00A63388">
      <w:pPr>
        <w:jc w:val="both"/>
        <w:rPr>
          <w:rFonts w:ascii="Arial" w:hAnsi="Arial" w:cs="Arial"/>
          <w:sz w:val="22"/>
          <w:szCs w:val="22"/>
          <w:lang w:val="en-GB"/>
        </w:rPr>
      </w:pPr>
    </w:p>
    <w:p w14:paraId="096409F1" w14:textId="59311AA1" w:rsidR="005B79F4" w:rsidRPr="000B2B81" w:rsidRDefault="00801786" w:rsidP="00A63388">
      <w:pPr>
        <w:pStyle w:val="Odlomakpopisa"/>
        <w:numPr>
          <w:ilvl w:val="0"/>
          <w:numId w:val="11"/>
        </w:numPr>
        <w:ind w:left="426"/>
        <w:jc w:val="both"/>
        <w:rPr>
          <w:rFonts w:ascii="Arial" w:hAnsi="Arial" w:cs="Arial"/>
          <w:sz w:val="22"/>
          <w:szCs w:val="22"/>
          <w:highlight w:val="yellow"/>
          <w:lang w:val="en-GB"/>
        </w:rPr>
      </w:pPr>
      <w:r w:rsidRPr="000B2B81">
        <w:rPr>
          <w:rFonts w:ascii="Arial" w:hAnsi="Arial" w:cs="Arial"/>
          <w:sz w:val="22"/>
          <w:szCs w:val="22"/>
          <w:highlight w:val="yellow"/>
          <w:lang w:val="en-GB"/>
        </w:rPr>
        <w:t>d</w:t>
      </w:r>
      <w:r w:rsidR="00D84AFA" w:rsidRPr="000B2B81">
        <w:rPr>
          <w:rFonts w:ascii="Arial" w:hAnsi="Arial" w:cs="Arial"/>
          <w:sz w:val="22"/>
          <w:szCs w:val="22"/>
          <w:highlight w:val="yellow"/>
          <w:lang w:val="en-GB"/>
        </w:rPr>
        <w:t xml:space="preserve">rafted in writing in a notarised form, signed and registered. </w:t>
      </w:r>
    </w:p>
    <w:p w14:paraId="5DDE137A" w14:textId="77777777" w:rsidR="00D84AFA" w:rsidRDefault="00D84AFA" w:rsidP="00C55824">
      <w:pPr>
        <w:jc w:val="both"/>
        <w:rPr>
          <w:rFonts w:ascii="Arial" w:hAnsi="Arial" w:cs="Arial"/>
          <w:sz w:val="22"/>
          <w:szCs w:val="22"/>
        </w:rPr>
      </w:pPr>
    </w:p>
    <w:p w14:paraId="2B9E209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6C55F316" w14:textId="77777777" w:rsidR="00E9597C" w:rsidRPr="00B9639B" w:rsidRDefault="00E9597C" w:rsidP="00C55824">
      <w:pPr>
        <w:jc w:val="both"/>
        <w:rPr>
          <w:rFonts w:ascii="Arial" w:hAnsi="Arial" w:cs="Arial"/>
          <w:sz w:val="22"/>
          <w:szCs w:val="22"/>
        </w:rPr>
      </w:pPr>
    </w:p>
    <w:p w14:paraId="7E565A67" w14:textId="40389A3C" w:rsidR="004A61A7" w:rsidRDefault="004A61A7" w:rsidP="004A61A7">
      <w:pPr>
        <w:ind w:left="720" w:hanging="720"/>
        <w:jc w:val="both"/>
        <w:rPr>
          <w:rFonts w:ascii="Arial" w:hAnsi="Arial" w:cs="Arial"/>
          <w:sz w:val="22"/>
          <w:szCs w:val="22"/>
          <w:lang w:val="en-GB"/>
        </w:rPr>
      </w:pPr>
      <w:r>
        <w:rPr>
          <w:rFonts w:ascii="Arial" w:hAnsi="Arial" w:cs="Arial"/>
          <w:sz w:val="22"/>
          <w:szCs w:val="22"/>
          <w:lang w:val="en-GB"/>
        </w:rPr>
        <w:t xml:space="preserve">Recent reforms (2015 </w:t>
      </w:r>
      <w:r w:rsidR="00300B24">
        <w:rPr>
          <w:rFonts w:ascii="Arial" w:hAnsi="Arial" w:cs="Arial"/>
          <w:sz w:val="22"/>
          <w:szCs w:val="22"/>
          <w:lang w:val="en-GB"/>
        </w:rPr>
        <w:t xml:space="preserve">and </w:t>
      </w:r>
      <w:r>
        <w:rPr>
          <w:rFonts w:ascii="Arial" w:hAnsi="Arial" w:cs="Arial"/>
          <w:sz w:val="22"/>
          <w:szCs w:val="22"/>
          <w:lang w:val="en-GB"/>
        </w:rPr>
        <w:t>onwards) on pre-insolvency compositions had the objective of:</w:t>
      </w:r>
    </w:p>
    <w:p w14:paraId="51D72D75" w14:textId="77777777" w:rsidR="004A61A7" w:rsidRDefault="004A61A7" w:rsidP="004A61A7">
      <w:pPr>
        <w:ind w:left="720" w:hanging="720"/>
        <w:jc w:val="both"/>
        <w:rPr>
          <w:rFonts w:ascii="Arial" w:hAnsi="Arial" w:cs="Arial"/>
          <w:sz w:val="22"/>
          <w:szCs w:val="22"/>
          <w:lang w:val="en-GB"/>
        </w:rPr>
      </w:pPr>
    </w:p>
    <w:p w14:paraId="46F7CE13" w14:textId="1542D348" w:rsidR="004A61A7" w:rsidRPr="000B2B81" w:rsidRDefault="00801786" w:rsidP="00237AAF">
      <w:pPr>
        <w:pStyle w:val="Odlomakpopisa"/>
        <w:numPr>
          <w:ilvl w:val="0"/>
          <w:numId w:val="13"/>
        </w:numPr>
        <w:ind w:left="426"/>
        <w:jc w:val="both"/>
        <w:rPr>
          <w:rFonts w:ascii="Arial" w:hAnsi="Arial" w:cs="Arial"/>
          <w:sz w:val="22"/>
          <w:szCs w:val="22"/>
          <w:highlight w:val="yellow"/>
          <w:lang w:val="en-GB"/>
        </w:rPr>
      </w:pPr>
      <w:r w:rsidRPr="000B2B81">
        <w:rPr>
          <w:rFonts w:ascii="Arial" w:hAnsi="Arial" w:cs="Arial"/>
          <w:sz w:val="22"/>
          <w:szCs w:val="22"/>
          <w:highlight w:val="yellow"/>
          <w:lang w:val="en-GB"/>
        </w:rPr>
        <w:t>r</w:t>
      </w:r>
      <w:r w:rsidR="004A61A7" w:rsidRPr="000B2B81">
        <w:rPr>
          <w:rFonts w:ascii="Arial" w:hAnsi="Arial" w:cs="Arial"/>
          <w:sz w:val="22"/>
          <w:szCs w:val="22"/>
          <w:highlight w:val="yellow"/>
          <w:lang w:val="en-GB"/>
        </w:rPr>
        <w:t xml:space="preserve">educing the use of these procedures, thus marking the end of the legislative </w:t>
      </w:r>
      <w:r w:rsidR="004A61A7" w:rsidRPr="000B2B81">
        <w:rPr>
          <w:rFonts w:ascii="Arial" w:hAnsi="Arial" w:cs="Arial"/>
          <w:i/>
          <w:sz w:val="22"/>
          <w:szCs w:val="22"/>
          <w:highlight w:val="yellow"/>
          <w:lang w:val="en-GB"/>
        </w:rPr>
        <w:t xml:space="preserve">favour </w:t>
      </w:r>
      <w:r w:rsidR="004A61A7" w:rsidRPr="000B2B81">
        <w:rPr>
          <w:rFonts w:ascii="Arial" w:hAnsi="Arial" w:cs="Arial"/>
          <w:sz w:val="22"/>
          <w:szCs w:val="22"/>
          <w:highlight w:val="yellow"/>
          <w:lang w:val="en-GB"/>
        </w:rPr>
        <w:t>towards their use</w:t>
      </w:r>
      <w:r w:rsidR="00EB7214" w:rsidRPr="000B2B81">
        <w:rPr>
          <w:rFonts w:ascii="Arial" w:hAnsi="Arial" w:cs="Arial"/>
          <w:sz w:val="22"/>
          <w:szCs w:val="22"/>
          <w:highlight w:val="yellow"/>
          <w:lang w:val="en-GB"/>
        </w:rPr>
        <w:t>.</w:t>
      </w:r>
    </w:p>
    <w:p w14:paraId="3FB01FD6" w14:textId="77777777" w:rsidR="00237AAF" w:rsidRPr="00237AAF" w:rsidRDefault="00237AAF" w:rsidP="00237AAF">
      <w:pPr>
        <w:jc w:val="both"/>
        <w:rPr>
          <w:rFonts w:ascii="Arial" w:hAnsi="Arial" w:cs="Arial"/>
          <w:sz w:val="22"/>
          <w:szCs w:val="22"/>
          <w:lang w:val="en-GB"/>
        </w:rPr>
      </w:pPr>
    </w:p>
    <w:p w14:paraId="2BA99050" w14:textId="62C234CC" w:rsidR="004A61A7" w:rsidRDefault="00801786" w:rsidP="00237AAF">
      <w:pPr>
        <w:pStyle w:val="Odlomakpopisa"/>
        <w:numPr>
          <w:ilvl w:val="0"/>
          <w:numId w:val="13"/>
        </w:numPr>
        <w:ind w:left="426"/>
        <w:jc w:val="both"/>
        <w:rPr>
          <w:rFonts w:ascii="Arial" w:hAnsi="Arial" w:cs="Arial"/>
          <w:sz w:val="22"/>
          <w:szCs w:val="22"/>
          <w:lang w:val="en-GB"/>
        </w:rPr>
      </w:pPr>
      <w:r w:rsidRPr="00237AAF">
        <w:rPr>
          <w:rFonts w:ascii="Arial" w:hAnsi="Arial" w:cs="Arial"/>
          <w:sz w:val="22"/>
          <w:szCs w:val="22"/>
          <w:lang w:val="en-GB"/>
        </w:rPr>
        <w:lastRenderedPageBreak/>
        <w:t>r</w:t>
      </w:r>
      <w:r w:rsidR="004A61A7" w:rsidRPr="00237AAF">
        <w:rPr>
          <w:rFonts w:ascii="Arial" w:hAnsi="Arial" w:cs="Arial"/>
          <w:sz w:val="22"/>
          <w:szCs w:val="22"/>
          <w:lang w:val="en-GB"/>
        </w:rPr>
        <w:t>educing the improper use of these procedures</w:t>
      </w:r>
      <w:r w:rsidR="00EB7214" w:rsidRPr="00237AAF">
        <w:rPr>
          <w:rFonts w:ascii="Arial" w:hAnsi="Arial" w:cs="Arial"/>
          <w:sz w:val="22"/>
          <w:szCs w:val="22"/>
          <w:lang w:val="en-GB"/>
        </w:rPr>
        <w:t>.</w:t>
      </w:r>
    </w:p>
    <w:p w14:paraId="4F707111" w14:textId="77777777" w:rsidR="00237AAF" w:rsidRPr="00237AAF" w:rsidRDefault="00237AAF" w:rsidP="00237AAF">
      <w:pPr>
        <w:jc w:val="both"/>
        <w:rPr>
          <w:rFonts w:ascii="Arial" w:hAnsi="Arial" w:cs="Arial"/>
          <w:sz w:val="22"/>
          <w:szCs w:val="22"/>
          <w:lang w:val="en-GB"/>
        </w:rPr>
      </w:pPr>
    </w:p>
    <w:p w14:paraId="231205A3" w14:textId="27AE75CA" w:rsidR="004A61A7" w:rsidRDefault="00801786" w:rsidP="00237AAF">
      <w:pPr>
        <w:pStyle w:val="Odlomakpopisa"/>
        <w:numPr>
          <w:ilvl w:val="0"/>
          <w:numId w:val="13"/>
        </w:numPr>
        <w:ind w:left="426"/>
        <w:jc w:val="both"/>
        <w:rPr>
          <w:rFonts w:ascii="Arial" w:hAnsi="Arial" w:cs="Arial"/>
          <w:sz w:val="22"/>
          <w:szCs w:val="22"/>
          <w:lang w:val="en-GB"/>
        </w:rPr>
      </w:pPr>
      <w:r w:rsidRPr="00237AAF">
        <w:rPr>
          <w:rFonts w:ascii="Arial" w:hAnsi="Arial" w:cs="Arial"/>
          <w:sz w:val="22"/>
          <w:szCs w:val="22"/>
          <w:lang w:val="en-GB"/>
        </w:rPr>
        <w:t>e</w:t>
      </w:r>
      <w:r w:rsidR="004A61A7" w:rsidRPr="00237AAF">
        <w:rPr>
          <w:rFonts w:ascii="Arial" w:hAnsi="Arial" w:cs="Arial"/>
          <w:sz w:val="22"/>
          <w:szCs w:val="22"/>
          <w:lang w:val="en-GB"/>
        </w:rPr>
        <w:t>nsuring higher returns to all creditors and particularly to unsecured ones</w:t>
      </w:r>
      <w:r w:rsidR="00EB7214" w:rsidRPr="00237AAF">
        <w:rPr>
          <w:rFonts w:ascii="Arial" w:hAnsi="Arial" w:cs="Arial"/>
          <w:sz w:val="22"/>
          <w:szCs w:val="22"/>
          <w:lang w:val="en-GB"/>
        </w:rPr>
        <w:t>.</w:t>
      </w:r>
    </w:p>
    <w:p w14:paraId="6AE98D56" w14:textId="77777777" w:rsidR="00237AAF" w:rsidRPr="00237AAF" w:rsidRDefault="00237AAF" w:rsidP="00237AAF">
      <w:pPr>
        <w:jc w:val="both"/>
        <w:rPr>
          <w:rFonts w:ascii="Arial" w:hAnsi="Arial" w:cs="Arial"/>
          <w:sz w:val="22"/>
          <w:szCs w:val="22"/>
          <w:lang w:val="en-GB"/>
        </w:rPr>
      </w:pPr>
    </w:p>
    <w:p w14:paraId="056EF704" w14:textId="6BE654DE" w:rsidR="00D84AFA" w:rsidRPr="00237AAF" w:rsidRDefault="00801786" w:rsidP="00237AAF">
      <w:pPr>
        <w:pStyle w:val="Odlomakpopisa"/>
        <w:numPr>
          <w:ilvl w:val="0"/>
          <w:numId w:val="13"/>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 xml:space="preserve">armonising the Italian system </w:t>
      </w:r>
      <w:r w:rsidR="00300B24" w:rsidRPr="00237AAF">
        <w:rPr>
          <w:rFonts w:ascii="Arial" w:hAnsi="Arial" w:cs="Arial"/>
          <w:sz w:val="22"/>
          <w:szCs w:val="22"/>
          <w:lang w:val="en-GB"/>
        </w:rPr>
        <w:t>with</w:t>
      </w:r>
      <w:r w:rsidR="004A61A7" w:rsidRPr="00237AAF">
        <w:rPr>
          <w:rFonts w:ascii="Arial" w:hAnsi="Arial" w:cs="Arial"/>
          <w:sz w:val="22"/>
          <w:szCs w:val="22"/>
          <w:lang w:val="en-GB"/>
        </w:rPr>
        <w:t xml:space="preserve"> European rules and best practices.</w:t>
      </w:r>
    </w:p>
    <w:p w14:paraId="0D06FBCB" w14:textId="616CBE49" w:rsidR="004A61A7" w:rsidRDefault="004A61A7" w:rsidP="00C55824">
      <w:pPr>
        <w:jc w:val="both"/>
        <w:rPr>
          <w:rFonts w:ascii="Arial" w:eastAsiaTheme="minorHAnsi" w:hAnsi="Arial" w:cs="Arial"/>
          <w:sz w:val="22"/>
          <w:szCs w:val="22"/>
          <w:lang w:val="en-GB"/>
        </w:rPr>
      </w:pPr>
    </w:p>
    <w:p w14:paraId="17BEBD8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0B789578" w14:textId="77777777" w:rsidR="005B79F4" w:rsidRDefault="005B79F4" w:rsidP="00C55824">
      <w:pPr>
        <w:jc w:val="both"/>
        <w:rPr>
          <w:rFonts w:ascii="Arial" w:eastAsiaTheme="minorHAnsi" w:hAnsi="Arial" w:cs="Arial"/>
          <w:sz w:val="22"/>
          <w:szCs w:val="22"/>
          <w:lang w:val="en-GB"/>
        </w:rPr>
      </w:pPr>
    </w:p>
    <w:p w14:paraId="4DE51EDF" w14:textId="77777777" w:rsidR="004A61A7" w:rsidRDefault="004A61A7" w:rsidP="004A61A7">
      <w:pPr>
        <w:ind w:left="360" w:hanging="360"/>
        <w:jc w:val="both"/>
        <w:rPr>
          <w:rFonts w:ascii="Arial" w:hAnsi="Arial" w:cs="Arial"/>
          <w:sz w:val="22"/>
          <w:szCs w:val="22"/>
          <w:lang w:val="en-GB"/>
        </w:rPr>
      </w:pPr>
      <w:r w:rsidRPr="004A61A7">
        <w:rPr>
          <w:rFonts w:ascii="Arial" w:hAnsi="Arial" w:cs="Arial"/>
          <w:sz w:val="22"/>
          <w:szCs w:val="22"/>
          <w:lang w:val="en-GB"/>
        </w:rPr>
        <w:t>Rules on netting and set-off:</w:t>
      </w:r>
    </w:p>
    <w:p w14:paraId="69DE2275" w14:textId="77777777" w:rsidR="004A61A7" w:rsidRPr="004A61A7" w:rsidRDefault="004A61A7" w:rsidP="004A61A7">
      <w:pPr>
        <w:ind w:left="360" w:hanging="360"/>
        <w:jc w:val="both"/>
        <w:rPr>
          <w:rFonts w:ascii="Arial" w:hAnsi="Arial" w:cs="Arial"/>
          <w:sz w:val="22"/>
          <w:szCs w:val="22"/>
          <w:lang w:val="en-GB"/>
        </w:rPr>
      </w:pPr>
    </w:p>
    <w:p w14:paraId="09DCCD5B" w14:textId="5D9AAF06" w:rsidR="004A61A7" w:rsidRDefault="00801786" w:rsidP="00237AAF">
      <w:pPr>
        <w:pStyle w:val="Odlomakpopisa"/>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pply only to liquidation procedures</w:t>
      </w:r>
      <w:r w:rsidR="00EB7214" w:rsidRPr="00237AAF">
        <w:rPr>
          <w:rFonts w:ascii="Arial" w:hAnsi="Arial" w:cs="Arial"/>
          <w:sz w:val="22"/>
          <w:szCs w:val="22"/>
          <w:lang w:val="en-GB"/>
        </w:rPr>
        <w:t>.</w:t>
      </w:r>
    </w:p>
    <w:p w14:paraId="1239654E" w14:textId="77777777" w:rsidR="00237AAF" w:rsidRPr="00237AAF" w:rsidRDefault="00237AAF" w:rsidP="00237AAF">
      <w:pPr>
        <w:jc w:val="both"/>
        <w:rPr>
          <w:rFonts w:ascii="Arial" w:hAnsi="Arial" w:cs="Arial"/>
          <w:sz w:val="22"/>
          <w:szCs w:val="22"/>
          <w:lang w:val="en-GB"/>
        </w:rPr>
      </w:pPr>
    </w:p>
    <w:p w14:paraId="76BED048" w14:textId="3EF018EF" w:rsidR="004A61A7" w:rsidRDefault="00801786" w:rsidP="00237AAF">
      <w:pPr>
        <w:pStyle w:val="Odlomakpopisa"/>
        <w:numPr>
          <w:ilvl w:val="0"/>
          <w:numId w:val="15"/>
        </w:numPr>
        <w:ind w:left="426"/>
        <w:jc w:val="both"/>
        <w:rPr>
          <w:rFonts w:ascii="Arial" w:hAnsi="Arial" w:cs="Arial"/>
          <w:sz w:val="22"/>
          <w:szCs w:val="22"/>
          <w:lang w:val="en-GB"/>
        </w:rPr>
      </w:pPr>
      <w:r w:rsidRPr="00237AAF">
        <w:rPr>
          <w:rFonts w:ascii="Arial" w:hAnsi="Arial" w:cs="Arial"/>
          <w:sz w:val="22"/>
          <w:szCs w:val="22"/>
          <w:lang w:val="en-GB"/>
        </w:rPr>
        <w:t>r</w:t>
      </w:r>
      <w:r w:rsidR="004A61A7" w:rsidRPr="00237AAF">
        <w:rPr>
          <w:rFonts w:ascii="Arial" w:hAnsi="Arial" w:cs="Arial"/>
          <w:sz w:val="22"/>
          <w:szCs w:val="22"/>
          <w:lang w:val="en-GB"/>
        </w:rPr>
        <w:t>estrict the validity of contractually negotiated clauses</w:t>
      </w:r>
      <w:r w:rsidR="00EB7214" w:rsidRPr="00237AAF">
        <w:rPr>
          <w:rFonts w:ascii="Arial" w:hAnsi="Arial" w:cs="Arial"/>
          <w:sz w:val="22"/>
          <w:szCs w:val="22"/>
          <w:lang w:val="en-GB"/>
        </w:rPr>
        <w:t>.</w:t>
      </w:r>
    </w:p>
    <w:p w14:paraId="1BF95A20" w14:textId="77777777" w:rsidR="00237AAF" w:rsidRPr="00237AAF" w:rsidRDefault="00237AAF" w:rsidP="00237AAF">
      <w:pPr>
        <w:jc w:val="both"/>
        <w:rPr>
          <w:rFonts w:ascii="Arial" w:hAnsi="Arial" w:cs="Arial"/>
          <w:sz w:val="22"/>
          <w:szCs w:val="22"/>
          <w:lang w:val="en-GB"/>
        </w:rPr>
      </w:pPr>
    </w:p>
    <w:p w14:paraId="11494B27" w14:textId="4803342C" w:rsidR="004A61A7" w:rsidRPr="000B2B81" w:rsidRDefault="00801786" w:rsidP="00237AAF">
      <w:pPr>
        <w:pStyle w:val="Odlomakpopisa"/>
        <w:numPr>
          <w:ilvl w:val="0"/>
          <w:numId w:val="15"/>
        </w:numPr>
        <w:ind w:left="426"/>
        <w:jc w:val="both"/>
        <w:rPr>
          <w:rFonts w:ascii="Arial" w:hAnsi="Arial" w:cs="Arial"/>
          <w:sz w:val="22"/>
          <w:szCs w:val="22"/>
          <w:highlight w:val="yellow"/>
          <w:lang w:val="en-GB"/>
        </w:rPr>
      </w:pPr>
      <w:r w:rsidRPr="000B2B81">
        <w:rPr>
          <w:rFonts w:ascii="Arial" w:hAnsi="Arial" w:cs="Arial"/>
          <w:sz w:val="22"/>
          <w:szCs w:val="22"/>
          <w:highlight w:val="yellow"/>
          <w:lang w:val="en-GB"/>
        </w:rPr>
        <w:t>r</w:t>
      </w:r>
      <w:r w:rsidR="004A61A7" w:rsidRPr="000B2B81">
        <w:rPr>
          <w:rFonts w:ascii="Arial" w:hAnsi="Arial" w:cs="Arial"/>
          <w:sz w:val="22"/>
          <w:szCs w:val="22"/>
          <w:highlight w:val="yellow"/>
          <w:lang w:val="en-GB"/>
        </w:rPr>
        <w:t>equire claims to be quantified, certain and preferably due</w:t>
      </w:r>
      <w:r w:rsidR="00EB7214" w:rsidRPr="000B2B81">
        <w:rPr>
          <w:rFonts w:ascii="Arial" w:hAnsi="Arial" w:cs="Arial"/>
          <w:sz w:val="22"/>
          <w:szCs w:val="22"/>
          <w:highlight w:val="yellow"/>
          <w:lang w:val="en-GB"/>
        </w:rPr>
        <w:t>.</w:t>
      </w:r>
    </w:p>
    <w:p w14:paraId="3DF55ED1" w14:textId="77777777" w:rsidR="00237AAF" w:rsidRPr="00237AAF" w:rsidRDefault="00237AAF" w:rsidP="00237AAF">
      <w:pPr>
        <w:jc w:val="both"/>
        <w:rPr>
          <w:rFonts w:ascii="Arial" w:hAnsi="Arial" w:cs="Arial"/>
          <w:sz w:val="22"/>
          <w:szCs w:val="22"/>
          <w:lang w:val="en-GB"/>
        </w:rPr>
      </w:pPr>
    </w:p>
    <w:p w14:paraId="43D4C759" w14:textId="38DAE61A" w:rsidR="004A61A7" w:rsidRPr="00237AAF" w:rsidRDefault="00801786" w:rsidP="00237AAF">
      <w:pPr>
        <w:pStyle w:val="Odlomakpopisa"/>
        <w:numPr>
          <w:ilvl w:val="0"/>
          <w:numId w:val="15"/>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re not codified in the </w:t>
      </w:r>
      <w:r w:rsidR="004A61A7" w:rsidRPr="00237AAF">
        <w:rPr>
          <w:rFonts w:ascii="Arial" w:hAnsi="Arial" w:cs="Arial"/>
          <w:i/>
          <w:iCs/>
          <w:sz w:val="22"/>
          <w:szCs w:val="22"/>
          <w:lang w:val="en-GB"/>
        </w:rPr>
        <w:t>legge fallimentare</w:t>
      </w:r>
      <w:r w:rsidR="004A61A7" w:rsidRPr="00237AAF">
        <w:rPr>
          <w:rFonts w:ascii="Arial" w:hAnsi="Arial" w:cs="Arial"/>
          <w:sz w:val="22"/>
          <w:szCs w:val="22"/>
          <w:lang w:val="en-GB"/>
        </w:rPr>
        <w:t>.</w:t>
      </w:r>
    </w:p>
    <w:p w14:paraId="54F0734D" w14:textId="740ED77B" w:rsidR="004A61A7" w:rsidRDefault="004A61A7" w:rsidP="004A61A7">
      <w:pPr>
        <w:jc w:val="both"/>
        <w:rPr>
          <w:rFonts w:ascii="Arial" w:hAnsi="Arial" w:cs="Arial"/>
          <w:sz w:val="22"/>
          <w:szCs w:val="22"/>
        </w:rPr>
      </w:pPr>
    </w:p>
    <w:p w14:paraId="2784463D"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8874FE7" w14:textId="77777777" w:rsidR="00E9597C" w:rsidRDefault="00E9597C" w:rsidP="00C55824">
      <w:pPr>
        <w:jc w:val="both"/>
        <w:rPr>
          <w:rFonts w:ascii="Arial" w:hAnsi="Arial" w:cs="Arial"/>
          <w:sz w:val="22"/>
          <w:szCs w:val="22"/>
        </w:rPr>
      </w:pPr>
    </w:p>
    <w:p w14:paraId="4C68DB90" w14:textId="4E7EBB83" w:rsidR="004A61A7" w:rsidRDefault="004A61A7" w:rsidP="004A61A7">
      <w:pPr>
        <w:jc w:val="both"/>
        <w:rPr>
          <w:rFonts w:ascii="Arial" w:hAnsi="Arial" w:cs="Arial"/>
          <w:sz w:val="22"/>
          <w:szCs w:val="22"/>
          <w:lang w:val="en-GB"/>
        </w:rPr>
      </w:pPr>
      <w:r>
        <w:rPr>
          <w:rFonts w:ascii="Arial" w:hAnsi="Arial" w:cs="Arial"/>
          <w:sz w:val="22"/>
          <w:szCs w:val="22"/>
          <w:lang w:val="en-GB"/>
        </w:rPr>
        <w:t>To determine jurisdiction in cross-border corporate insolvency cases, Italian courts adopt:</w:t>
      </w:r>
    </w:p>
    <w:p w14:paraId="6DBBFF52" w14:textId="77777777" w:rsidR="004A61A7" w:rsidRDefault="004A61A7" w:rsidP="004A61A7">
      <w:pPr>
        <w:jc w:val="both"/>
        <w:rPr>
          <w:rFonts w:ascii="Arial" w:hAnsi="Arial" w:cs="Arial"/>
          <w:sz w:val="22"/>
          <w:szCs w:val="22"/>
          <w:lang w:val="en-GB"/>
        </w:rPr>
      </w:pPr>
    </w:p>
    <w:p w14:paraId="603EEF16" w14:textId="105B30AA" w:rsidR="004A61A7" w:rsidRDefault="005169DC" w:rsidP="00237AAF">
      <w:pPr>
        <w:pStyle w:val="Odlomakpopisa"/>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territorialist approach, as evidenced by the rules set out in art</w:t>
      </w:r>
      <w:r w:rsidRPr="00237AAF">
        <w:rPr>
          <w:rFonts w:ascii="Arial" w:hAnsi="Arial" w:cs="Arial"/>
          <w:sz w:val="22"/>
          <w:szCs w:val="22"/>
          <w:lang w:val="en-GB"/>
        </w:rPr>
        <w:t>icle</w:t>
      </w:r>
      <w:r w:rsidR="004A61A7" w:rsidRPr="00237AAF">
        <w:rPr>
          <w:rFonts w:ascii="Arial" w:hAnsi="Arial" w:cs="Arial"/>
          <w:sz w:val="22"/>
          <w:szCs w:val="22"/>
          <w:lang w:val="en-GB"/>
        </w:rPr>
        <w:t xml:space="preserve"> 9</w:t>
      </w:r>
      <w:r w:rsidR="00EB7214" w:rsidRPr="00237AAF">
        <w:rPr>
          <w:rFonts w:ascii="Arial" w:hAnsi="Arial" w:cs="Arial"/>
          <w:sz w:val="22"/>
          <w:szCs w:val="22"/>
          <w:lang w:val="en-GB"/>
        </w:rPr>
        <w:t xml:space="preserve"> </w:t>
      </w:r>
      <w:r w:rsidRPr="00237AAF">
        <w:rPr>
          <w:rFonts w:ascii="Arial" w:hAnsi="Arial" w:cs="Arial"/>
          <w:sz w:val="22"/>
          <w:szCs w:val="22"/>
          <w:lang w:val="en-GB"/>
        </w:rPr>
        <w:t>of the</w:t>
      </w:r>
      <w:r w:rsidR="004A61A7" w:rsidRPr="00237AAF">
        <w:rPr>
          <w:rFonts w:ascii="Arial" w:hAnsi="Arial" w:cs="Arial"/>
          <w:sz w:val="22"/>
          <w:szCs w:val="22"/>
          <w:lang w:val="en-GB"/>
        </w:rPr>
        <w:t xml:space="preserve"> </w:t>
      </w:r>
      <w:r w:rsidR="004A61A7" w:rsidRPr="00237AAF">
        <w:rPr>
          <w:rFonts w:ascii="Arial" w:hAnsi="Arial" w:cs="Arial"/>
          <w:i/>
          <w:sz w:val="22"/>
          <w:szCs w:val="22"/>
          <w:lang w:val="en-GB"/>
        </w:rPr>
        <w:t>legge fallimentare</w:t>
      </w:r>
      <w:r w:rsidR="00237AAF">
        <w:rPr>
          <w:rFonts w:ascii="Arial" w:hAnsi="Arial" w:cs="Arial"/>
          <w:sz w:val="22"/>
          <w:szCs w:val="22"/>
          <w:lang w:val="en-GB"/>
        </w:rPr>
        <w:t>.</w:t>
      </w:r>
    </w:p>
    <w:p w14:paraId="3030B4BB" w14:textId="77777777" w:rsidR="00237AAF" w:rsidRPr="00237AAF" w:rsidRDefault="00237AAF" w:rsidP="00237AAF">
      <w:pPr>
        <w:jc w:val="both"/>
        <w:rPr>
          <w:rFonts w:ascii="Arial" w:hAnsi="Arial" w:cs="Arial"/>
          <w:sz w:val="22"/>
          <w:szCs w:val="22"/>
          <w:lang w:val="en-GB"/>
        </w:rPr>
      </w:pPr>
    </w:p>
    <w:p w14:paraId="69671A66" w14:textId="579238C2" w:rsidR="004A61A7" w:rsidRPr="000B2B81" w:rsidRDefault="005169DC" w:rsidP="00237AAF">
      <w:pPr>
        <w:pStyle w:val="Odlomakpopisa"/>
        <w:numPr>
          <w:ilvl w:val="0"/>
          <w:numId w:val="17"/>
        </w:numPr>
        <w:ind w:left="426"/>
        <w:jc w:val="both"/>
        <w:rPr>
          <w:rFonts w:ascii="Arial" w:hAnsi="Arial" w:cs="Arial"/>
          <w:sz w:val="22"/>
          <w:szCs w:val="22"/>
          <w:highlight w:val="yellow"/>
          <w:lang w:val="en-GB"/>
        </w:rPr>
      </w:pPr>
      <w:r w:rsidRPr="000B2B81">
        <w:rPr>
          <w:rFonts w:ascii="Arial" w:hAnsi="Arial" w:cs="Arial"/>
          <w:sz w:val="22"/>
          <w:szCs w:val="22"/>
          <w:highlight w:val="yellow"/>
          <w:lang w:val="en-GB"/>
        </w:rPr>
        <w:t>a</w:t>
      </w:r>
      <w:r w:rsidR="004A61A7" w:rsidRPr="000B2B81">
        <w:rPr>
          <w:rFonts w:ascii="Arial" w:hAnsi="Arial" w:cs="Arial"/>
          <w:sz w:val="22"/>
          <w:szCs w:val="22"/>
          <w:highlight w:val="yellow"/>
          <w:lang w:val="en-GB"/>
        </w:rPr>
        <w:t xml:space="preserve"> modified territorialist approach, where the jurisdiction of the Italian courts is alternatively expanded or restricted depending on the behaviour of the parties and for the purpose of restricting the strategic use of insolvency provisions and loopholes</w:t>
      </w:r>
      <w:r w:rsidR="00C4163B" w:rsidRPr="000B2B81">
        <w:rPr>
          <w:rFonts w:ascii="Arial" w:hAnsi="Arial" w:cs="Arial"/>
          <w:sz w:val="22"/>
          <w:szCs w:val="22"/>
          <w:highlight w:val="yellow"/>
          <w:lang w:val="en-GB"/>
        </w:rPr>
        <w:t>.</w:t>
      </w:r>
    </w:p>
    <w:p w14:paraId="1F98479D" w14:textId="77777777" w:rsidR="00237AAF" w:rsidRPr="00237AAF" w:rsidRDefault="00237AAF" w:rsidP="00237AAF">
      <w:pPr>
        <w:jc w:val="both"/>
        <w:rPr>
          <w:rFonts w:ascii="Arial" w:hAnsi="Arial" w:cs="Arial"/>
          <w:sz w:val="22"/>
          <w:szCs w:val="22"/>
          <w:lang w:val="en-GB"/>
        </w:rPr>
      </w:pPr>
    </w:p>
    <w:p w14:paraId="336C9B1D" w14:textId="1566A21B" w:rsidR="004A61A7" w:rsidRDefault="005169DC" w:rsidP="00237AAF">
      <w:pPr>
        <w:pStyle w:val="Odlomakpopisa"/>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modified universalist approach, as suggested by the jurisprudence of the Court of Justice of the European Union and relevant European laws</w:t>
      </w:r>
      <w:r w:rsidR="00C4163B" w:rsidRPr="00237AAF">
        <w:rPr>
          <w:rFonts w:ascii="Arial" w:hAnsi="Arial" w:cs="Arial"/>
          <w:sz w:val="22"/>
          <w:szCs w:val="22"/>
          <w:lang w:val="en-GB"/>
        </w:rPr>
        <w:t>.</w:t>
      </w:r>
    </w:p>
    <w:p w14:paraId="1D65B011" w14:textId="77777777" w:rsidR="00237AAF" w:rsidRPr="00237AAF" w:rsidRDefault="00237AAF" w:rsidP="00237AAF">
      <w:pPr>
        <w:jc w:val="both"/>
        <w:rPr>
          <w:rFonts w:ascii="Arial" w:hAnsi="Arial" w:cs="Arial"/>
          <w:sz w:val="22"/>
          <w:szCs w:val="22"/>
          <w:lang w:val="en-GB"/>
        </w:rPr>
      </w:pPr>
    </w:p>
    <w:p w14:paraId="68877C21" w14:textId="44800F8C" w:rsidR="004A61A7" w:rsidRPr="00237AAF" w:rsidRDefault="005169DC" w:rsidP="00237AAF">
      <w:pPr>
        <w:pStyle w:val="Odlomakpopisa"/>
        <w:numPr>
          <w:ilvl w:val="0"/>
          <w:numId w:val="17"/>
        </w:numPr>
        <w:ind w:left="426"/>
        <w:jc w:val="both"/>
        <w:rPr>
          <w:rFonts w:ascii="Arial" w:hAnsi="Arial" w:cs="Arial"/>
          <w:sz w:val="22"/>
          <w:szCs w:val="22"/>
          <w:lang w:val="en-GB"/>
        </w:rPr>
      </w:pPr>
      <w:r w:rsidRPr="00237AAF">
        <w:rPr>
          <w:rFonts w:ascii="Arial" w:hAnsi="Arial" w:cs="Arial"/>
          <w:sz w:val="22"/>
          <w:szCs w:val="22"/>
          <w:lang w:val="en-GB"/>
        </w:rPr>
        <w:t>a</w:t>
      </w:r>
      <w:r w:rsidR="004A61A7" w:rsidRPr="00237AAF">
        <w:rPr>
          <w:rFonts w:ascii="Arial" w:hAnsi="Arial" w:cs="Arial"/>
          <w:sz w:val="22"/>
          <w:szCs w:val="22"/>
          <w:lang w:val="en-GB"/>
        </w:rPr>
        <w:t xml:space="preserve"> purely universalist approach</w:t>
      </w:r>
      <w:r w:rsidRPr="00237AAF">
        <w:rPr>
          <w:rFonts w:ascii="Arial" w:hAnsi="Arial" w:cs="Arial"/>
          <w:sz w:val="22"/>
          <w:szCs w:val="22"/>
          <w:lang w:val="en-GB"/>
        </w:rPr>
        <w:t>.</w:t>
      </w:r>
    </w:p>
    <w:p w14:paraId="30B1DA9A" w14:textId="77777777" w:rsidR="004A61A7" w:rsidRDefault="004A61A7" w:rsidP="00C55824">
      <w:pPr>
        <w:jc w:val="both"/>
        <w:rPr>
          <w:rFonts w:ascii="Arial" w:hAnsi="Arial" w:cs="Arial"/>
          <w:sz w:val="22"/>
          <w:szCs w:val="22"/>
        </w:rPr>
      </w:pPr>
    </w:p>
    <w:p w14:paraId="321C0CE7"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927D447" w14:textId="77777777" w:rsidR="00E9597C" w:rsidRPr="00B9639B" w:rsidRDefault="00E9597C" w:rsidP="0020090A">
      <w:pPr>
        <w:keepNext/>
        <w:jc w:val="both"/>
        <w:rPr>
          <w:rFonts w:ascii="Arial" w:hAnsi="Arial" w:cs="Arial"/>
          <w:sz w:val="22"/>
          <w:szCs w:val="22"/>
        </w:rPr>
      </w:pPr>
    </w:p>
    <w:p w14:paraId="0962FFAF" w14:textId="757DBA88" w:rsidR="004A61A7" w:rsidRDefault="004A61A7" w:rsidP="00237AAF">
      <w:pPr>
        <w:jc w:val="both"/>
        <w:rPr>
          <w:rFonts w:ascii="Arial" w:hAnsi="Arial" w:cs="Arial"/>
          <w:sz w:val="22"/>
          <w:szCs w:val="22"/>
          <w:lang w:val="en-GB"/>
        </w:rPr>
      </w:pPr>
      <w:r>
        <w:rPr>
          <w:rFonts w:ascii="Arial" w:hAnsi="Arial" w:cs="Arial"/>
          <w:sz w:val="22"/>
          <w:szCs w:val="22"/>
          <w:lang w:val="en-GB"/>
        </w:rPr>
        <w:t xml:space="preserve">Recent reforms based on </w:t>
      </w:r>
      <w:r w:rsidRPr="004A3D10">
        <w:rPr>
          <w:rFonts w:ascii="Arial" w:hAnsi="Arial" w:cs="Arial"/>
          <w:sz w:val="22"/>
          <w:szCs w:val="22"/>
          <w:lang w:val="en-GB"/>
        </w:rPr>
        <w:t xml:space="preserve">the preparatory work of the </w:t>
      </w:r>
      <w:r w:rsidR="005169DC">
        <w:rPr>
          <w:rFonts w:ascii="Arial" w:hAnsi="Arial" w:cs="Arial"/>
          <w:sz w:val="22"/>
          <w:szCs w:val="22"/>
          <w:lang w:val="en-GB"/>
        </w:rPr>
        <w:t>“</w:t>
      </w:r>
      <w:r w:rsidRPr="004A3D10">
        <w:rPr>
          <w:rFonts w:ascii="Arial" w:hAnsi="Arial" w:cs="Arial"/>
          <w:sz w:val="22"/>
          <w:szCs w:val="22"/>
          <w:lang w:val="en-GB"/>
        </w:rPr>
        <w:t>Rordorf Commission</w:t>
      </w:r>
      <w:r w:rsidR="005169DC">
        <w:rPr>
          <w:rFonts w:ascii="Arial" w:hAnsi="Arial" w:cs="Arial"/>
          <w:sz w:val="22"/>
          <w:szCs w:val="22"/>
          <w:lang w:val="en-GB"/>
        </w:rPr>
        <w:t>”</w:t>
      </w:r>
      <w:r w:rsidR="00672D8E">
        <w:rPr>
          <w:rFonts w:ascii="Arial" w:hAnsi="Arial" w:cs="Arial"/>
          <w:sz w:val="22"/>
          <w:szCs w:val="22"/>
          <w:lang w:val="en-GB"/>
        </w:rPr>
        <w:t xml:space="preserve"> and enacted by legislative decree 14/2019</w:t>
      </w:r>
      <w:r>
        <w:rPr>
          <w:rFonts w:ascii="Arial" w:hAnsi="Arial" w:cs="Arial"/>
          <w:sz w:val="22"/>
          <w:szCs w:val="22"/>
          <w:lang w:val="en-GB"/>
        </w:rPr>
        <w:t>:</w:t>
      </w:r>
    </w:p>
    <w:p w14:paraId="35F78B8E" w14:textId="77777777" w:rsidR="004A61A7" w:rsidRDefault="004A61A7" w:rsidP="004A61A7">
      <w:pPr>
        <w:ind w:left="720" w:hanging="720"/>
        <w:jc w:val="both"/>
        <w:rPr>
          <w:rFonts w:ascii="Arial" w:hAnsi="Arial" w:cs="Arial"/>
          <w:sz w:val="22"/>
          <w:szCs w:val="22"/>
          <w:lang w:val="en-GB"/>
        </w:rPr>
      </w:pPr>
    </w:p>
    <w:p w14:paraId="74B19C27" w14:textId="7D026926" w:rsidR="004A61A7" w:rsidRPr="000B2B81" w:rsidRDefault="005169DC" w:rsidP="00237AAF">
      <w:pPr>
        <w:pStyle w:val="Odlomakpopisa"/>
        <w:numPr>
          <w:ilvl w:val="0"/>
          <w:numId w:val="19"/>
        </w:numPr>
        <w:ind w:left="426"/>
        <w:jc w:val="both"/>
        <w:rPr>
          <w:rFonts w:ascii="Arial" w:hAnsi="Arial" w:cs="Arial"/>
          <w:sz w:val="22"/>
          <w:szCs w:val="22"/>
          <w:highlight w:val="yellow"/>
          <w:lang w:val="en-GB"/>
        </w:rPr>
      </w:pPr>
      <w:r w:rsidRPr="000B2B81">
        <w:rPr>
          <w:rFonts w:ascii="Arial" w:hAnsi="Arial" w:cs="Arial"/>
          <w:sz w:val="22"/>
          <w:szCs w:val="22"/>
          <w:highlight w:val="yellow"/>
          <w:lang w:val="en-GB"/>
        </w:rPr>
        <w:t>b</w:t>
      </w:r>
      <w:r w:rsidR="004A61A7" w:rsidRPr="000B2B81">
        <w:rPr>
          <w:rFonts w:ascii="Arial" w:hAnsi="Arial" w:cs="Arial"/>
          <w:sz w:val="22"/>
          <w:szCs w:val="22"/>
          <w:highlight w:val="yellow"/>
          <w:lang w:val="en-GB"/>
        </w:rPr>
        <w:t>enchmark international best practices and European recommendations</w:t>
      </w:r>
      <w:r w:rsidR="00C4163B" w:rsidRPr="000B2B81">
        <w:rPr>
          <w:rFonts w:ascii="Arial" w:hAnsi="Arial" w:cs="Arial"/>
          <w:sz w:val="22"/>
          <w:szCs w:val="22"/>
          <w:highlight w:val="yellow"/>
          <w:lang w:val="en-GB"/>
        </w:rPr>
        <w:t>.</w:t>
      </w:r>
    </w:p>
    <w:p w14:paraId="6088E1B8" w14:textId="77777777" w:rsidR="00237AAF" w:rsidRPr="00237AAF" w:rsidRDefault="00237AAF" w:rsidP="00237AAF">
      <w:pPr>
        <w:jc w:val="both"/>
        <w:rPr>
          <w:rFonts w:ascii="Arial" w:hAnsi="Arial" w:cs="Arial"/>
          <w:sz w:val="22"/>
          <w:szCs w:val="22"/>
          <w:lang w:val="en-GB"/>
        </w:rPr>
      </w:pPr>
    </w:p>
    <w:p w14:paraId="5CC06EA4" w14:textId="7E48470D" w:rsidR="004A61A7" w:rsidRDefault="005169DC" w:rsidP="00237AAF">
      <w:pPr>
        <w:pStyle w:val="Odlomakpopisa"/>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o not introduce significant changes to the current law</w:t>
      </w:r>
      <w:r w:rsidR="00C4163B" w:rsidRPr="00237AAF">
        <w:rPr>
          <w:rFonts w:ascii="Arial" w:hAnsi="Arial" w:cs="Arial"/>
          <w:sz w:val="22"/>
          <w:szCs w:val="22"/>
          <w:lang w:val="en-GB"/>
        </w:rPr>
        <w:t>.</w:t>
      </w:r>
    </w:p>
    <w:p w14:paraId="35DABD8D" w14:textId="77777777" w:rsidR="00237AAF" w:rsidRPr="00237AAF" w:rsidRDefault="00237AAF" w:rsidP="00237AAF">
      <w:pPr>
        <w:jc w:val="both"/>
        <w:rPr>
          <w:rFonts w:ascii="Arial" w:hAnsi="Arial" w:cs="Arial"/>
          <w:sz w:val="22"/>
          <w:szCs w:val="22"/>
          <w:lang w:val="en-GB"/>
        </w:rPr>
      </w:pPr>
    </w:p>
    <w:p w14:paraId="5D6167C3" w14:textId="23A69F91" w:rsidR="004A61A7" w:rsidRDefault="005169DC" w:rsidP="00237AAF">
      <w:pPr>
        <w:pStyle w:val="Odlomakpopisa"/>
        <w:numPr>
          <w:ilvl w:val="0"/>
          <w:numId w:val="19"/>
        </w:numPr>
        <w:ind w:left="426"/>
        <w:jc w:val="both"/>
        <w:rPr>
          <w:rFonts w:ascii="Arial" w:hAnsi="Arial" w:cs="Arial"/>
          <w:sz w:val="22"/>
          <w:szCs w:val="22"/>
          <w:lang w:val="en-GB"/>
        </w:rPr>
      </w:pPr>
      <w:r w:rsidRPr="00237AAF">
        <w:rPr>
          <w:rFonts w:ascii="Arial" w:hAnsi="Arial" w:cs="Arial"/>
          <w:sz w:val="22"/>
          <w:szCs w:val="22"/>
          <w:lang w:val="en-GB"/>
        </w:rPr>
        <w:t>d</w:t>
      </w:r>
      <w:r w:rsidR="004A61A7" w:rsidRPr="00237AAF">
        <w:rPr>
          <w:rFonts w:ascii="Arial" w:hAnsi="Arial" w:cs="Arial"/>
          <w:sz w:val="22"/>
          <w:szCs w:val="22"/>
          <w:lang w:val="en-GB"/>
        </w:rPr>
        <w:t>iscourage the strategic use of statutory provisions by both creditors and debtors</w:t>
      </w:r>
      <w:r w:rsidR="00C4163B" w:rsidRPr="00237AAF">
        <w:rPr>
          <w:rFonts w:ascii="Arial" w:hAnsi="Arial" w:cs="Arial"/>
          <w:sz w:val="22"/>
          <w:szCs w:val="22"/>
          <w:lang w:val="en-GB"/>
        </w:rPr>
        <w:t>.</w:t>
      </w:r>
    </w:p>
    <w:p w14:paraId="4A44533E" w14:textId="77777777" w:rsidR="00237AAF" w:rsidRPr="00237AAF" w:rsidRDefault="00237AAF" w:rsidP="00237AAF">
      <w:pPr>
        <w:jc w:val="both"/>
        <w:rPr>
          <w:rFonts w:ascii="Arial" w:hAnsi="Arial" w:cs="Arial"/>
          <w:sz w:val="22"/>
          <w:szCs w:val="22"/>
          <w:lang w:val="en-GB"/>
        </w:rPr>
      </w:pPr>
    </w:p>
    <w:p w14:paraId="7CD68A0A" w14:textId="36CF1D3B" w:rsidR="004A61A7" w:rsidRPr="00237AAF" w:rsidRDefault="005169DC" w:rsidP="00237AAF">
      <w:pPr>
        <w:pStyle w:val="Odlomakpopisa"/>
        <w:numPr>
          <w:ilvl w:val="0"/>
          <w:numId w:val="19"/>
        </w:numPr>
        <w:ind w:left="426"/>
        <w:jc w:val="both"/>
        <w:rPr>
          <w:rFonts w:ascii="Arial" w:hAnsi="Arial" w:cs="Arial"/>
          <w:sz w:val="22"/>
          <w:szCs w:val="22"/>
          <w:lang w:val="en-GB"/>
        </w:rPr>
      </w:pPr>
      <w:r w:rsidRPr="00237AAF">
        <w:rPr>
          <w:rFonts w:ascii="Arial" w:hAnsi="Arial" w:cs="Arial"/>
          <w:sz w:val="22"/>
          <w:szCs w:val="22"/>
          <w:lang w:val="en-GB"/>
        </w:rPr>
        <w:t>h</w:t>
      </w:r>
      <w:r w:rsidR="004A61A7" w:rsidRPr="00237AAF">
        <w:rPr>
          <w:rFonts w:ascii="Arial" w:hAnsi="Arial" w:cs="Arial"/>
          <w:sz w:val="22"/>
          <w:szCs w:val="22"/>
          <w:lang w:val="en-GB"/>
        </w:rPr>
        <w:t>ave not yet been enacted by Parliament</w:t>
      </w:r>
      <w:r w:rsidR="00C4163B" w:rsidRPr="00237AAF">
        <w:rPr>
          <w:rFonts w:ascii="Arial" w:hAnsi="Arial" w:cs="Arial"/>
          <w:sz w:val="22"/>
          <w:szCs w:val="22"/>
          <w:lang w:val="en-GB"/>
        </w:rPr>
        <w:t>.</w:t>
      </w:r>
    </w:p>
    <w:p w14:paraId="4D7A988B" w14:textId="77777777" w:rsidR="00C55824" w:rsidRDefault="00C55824" w:rsidP="002A37BB">
      <w:pPr>
        <w:jc w:val="both"/>
        <w:rPr>
          <w:rFonts w:ascii="Arial" w:hAnsi="Arial" w:cs="Arial"/>
          <w:bCs/>
          <w:sz w:val="22"/>
          <w:szCs w:val="22"/>
          <w:lang w:val="en-GB"/>
        </w:rPr>
      </w:pPr>
    </w:p>
    <w:p w14:paraId="733AF086" w14:textId="4DE51E1E" w:rsidR="008F228E" w:rsidRDefault="008F228E" w:rsidP="002A37BB">
      <w:pPr>
        <w:jc w:val="both"/>
        <w:rPr>
          <w:rFonts w:ascii="Arial" w:hAnsi="Arial" w:cs="Arial"/>
          <w:bCs/>
          <w:sz w:val="22"/>
          <w:szCs w:val="22"/>
          <w:lang w:val="en-GB"/>
        </w:rPr>
      </w:pPr>
    </w:p>
    <w:p w14:paraId="69C13E5C" w14:textId="35824AFB" w:rsidR="00237AAF" w:rsidRDefault="00237AAF" w:rsidP="002A37BB">
      <w:pPr>
        <w:jc w:val="both"/>
        <w:rPr>
          <w:rFonts w:ascii="Arial" w:hAnsi="Arial" w:cs="Arial"/>
          <w:bCs/>
          <w:sz w:val="22"/>
          <w:szCs w:val="22"/>
          <w:lang w:val="en-GB"/>
        </w:rPr>
      </w:pPr>
    </w:p>
    <w:p w14:paraId="628346D0" w14:textId="61408C47" w:rsidR="00237AAF" w:rsidRDefault="00237AAF" w:rsidP="002A37BB">
      <w:pPr>
        <w:jc w:val="both"/>
        <w:rPr>
          <w:rFonts w:ascii="Arial" w:hAnsi="Arial" w:cs="Arial"/>
          <w:bCs/>
          <w:sz w:val="22"/>
          <w:szCs w:val="22"/>
          <w:lang w:val="en-GB"/>
        </w:rPr>
      </w:pPr>
    </w:p>
    <w:p w14:paraId="04525D28" w14:textId="66CC8771" w:rsidR="00237AAF" w:rsidRDefault="00237AAF" w:rsidP="002A37BB">
      <w:pPr>
        <w:jc w:val="both"/>
        <w:rPr>
          <w:rFonts w:ascii="Arial" w:hAnsi="Arial" w:cs="Arial"/>
          <w:bCs/>
          <w:sz w:val="22"/>
          <w:szCs w:val="22"/>
          <w:lang w:val="en-GB"/>
        </w:rPr>
      </w:pPr>
    </w:p>
    <w:p w14:paraId="4F74F7EE" w14:textId="5558454B" w:rsidR="00237AAF" w:rsidRDefault="00237AAF" w:rsidP="002A37BB">
      <w:pPr>
        <w:jc w:val="both"/>
        <w:rPr>
          <w:rFonts w:ascii="Arial" w:hAnsi="Arial" w:cs="Arial"/>
          <w:bCs/>
          <w:sz w:val="22"/>
          <w:szCs w:val="22"/>
          <w:lang w:val="en-GB"/>
        </w:rPr>
      </w:pPr>
    </w:p>
    <w:p w14:paraId="3667344D" w14:textId="304E3096" w:rsidR="00237AAF" w:rsidRDefault="00237AAF" w:rsidP="002A37BB">
      <w:pPr>
        <w:jc w:val="both"/>
        <w:rPr>
          <w:rFonts w:ascii="Arial" w:hAnsi="Arial" w:cs="Arial"/>
          <w:bCs/>
          <w:sz w:val="22"/>
          <w:szCs w:val="22"/>
          <w:lang w:val="en-GB"/>
        </w:rPr>
      </w:pPr>
    </w:p>
    <w:p w14:paraId="42AAB053" w14:textId="293B4515" w:rsidR="00237AAF" w:rsidRDefault="00237AAF" w:rsidP="002A37BB">
      <w:pPr>
        <w:jc w:val="both"/>
        <w:rPr>
          <w:rFonts w:ascii="Arial" w:hAnsi="Arial" w:cs="Arial"/>
          <w:bCs/>
          <w:sz w:val="22"/>
          <w:szCs w:val="22"/>
          <w:lang w:val="en-GB"/>
        </w:rPr>
      </w:pPr>
    </w:p>
    <w:p w14:paraId="61D603CE" w14:textId="77777777" w:rsidR="00237AAF" w:rsidRPr="00C55824" w:rsidRDefault="00237AAF" w:rsidP="002A37BB">
      <w:pPr>
        <w:jc w:val="both"/>
        <w:rPr>
          <w:rFonts w:ascii="Arial" w:hAnsi="Arial" w:cs="Arial"/>
          <w:bCs/>
          <w:sz w:val="22"/>
          <w:szCs w:val="22"/>
          <w:lang w:val="en-GB"/>
        </w:rPr>
      </w:pPr>
    </w:p>
    <w:p w14:paraId="372A31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8B325AD" w14:textId="77777777" w:rsidR="00962045" w:rsidRDefault="00962045" w:rsidP="002A37BB">
      <w:pPr>
        <w:ind w:left="720" w:hanging="720"/>
        <w:jc w:val="both"/>
        <w:rPr>
          <w:rFonts w:ascii="Arial" w:hAnsi="Arial" w:cs="Arial"/>
          <w:sz w:val="22"/>
          <w:szCs w:val="22"/>
          <w:lang w:val="en-GB"/>
        </w:rPr>
      </w:pPr>
    </w:p>
    <w:p w14:paraId="3BB94699" w14:textId="77777777" w:rsidR="004A61A7" w:rsidRDefault="004A61A7" w:rsidP="004A61A7">
      <w:pPr>
        <w:jc w:val="both"/>
        <w:rPr>
          <w:rFonts w:ascii="Arial" w:hAnsi="Arial" w:cs="Arial"/>
          <w:sz w:val="22"/>
          <w:szCs w:val="22"/>
          <w:lang w:val="en-GB"/>
        </w:rPr>
      </w:pPr>
      <w:r>
        <w:rPr>
          <w:rFonts w:ascii="Arial" w:hAnsi="Arial" w:cs="Arial"/>
          <w:sz w:val="22"/>
          <w:szCs w:val="22"/>
          <w:lang w:val="en-GB"/>
        </w:rPr>
        <w:t xml:space="preserve">Outline the main changes introduced by the post-2005 reforms under Italian insolvency law and reflect on the extent to which these reforms have been successful in addressing the shortcomings evidenced in authoritative international publications, such as the World Bank’s </w:t>
      </w:r>
      <w:r>
        <w:rPr>
          <w:rFonts w:ascii="Arial" w:hAnsi="Arial" w:cs="Arial"/>
          <w:i/>
          <w:sz w:val="22"/>
          <w:szCs w:val="22"/>
          <w:lang w:val="en-GB"/>
        </w:rPr>
        <w:t xml:space="preserve">Doing Business </w:t>
      </w:r>
      <w:r>
        <w:rPr>
          <w:rFonts w:ascii="Arial" w:hAnsi="Arial" w:cs="Arial"/>
          <w:sz w:val="22"/>
          <w:szCs w:val="22"/>
          <w:lang w:val="en-GB"/>
        </w:rPr>
        <w:t xml:space="preserve">Report. </w:t>
      </w:r>
    </w:p>
    <w:p w14:paraId="4DD632DF" w14:textId="77777777" w:rsidR="004A61A7" w:rsidRDefault="004A61A7" w:rsidP="004A61A7">
      <w:pPr>
        <w:jc w:val="both"/>
        <w:rPr>
          <w:rFonts w:ascii="Arial" w:hAnsi="Arial" w:cs="Arial"/>
          <w:sz w:val="22"/>
          <w:szCs w:val="22"/>
          <w:lang w:val="en-GB"/>
        </w:rPr>
      </w:pPr>
    </w:p>
    <w:p w14:paraId="2D6A864E" w14:textId="6A5CD31F" w:rsidR="009B07AD" w:rsidRDefault="004A61A7" w:rsidP="004A61A7">
      <w:pPr>
        <w:jc w:val="both"/>
        <w:rPr>
          <w:rFonts w:ascii="Arial" w:hAnsi="Arial" w:cs="Arial"/>
          <w:sz w:val="22"/>
          <w:szCs w:val="22"/>
          <w:lang w:val="en-GB"/>
        </w:rPr>
      </w:pPr>
      <w:r>
        <w:rPr>
          <w:rFonts w:ascii="Arial" w:hAnsi="Arial" w:cs="Arial"/>
          <w:sz w:val="22"/>
          <w:szCs w:val="22"/>
          <w:lang w:val="en-GB"/>
        </w:rPr>
        <w:t>Please include reference to the changes recently approved by Parliament after the work of the</w:t>
      </w:r>
      <w:r w:rsidR="00C4163B">
        <w:rPr>
          <w:rFonts w:ascii="Arial" w:hAnsi="Arial" w:cs="Arial"/>
          <w:sz w:val="22"/>
          <w:szCs w:val="22"/>
          <w:lang w:val="en-GB"/>
        </w:rPr>
        <w:t xml:space="preserve"> “</w:t>
      </w:r>
      <w:r>
        <w:rPr>
          <w:rFonts w:ascii="Arial" w:hAnsi="Arial" w:cs="Arial"/>
          <w:sz w:val="22"/>
          <w:szCs w:val="22"/>
          <w:lang w:val="en-GB"/>
        </w:rPr>
        <w:t>Rordorf Commission</w:t>
      </w:r>
      <w:r w:rsidR="00C4163B">
        <w:rPr>
          <w:rFonts w:ascii="Arial" w:hAnsi="Arial" w:cs="Arial"/>
          <w:sz w:val="22"/>
          <w:szCs w:val="22"/>
          <w:lang w:val="en-GB"/>
        </w:rPr>
        <w:t>”</w:t>
      </w:r>
      <w:r>
        <w:rPr>
          <w:rFonts w:ascii="Arial" w:hAnsi="Arial" w:cs="Arial"/>
          <w:sz w:val="22"/>
          <w:szCs w:val="22"/>
          <w:lang w:val="en-GB"/>
        </w:rPr>
        <w:t xml:space="preserve"> (law 155/2017</w:t>
      </w:r>
      <w:r w:rsidR="00672D8E">
        <w:rPr>
          <w:rFonts w:ascii="Arial" w:hAnsi="Arial" w:cs="Arial"/>
          <w:sz w:val="22"/>
          <w:szCs w:val="22"/>
          <w:lang w:val="en-GB"/>
        </w:rPr>
        <w:t xml:space="preserve"> and legislative decree 14/2019</w:t>
      </w:r>
      <w:r>
        <w:rPr>
          <w:rFonts w:ascii="Arial" w:hAnsi="Arial" w:cs="Arial"/>
          <w:sz w:val="22"/>
          <w:szCs w:val="22"/>
          <w:lang w:val="en-GB"/>
        </w:rPr>
        <w:t>).</w:t>
      </w:r>
    </w:p>
    <w:p w14:paraId="6AAF2A63" w14:textId="77777777" w:rsidR="00007BF3" w:rsidRPr="002A37BB" w:rsidRDefault="00007BF3" w:rsidP="002A37BB">
      <w:pPr>
        <w:ind w:left="720" w:hanging="720"/>
        <w:jc w:val="both"/>
        <w:rPr>
          <w:rFonts w:ascii="Arial" w:hAnsi="Arial" w:cs="Arial"/>
          <w:sz w:val="22"/>
          <w:szCs w:val="22"/>
        </w:rPr>
      </w:pPr>
    </w:p>
    <w:p w14:paraId="2A46B734" w14:textId="4FCB6B25" w:rsidR="00C1525B" w:rsidRDefault="00C1525B" w:rsidP="004A61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Legge fallimentare 267/1942 used unified approach to codifying insolvency rules. As the economical situation changed over times, need for changes became apparent. </w:t>
      </w:r>
      <w:r w:rsidR="00232F3F">
        <w:rPr>
          <w:rFonts w:ascii="Arial" w:hAnsi="Arial" w:cs="Arial"/>
          <w:color w:val="7B7B7B" w:themeColor="accent3" w:themeShade="BF"/>
          <w:sz w:val="22"/>
          <w:szCs w:val="22"/>
        </w:rPr>
        <w:t>Although</w:t>
      </w:r>
      <w:r>
        <w:rPr>
          <w:rFonts w:ascii="Arial" w:hAnsi="Arial" w:cs="Arial"/>
          <w:color w:val="7B7B7B" w:themeColor="accent3" w:themeShade="BF"/>
          <w:sz w:val="22"/>
          <w:szCs w:val="22"/>
        </w:rPr>
        <w:t xml:space="preserve"> the proposals for general reform of insolvency regulation were discussed, changes instituted were segmental and mostly addressed particular situation/business crisis which occurred over time.</w:t>
      </w:r>
    </w:p>
    <w:p w14:paraId="6D96816C" w14:textId="77777777" w:rsidR="00500754" w:rsidRDefault="00500754" w:rsidP="004A61A7">
      <w:pPr>
        <w:ind w:left="720" w:hanging="720"/>
        <w:jc w:val="both"/>
        <w:rPr>
          <w:rFonts w:ascii="Arial" w:hAnsi="Arial" w:cs="Arial"/>
          <w:color w:val="7B7B7B" w:themeColor="accent3" w:themeShade="BF"/>
          <w:sz w:val="22"/>
          <w:szCs w:val="22"/>
        </w:rPr>
      </w:pPr>
    </w:p>
    <w:p w14:paraId="774D618E" w14:textId="774392FD" w:rsidR="00C1525B" w:rsidRDefault="00500754" w:rsidP="004A61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Law 80/2005 attempted to introduce rescue culture which resulted in pre-insolvency procedures becoming preferred way for companies in crisis, which still didn’t necessarily progress to insolvency stage.</w:t>
      </w:r>
      <w:r w:rsidR="00232F3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Together with reduced majorities for approval of the plan which eliminated requirement for “trustworthiness” this led to numbers of pre insolvency procedures from 100/150 (before introduction of these changes to 1400 by the end of third quarter of 2013.</w:t>
      </w:r>
    </w:p>
    <w:p w14:paraId="43761608" w14:textId="243801FB" w:rsidR="00500754" w:rsidRDefault="00500754" w:rsidP="004A61A7">
      <w:pPr>
        <w:ind w:left="720" w:hanging="720"/>
        <w:jc w:val="both"/>
        <w:rPr>
          <w:rFonts w:ascii="Arial" w:hAnsi="Arial" w:cs="Arial"/>
          <w:color w:val="7B7B7B" w:themeColor="accent3" w:themeShade="BF"/>
          <w:sz w:val="22"/>
          <w:szCs w:val="22"/>
        </w:rPr>
      </w:pPr>
    </w:p>
    <w:p w14:paraId="13B0C231" w14:textId="32BC277C" w:rsidR="00500754" w:rsidRDefault="00500754" w:rsidP="004A61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Two Legislative decrees in 2006 reduced the powers of judges and courts in relation to automatically opening the liquidation procedures, while 2007 reform abolished </w:t>
      </w:r>
      <w:r w:rsidR="00232F3F">
        <w:rPr>
          <w:rFonts w:ascii="Arial" w:hAnsi="Arial" w:cs="Arial"/>
          <w:color w:val="7B7B7B" w:themeColor="accent3" w:themeShade="BF"/>
          <w:sz w:val="22"/>
          <w:szCs w:val="22"/>
        </w:rPr>
        <w:t>mandatory</w:t>
      </w:r>
      <w:r>
        <w:rPr>
          <w:rFonts w:ascii="Arial" w:hAnsi="Arial" w:cs="Arial"/>
          <w:color w:val="7B7B7B" w:themeColor="accent3" w:themeShade="BF"/>
          <w:sz w:val="22"/>
          <w:szCs w:val="22"/>
        </w:rPr>
        <w:t xml:space="preserve"> 40% </w:t>
      </w:r>
      <w:r w:rsidR="00232F3F">
        <w:rPr>
          <w:rFonts w:ascii="Arial" w:hAnsi="Arial" w:cs="Arial"/>
          <w:color w:val="7B7B7B" w:themeColor="accent3" w:themeShade="BF"/>
          <w:sz w:val="22"/>
          <w:szCs w:val="22"/>
        </w:rPr>
        <w:t>unsecured</w:t>
      </w:r>
      <w:r>
        <w:rPr>
          <w:rFonts w:ascii="Arial" w:hAnsi="Arial" w:cs="Arial"/>
          <w:color w:val="7B7B7B" w:themeColor="accent3" w:themeShade="BF"/>
          <w:sz w:val="22"/>
          <w:szCs w:val="22"/>
        </w:rPr>
        <w:t xml:space="preserve"> creditors satisfaction rule.</w:t>
      </w:r>
    </w:p>
    <w:p w14:paraId="5471DCDE" w14:textId="2F330997" w:rsidR="00500754" w:rsidRDefault="00500754" w:rsidP="004A61A7">
      <w:pPr>
        <w:ind w:left="720" w:hanging="720"/>
        <w:jc w:val="both"/>
        <w:rPr>
          <w:rFonts w:ascii="Arial" w:hAnsi="Arial" w:cs="Arial"/>
          <w:color w:val="7B7B7B" w:themeColor="accent3" w:themeShade="BF"/>
          <w:sz w:val="22"/>
          <w:szCs w:val="22"/>
        </w:rPr>
      </w:pPr>
    </w:p>
    <w:p w14:paraId="5403B0A2" w14:textId="1DAD3CEC" w:rsidR="00500754" w:rsidRDefault="00500754" w:rsidP="004A61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Law 134/2012 further introduced possibility for debtors to file </w:t>
      </w:r>
      <w:r w:rsidR="003E35C5">
        <w:rPr>
          <w:rFonts w:ascii="Arial" w:hAnsi="Arial" w:cs="Arial"/>
          <w:color w:val="7B7B7B" w:themeColor="accent3" w:themeShade="BF"/>
          <w:sz w:val="22"/>
          <w:szCs w:val="22"/>
        </w:rPr>
        <w:t>to the pre-insolvency petition without contextual restructuring plan (concordato in bianco), tacit approval of the plan and new rules on post-commencement financing.</w:t>
      </w:r>
    </w:p>
    <w:p w14:paraId="1A06E109" w14:textId="14F3CBB2" w:rsidR="003E35C5" w:rsidRDefault="003E35C5" w:rsidP="004A61A7">
      <w:pPr>
        <w:ind w:left="720" w:hanging="720"/>
        <w:jc w:val="both"/>
        <w:rPr>
          <w:rFonts w:ascii="Arial" w:hAnsi="Arial" w:cs="Arial"/>
          <w:color w:val="7B7B7B" w:themeColor="accent3" w:themeShade="BF"/>
          <w:sz w:val="22"/>
          <w:szCs w:val="22"/>
        </w:rPr>
      </w:pPr>
    </w:p>
    <w:p w14:paraId="67DA32B2" w14:textId="6C1A3106" w:rsidR="003E35C5" w:rsidRDefault="003E35C5" w:rsidP="004A61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These reforms while increased number of pre-</w:t>
      </w:r>
      <w:r w:rsidR="00232F3F">
        <w:rPr>
          <w:rFonts w:ascii="Arial" w:hAnsi="Arial" w:cs="Arial"/>
          <w:color w:val="7B7B7B" w:themeColor="accent3" w:themeShade="BF"/>
          <w:sz w:val="22"/>
          <w:szCs w:val="22"/>
        </w:rPr>
        <w:t>insolvency</w:t>
      </w:r>
      <w:r>
        <w:rPr>
          <w:rFonts w:ascii="Arial" w:hAnsi="Arial" w:cs="Arial"/>
          <w:color w:val="7B7B7B" w:themeColor="accent3" w:themeShade="BF"/>
          <w:sz w:val="22"/>
          <w:szCs w:val="22"/>
        </w:rPr>
        <w:t xml:space="preserve"> </w:t>
      </w:r>
      <w:r w:rsidR="00232F3F">
        <w:rPr>
          <w:rFonts w:ascii="Arial" w:hAnsi="Arial" w:cs="Arial"/>
          <w:color w:val="7B7B7B" w:themeColor="accent3" w:themeShade="BF"/>
          <w:sz w:val="22"/>
          <w:szCs w:val="22"/>
        </w:rPr>
        <w:t>procedures</w:t>
      </w:r>
      <w:r>
        <w:rPr>
          <w:rFonts w:ascii="Arial" w:hAnsi="Arial" w:cs="Arial"/>
          <w:color w:val="7B7B7B" w:themeColor="accent3" w:themeShade="BF"/>
          <w:sz w:val="22"/>
          <w:szCs w:val="22"/>
        </w:rPr>
        <w:t xml:space="preserve"> aimed at rescue/restructuring led to final plans being approved even with </w:t>
      </w:r>
      <w:r w:rsidR="00232F3F">
        <w:rPr>
          <w:rFonts w:ascii="Arial" w:hAnsi="Arial" w:cs="Arial"/>
          <w:color w:val="7B7B7B" w:themeColor="accent3" w:themeShade="BF"/>
          <w:sz w:val="22"/>
          <w:szCs w:val="22"/>
        </w:rPr>
        <w:t>unsecured</w:t>
      </w:r>
      <w:r>
        <w:rPr>
          <w:rFonts w:ascii="Arial" w:hAnsi="Arial" w:cs="Arial"/>
          <w:color w:val="7B7B7B" w:themeColor="accent3" w:themeShade="BF"/>
          <w:sz w:val="22"/>
          <w:szCs w:val="22"/>
        </w:rPr>
        <w:t xml:space="preserve"> creditors receiving negligent amounts of their claims.</w:t>
      </w:r>
    </w:p>
    <w:p w14:paraId="0F1449B4" w14:textId="185C2582" w:rsidR="003E35C5" w:rsidRDefault="003E35C5" w:rsidP="004A61A7">
      <w:pPr>
        <w:ind w:left="720" w:hanging="720"/>
        <w:jc w:val="both"/>
        <w:rPr>
          <w:rFonts w:ascii="Arial" w:hAnsi="Arial" w:cs="Arial"/>
          <w:color w:val="7B7B7B" w:themeColor="accent3" w:themeShade="BF"/>
          <w:sz w:val="22"/>
          <w:szCs w:val="22"/>
        </w:rPr>
      </w:pPr>
    </w:p>
    <w:p w14:paraId="221798A9" w14:textId="641B2F4A" w:rsidR="003E35C5" w:rsidRDefault="003E35C5" w:rsidP="004A61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These issues were addressed in Law 132/2015 which re-</w:t>
      </w:r>
      <w:r w:rsidR="00232F3F">
        <w:rPr>
          <w:rFonts w:ascii="Arial" w:hAnsi="Arial" w:cs="Arial"/>
          <w:color w:val="7B7B7B" w:themeColor="accent3" w:themeShade="BF"/>
          <w:sz w:val="22"/>
          <w:szCs w:val="22"/>
        </w:rPr>
        <w:t>introduced</w:t>
      </w:r>
      <w:r>
        <w:rPr>
          <w:rFonts w:ascii="Arial" w:hAnsi="Arial" w:cs="Arial"/>
          <w:color w:val="7B7B7B" w:themeColor="accent3" w:themeShade="BF"/>
          <w:sz w:val="22"/>
          <w:szCs w:val="22"/>
        </w:rPr>
        <w:t xml:space="preserve"> minimum percentage of </w:t>
      </w:r>
      <w:r w:rsidR="00232F3F">
        <w:rPr>
          <w:rFonts w:ascii="Arial" w:hAnsi="Arial" w:cs="Arial"/>
          <w:color w:val="7B7B7B" w:themeColor="accent3" w:themeShade="BF"/>
          <w:sz w:val="22"/>
          <w:szCs w:val="22"/>
        </w:rPr>
        <w:t>satisfaction</w:t>
      </w:r>
      <w:r>
        <w:rPr>
          <w:rFonts w:ascii="Arial" w:hAnsi="Arial" w:cs="Arial"/>
          <w:color w:val="7B7B7B" w:themeColor="accent3" w:themeShade="BF"/>
          <w:sz w:val="22"/>
          <w:szCs w:val="22"/>
        </w:rPr>
        <w:t xml:space="preserve"> of unsecured creditors claims (20%) It could be said that this law ended the period of “pro debtor” phase in legislative and brought restrictions to usage of stated pre-insolvency procedures, which further led to significant decline in their numbers with continuing trend that extended in 2018.</w:t>
      </w:r>
    </w:p>
    <w:p w14:paraId="5E20FEBB" w14:textId="32D93A61" w:rsidR="003E35C5" w:rsidRDefault="003E35C5" w:rsidP="004A61A7">
      <w:pPr>
        <w:ind w:left="720" w:hanging="720"/>
        <w:jc w:val="both"/>
        <w:rPr>
          <w:rFonts w:ascii="Arial" w:hAnsi="Arial" w:cs="Arial"/>
          <w:color w:val="7B7B7B" w:themeColor="accent3" w:themeShade="BF"/>
          <w:sz w:val="22"/>
          <w:szCs w:val="22"/>
        </w:rPr>
      </w:pPr>
    </w:p>
    <w:p w14:paraId="1C1F5080" w14:textId="3B8B6832" w:rsidR="009F5849" w:rsidRDefault="003E35C5" w:rsidP="004A61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the need for change was visible, </w:t>
      </w:r>
      <w:r w:rsidR="009F5849">
        <w:rPr>
          <w:rFonts w:ascii="Arial" w:hAnsi="Arial" w:cs="Arial"/>
          <w:color w:val="7B7B7B" w:themeColor="accent3" w:themeShade="BF"/>
          <w:sz w:val="22"/>
          <w:szCs w:val="22"/>
        </w:rPr>
        <w:t xml:space="preserve">Government appointed group of experts </w:t>
      </w:r>
      <w:r w:rsidRPr="003E35C5">
        <w:rPr>
          <w:rFonts w:ascii="Arial" w:hAnsi="Arial" w:cs="Arial"/>
          <w:color w:val="7B7B7B" w:themeColor="accent3" w:themeShade="BF"/>
          <w:sz w:val="22"/>
          <w:szCs w:val="22"/>
        </w:rPr>
        <w:t>“Rordorf Commission”</w:t>
      </w:r>
      <w:r>
        <w:rPr>
          <w:rFonts w:ascii="Arial" w:hAnsi="Arial" w:cs="Arial"/>
          <w:color w:val="7B7B7B" w:themeColor="accent3" w:themeShade="BF"/>
          <w:sz w:val="22"/>
          <w:szCs w:val="22"/>
        </w:rPr>
        <w:t xml:space="preserve"> was entrusted </w:t>
      </w:r>
      <w:r w:rsidR="002C0BAC">
        <w:rPr>
          <w:rFonts w:ascii="Arial" w:hAnsi="Arial" w:cs="Arial"/>
          <w:color w:val="7B7B7B" w:themeColor="accent3" w:themeShade="BF"/>
          <w:sz w:val="22"/>
          <w:szCs w:val="22"/>
        </w:rPr>
        <w:t xml:space="preserve">with task to propose changes that would among other </w:t>
      </w:r>
      <w:r w:rsidR="009F5849">
        <w:rPr>
          <w:rFonts w:ascii="Arial" w:hAnsi="Arial" w:cs="Arial"/>
          <w:color w:val="7B7B7B" w:themeColor="accent3" w:themeShade="BF"/>
          <w:sz w:val="22"/>
          <w:szCs w:val="22"/>
        </w:rPr>
        <w:t xml:space="preserve">things transpose best practices set by the UNCITRAL and EU. EIR Recast was considered together with Model Law on Cross Border </w:t>
      </w:r>
      <w:r w:rsidR="00232F3F">
        <w:rPr>
          <w:rFonts w:ascii="Arial" w:hAnsi="Arial" w:cs="Arial"/>
          <w:color w:val="7B7B7B" w:themeColor="accent3" w:themeShade="BF"/>
          <w:sz w:val="22"/>
          <w:szCs w:val="22"/>
        </w:rPr>
        <w:t>Insolvency</w:t>
      </w:r>
      <w:r w:rsidR="009F5849">
        <w:rPr>
          <w:rFonts w:ascii="Arial" w:hAnsi="Arial" w:cs="Arial"/>
          <w:color w:val="7B7B7B" w:themeColor="accent3" w:themeShade="BF"/>
          <w:sz w:val="22"/>
          <w:szCs w:val="22"/>
        </w:rPr>
        <w:t xml:space="preserve">, with purpose to simplify recognition of qualified foreign insolvency proceedings. Proposed changes were base to  Law 155/2017 gave authority to government to </w:t>
      </w:r>
      <w:r w:rsidR="00232F3F">
        <w:rPr>
          <w:rFonts w:ascii="Arial" w:hAnsi="Arial" w:cs="Arial"/>
          <w:color w:val="7B7B7B" w:themeColor="accent3" w:themeShade="BF"/>
          <w:sz w:val="22"/>
          <w:szCs w:val="22"/>
        </w:rPr>
        <w:t>introduce</w:t>
      </w:r>
      <w:r w:rsidR="009F5849">
        <w:rPr>
          <w:rFonts w:ascii="Arial" w:hAnsi="Arial" w:cs="Arial"/>
          <w:color w:val="7B7B7B" w:themeColor="accent3" w:themeShade="BF"/>
          <w:sz w:val="22"/>
          <w:szCs w:val="22"/>
        </w:rPr>
        <w:t xml:space="preserve"> changes. This was done by legislative decree 14/2019 which at the moment is still not in force (postponed to 2021) due to COVID-19 pandemic which introduces a world wide health and economic crisis.</w:t>
      </w:r>
    </w:p>
    <w:p w14:paraId="0AD8218D" w14:textId="208BDE83" w:rsidR="003E35C5" w:rsidRDefault="003E35C5" w:rsidP="004A61A7">
      <w:pPr>
        <w:ind w:left="720" w:hanging="720"/>
        <w:jc w:val="both"/>
        <w:rPr>
          <w:rFonts w:ascii="Arial" w:hAnsi="Arial" w:cs="Arial"/>
          <w:color w:val="7B7B7B" w:themeColor="accent3" w:themeShade="BF"/>
          <w:sz w:val="22"/>
          <w:szCs w:val="22"/>
        </w:rPr>
      </w:pPr>
    </w:p>
    <w:p w14:paraId="39811FF4" w14:textId="09A6A2E0" w:rsidR="00C1525B" w:rsidRDefault="00232F3F" w:rsidP="004A61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Although</w:t>
      </w:r>
      <w:r w:rsidR="002C0BAC">
        <w:rPr>
          <w:rFonts w:ascii="Arial" w:hAnsi="Arial" w:cs="Arial"/>
          <w:color w:val="7B7B7B" w:themeColor="accent3" w:themeShade="BF"/>
          <w:sz w:val="22"/>
          <w:szCs w:val="22"/>
        </w:rPr>
        <w:t xml:space="preserve"> there is much room for improvement in overall legal </w:t>
      </w:r>
      <w:r w:rsidR="00C1525B">
        <w:rPr>
          <w:rFonts w:ascii="Arial" w:hAnsi="Arial" w:cs="Arial"/>
          <w:color w:val="7B7B7B" w:themeColor="accent3" w:themeShade="BF"/>
          <w:sz w:val="22"/>
          <w:szCs w:val="22"/>
        </w:rPr>
        <w:t xml:space="preserve">regulation </w:t>
      </w:r>
      <w:r w:rsidR="002C0BAC">
        <w:rPr>
          <w:rFonts w:ascii="Arial" w:hAnsi="Arial" w:cs="Arial"/>
          <w:color w:val="7B7B7B" w:themeColor="accent3" w:themeShade="BF"/>
          <w:sz w:val="22"/>
          <w:szCs w:val="22"/>
        </w:rPr>
        <w:t xml:space="preserve">as documented in international publications (World Bank 2019 Doing Business </w:t>
      </w:r>
      <w:r>
        <w:rPr>
          <w:rFonts w:ascii="Arial" w:hAnsi="Arial" w:cs="Arial"/>
          <w:color w:val="7B7B7B" w:themeColor="accent3" w:themeShade="BF"/>
          <w:sz w:val="22"/>
          <w:szCs w:val="22"/>
        </w:rPr>
        <w:t>R</w:t>
      </w:r>
      <w:r w:rsidR="002C0BAC">
        <w:rPr>
          <w:rFonts w:ascii="Arial" w:hAnsi="Arial" w:cs="Arial"/>
          <w:color w:val="7B7B7B" w:themeColor="accent3" w:themeShade="BF"/>
          <w:sz w:val="22"/>
          <w:szCs w:val="22"/>
        </w:rPr>
        <w:t>eport ) in matters of enforcing contracts (111/190 countries) and ease of doing business (58</w:t>
      </w:r>
      <w:r w:rsidR="002C0BAC" w:rsidRPr="002C0BAC">
        <w:rPr>
          <w:rFonts w:ascii="Arial" w:hAnsi="Arial" w:cs="Arial"/>
          <w:color w:val="7B7B7B" w:themeColor="accent3" w:themeShade="BF"/>
          <w:sz w:val="22"/>
          <w:szCs w:val="22"/>
          <w:vertAlign w:val="superscript"/>
        </w:rPr>
        <w:t>th</w:t>
      </w:r>
      <w:r w:rsidR="002C0BAC">
        <w:rPr>
          <w:rFonts w:ascii="Arial" w:hAnsi="Arial" w:cs="Arial"/>
          <w:color w:val="7B7B7B" w:themeColor="accent3" w:themeShade="BF"/>
          <w:sz w:val="22"/>
          <w:szCs w:val="22"/>
        </w:rPr>
        <w:t xml:space="preserve"> place), legal </w:t>
      </w:r>
      <w:r>
        <w:rPr>
          <w:rFonts w:ascii="Arial" w:hAnsi="Arial" w:cs="Arial"/>
          <w:color w:val="7B7B7B" w:themeColor="accent3" w:themeShade="BF"/>
          <w:sz w:val="22"/>
          <w:szCs w:val="22"/>
        </w:rPr>
        <w:t>reforms</w:t>
      </w:r>
      <w:r w:rsidR="002C0BAC">
        <w:rPr>
          <w:rFonts w:ascii="Arial" w:hAnsi="Arial" w:cs="Arial"/>
          <w:color w:val="7B7B7B" w:themeColor="accent3" w:themeShade="BF"/>
          <w:sz w:val="22"/>
          <w:szCs w:val="22"/>
        </w:rPr>
        <w:t xml:space="preserve"> obviously addressed situation and over time </w:t>
      </w:r>
      <w:r>
        <w:rPr>
          <w:rFonts w:ascii="Arial" w:hAnsi="Arial" w:cs="Arial"/>
          <w:color w:val="7B7B7B" w:themeColor="accent3" w:themeShade="BF"/>
          <w:sz w:val="22"/>
          <w:szCs w:val="22"/>
        </w:rPr>
        <w:t>evidenced</w:t>
      </w:r>
      <w:r w:rsidR="002C0BAC">
        <w:rPr>
          <w:rFonts w:ascii="Arial" w:hAnsi="Arial" w:cs="Arial"/>
          <w:color w:val="7B7B7B" w:themeColor="accent3" w:themeShade="BF"/>
          <w:sz w:val="22"/>
          <w:szCs w:val="22"/>
        </w:rPr>
        <w:t xml:space="preserve"> shortcomings and to </w:t>
      </w:r>
      <w:r w:rsidR="002C0BAC">
        <w:rPr>
          <w:rFonts w:ascii="Arial" w:hAnsi="Arial" w:cs="Arial"/>
          <w:color w:val="7B7B7B" w:themeColor="accent3" w:themeShade="BF"/>
          <w:sz w:val="22"/>
          <w:szCs w:val="22"/>
        </w:rPr>
        <w:lastRenderedPageBreak/>
        <w:t xml:space="preserve">a large extend managed to resolve them compared to other </w:t>
      </w:r>
      <w:r>
        <w:rPr>
          <w:rFonts w:ascii="Arial" w:hAnsi="Arial" w:cs="Arial"/>
          <w:color w:val="7B7B7B" w:themeColor="accent3" w:themeShade="BF"/>
          <w:sz w:val="22"/>
          <w:szCs w:val="22"/>
        </w:rPr>
        <w:t>jurisdictions</w:t>
      </w:r>
      <w:r w:rsidR="002C0BAC">
        <w:rPr>
          <w:rFonts w:ascii="Arial" w:hAnsi="Arial" w:cs="Arial"/>
          <w:color w:val="7B7B7B" w:themeColor="accent3" w:themeShade="BF"/>
          <w:sz w:val="22"/>
          <w:szCs w:val="22"/>
        </w:rPr>
        <w:t xml:space="preserve"> which led to Italy being ranked 21/190 in terms of resolving insolvency (indicators included are time, cost and outcome for domestic companies) in the stated world Bank 2019 Doing Business Report.</w:t>
      </w:r>
    </w:p>
    <w:p w14:paraId="7C7FD1D5" w14:textId="4EA1E445" w:rsidR="00C1525B" w:rsidRDefault="00C1525B" w:rsidP="004A61A7">
      <w:pPr>
        <w:ind w:left="720" w:hanging="720"/>
        <w:jc w:val="both"/>
        <w:rPr>
          <w:rFonts w:ascii="Arial" w:hAnsi="Arial" w:cs="Arial"/>
          <w:color w:val="7B7B7B" w:themeColor="accent3" w:themeShade="BF"/>
          <w:sz w:val="22"/>
          <w:szCs w:val="22"/>
        </w:rPr>
      </w:pPr>
    </w:p>
    <w:p w14:paraId="33BF09B4" w14:textId="77777777" w:rsidR="00C1525B" w:rsidRPr="004A61A7" w:rsidRDefault="00C1525B" w:rsidP="004A61A7">
      <w:pPr>
        <w:ind w:left="720" w:hanging="720"/>
        <w:jc w:val="both"/>
        <w:rPr>
          <w:rFonts w:ascii="Arial" w:hAnsi="Arial" w:cs="Arial"/>
          <w:sz w:val="22"/>
          <w:szCs w:val="22"/>
        </w:rPr>
      </w:pPr>
    </w:p>
    <w:p w14:paraId="59B9D72B" w14:textId="77777777" w:rsidR="008F228E" w:rsidRDefault="008F228E" w:rsidP="002A37BB">
      <w:pPr>
        <w:jc w:val="both"/>
        <w:rPr>
          <w:rFonts w:ascii="Arial" w:hAnsi="Arial" w:cs="Arial"/>
          <w:bCs/>
          <w:sz w:val="22"/>
          <w:szCs w:val="22"/>
          <w:lang w:val="en-GB"/>
        </w:rPr>
      </w:pPr>
    </w:p>
    <w:p w14:paraId="04E16240" w14:textId="77777777" w:rsidR="00962045"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5582E5EC" w14:textId="77777777" w:rsidR="004A61A7" w:rsidRDefault="004A61A7" w:rsidP="002A37BB">
      <w:pPr>
        <w:jc w:val="both"/>
        <w:rPr>
          <w:rFonts w:ascii="Arial" w:hAnsi="Arial" w:cs="Arial"/>
          <w:b/>
          <w:sz w:val="22"/>
          <w:szCs w:val="22"/>
          <w:lang w:val="en-GB"/>
        </w:rPr>
      </w:pPr>
    </w:p>
    <w:p w14:paraId="19BB832D" w14:textId="17E35190" w:rsidR="004A61A7" w:rsidRDefault="004A61A7" w:rsidP="004A61A7">
      <w:pPr>
        <w:jc w:val="both"/>
        <w:rPr>
          <w:rFonts w:ascii="Arial" w:hAnsi="Arial" w:cs="Arial"/>
          <w:sz w:val="22"/>
          <w:szCs w:val="22"/>
          <w:lang w:val="en-GB"/>
        </w:rPr>
      </w:pPr>
      <w:r>
        <w:rPr>
          <w:rFonts w:ascii="Arial" w:hAnsi="Arial" w:cs="Arial"/>
          <w:sz w:val="22"/>
          <w:szCs w:val="22"/>
          <w:lang w:val="en-GB"/>
        </w:rPr>
        <w:t>T</w:t>
      </w:r>
      <w:r w:rsidRPr="00D150A1">
        <w:rPr>
          <w:rFonts w:ascii="Arial" w:hAnsi="Arial" w:cs="Arial"/>
          <w:sz w:val="22"/>
          <w:szCs w:val="22"/>
          <w:lang w:val="en-GB"/>
        </w:rPr>
        <w:t>he principle of equality among</w:t>
      </w:r>
      <w:r w:rsidR="00C4163B">
        <w:rPr>
          <w:rFonts w:ascii="Arial" w:hAnsi="Arial" w:cs="Arial"/>
          <w:sz w:val="22"/>
          <w:szCs w:val="22"/>
          <w:lang w:val="en-GB"/>
        </w:rPr>
        <w:t>st</w:t>
      </w:r>
      <w:r w:rsidRPr="00D150A1">
        <w:rPr>
          <w:rFonts w:ascii="Arial" w:hAnsi="Arial" w:cs="Arial"/>
          <w:sz w:val="22"/>
          <w:szCs w:val="22"/>
          <w:lang w:val="en-GB"/>
        </w:rPr>
        <w:t xml:space="preserve"> creditors (</w:t>
      </w:r>
      <w:r w:rsidRPr="00D150A1">
        <w:rPr>
          <w:rFonts w:ascii="Arial" w:hAnsi="Arial" w:cs="Arial"/>
          <w:i/>
          <w:sz w:val="22"/>
          <w:szCs w:val="22"/>
          <w:lang w:val="en-GB"/>
        </w:rPr>
        <w:t>par condicio creditorum</w:t>
      </w:r>
      <w:r w:rsidRPr="00D150A1">
        <w:rPr>
          <w:rFonts w:ascii="Arial" w:hAnsi="Arial" w:cs="Arial"/>
          <w:sz w:val="22"/>
          <w:szCs w:val="22"/>
          <w:lang w:val="en-GB"/>
        </w:rPr>
        <w:t>) applies only with reference to classes of creditors.</w:t>
      </w:r>
      <w:r>
        <w:rPr>
          <w:rFonts w:ascii="Arial" w:hAnsi="Arial" w:cs="Arial"/>
          <w:sz w:val="22"/>
          <w:szCs w:val="22"/>
          <w:lang w:val="en-GB"/>
        </w:rPr>
        <w:t xml:space="preserve"> However, the current system of securities, privileges and guarantees under Italian law recognises a wide array of exceptions to the </w:t>
      </w:r>
      <w:r>
        <w:rPr>
          <w:rFonts w:ascii="Arial" w:hAnsi="Arial" w:cs="Arial"/>
          <w:i/>
          <w:sz w:val="22"/>
          <w:szCs w:val="22"/>
          <w:lang w:val="en-GB"/>
        </w:rPr>
        <w:t xml:space="preserve">par condictio creditorum </w:t>
      </w:r>
      <w:r>
        <w:rPr>
          <w:rFonts w:ascii="Arial" w:hAnsi="Arial" w:cs="Arial"/>
          <w:sz w:val="22"/>
          <w:szCs w:val="22"/>
          <w:lang w:val="en-GB"/>
        </w:rPr>
        <w:t xml:space="preserve">rule. As a result, the system is rather byzantine and cumbersome, to the extent that many creditors are unlikely to be aware of their privileged status until or unless their debtor files for insolvency. </w:t>
      </w:r>
    </w:p>
    <w:p w14:paraId="49A4132A" w14:textId="77777777" w:rsidR="004A61A7" w:rsidRDefault="004A61A7" w:rsidP="004A61A7">
      <w:pPr>
        <w:ind w:left="720" w:hanging="720"/>
        <w:jc w:val="both"/>
        <w:rPr>
          <w:rFonts w:ascii="Arial" w:hAnsi="Arial" w:cs="Arial"/>
          <w:sz w:val="22"/>
          <w:szCs w:val="22"/>
          <w:lang w:val="en-GB"/>
        </w:rPr>
      </w:pPr>
    </w:p>
    <w:p w14:paraId="3680067A" w14:textId="77777777" w:rsidR="00C550C8" w:rsidRPr="004A61A7" w:rsidRDefault="004A61A7" w:rsidP="002A37BB">
      <w:pPr>
        <w:ind w:left="720" w:hanging="720"/>
        <w:jc w:val="both"/>
        <w:rPr>
          <w:rFonts w:ascii="Arial" w:hAnsi="Arial" w:cs="Arial"/>
          <w:sz w:val="22"/>
          <w:szCs w:val="22"/>
          <w:lang w:val="en-GB"/>
        </w:rPr>
      </w:pPr>
      <w:r>
        <w:rPr>
          <w:rFonts w:ascii="Arial" w:hAnsi="Arial" w:cs="Arial"/>
          <w:sz w:val="22"/>
          <w:szCs w:val="22"/>
          <w:lang w:val="en-GB"/>
        </w:rPr>
        <w:t xml:space="preserve">Discuss this statement with reference to relevant case law and statutes. </w:t>
      </w:r>
    </w:p>
    <w:p w14:paraId="68855673" w14:textId="77777777" w:rsidR="00241FA3" w:rsidRPr="002A37BB" w:rsidRDefault="00241FA3" w:rsidP="002A37BB">
      <w:pPr>
        <w:jc w:val="both"/>
        <w:rPr>
          <w:rFonts w:ascii="Arial" w:hAnsi="Arial" w:cs="Arial"/>
          <w:sz w:val="22"/>
          <w:szCs w:val="22"/>
        </w:rPr>
      </w:pPr>
    </w:p>
    <w:p w14:paraId="59C39863" w14:textId="77777777" w:rsidR="008B47CF" w:rsidRDefault="00B5295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Pr="00B5295A">
        <w:rPr>
          <w:rFonts w:ascii="Arial" w:hAnsi="Arial" w:cs="Arial"/>
          <w:color w:val="7B7B7B" w:themeColor="accent3" w:themeShade="BF"/>
          <w:sz w:val="22"/>
          <w:szCs w:val="22"/>
          <w:lang w:val="en-GB"/>
        </w:rPr>
        <w:t>ar condicio creditorum</w:t>
      </w:r>
      <w:r>
        <w:rPr>
          <w:rFonts w:ascii="Arial" w:hAnsi="Arial" w:cs="Arial"/>
          <w:color w:val="7B7B7B" w:themeColor="accent3" w:themeShade="BF"/>
          <w:sz w:val="22"/>
          <w:szCs w:val="22"/>
          <w:lang w:val="en-GB"/>
        </w:rPr>
        <w:t xml:space="preserve"> principle is basic principle of insolvency procedures which “insists” on equal </w:t>
      </w:r>
      <w:r w:rsidR="003A2914">
        <w:rPr>
          <w:rFonts w:ascii="Arial" w:hAnsi="Arial" w:cs="Arial"/>
          <w:color w:val="7B7B7B" w:themeColor="accent3" w:themeShade="BF"/>
          <w:sz w:val="22"/>
          <w:szCs w:val="22"/>
          <w:lang w:val="en-GB"/>
        </w:rPr>
        <w:t>treatment</w:t>
      </w:r>
      <w:r>
        <w:rPr>
          <w:rFonts w:ascii="Arial" w:hAnsi="Arial" w:cs="Arial"/>
          <w:color w:val="7B7B7B" w:themeColor="accent3" w:themeShade="BF"/>
          <w:sz w:val="22"/>
          <w:szCs w:val="22"/>
          <w:lang w:val="en-GB"/>
        </w:rPr>
        <w:t xml:space="preserve"> of </w:t>
      </w:r>
      <w:r w:rsidR="003A2914">
        <w:rPr>
          <w:rFonts w:ascii="Arial" w:hAnsi="Arial" w:cs="Arial"/>
          <w:color w:val="7B7B7B" w:themeColor="accent3" w:themeShade="BF"/>
          <w:sz w:val="22"/>
          <w:szCs w:val="22"/>
          <w:lang w:val="en-GB"/>
        </w:rPr>
        <w:t xml:space="preserve">creditors, </w:t>
      </w:r>
      <w:r>
        <w:rPr>
          <w:rFonts w:ascii="Arial" w:hAnsi="Arial" w:cs="Arial"/>
          <w:color w:val="7B7B7B" w:themeColor="accent3" w:themeShade="BF"/>
          <w:sz w:val="22"/>
          <w:szCs w:val="22"/>
          <w:lang w:val="en-GB"/>
        </w:rPr>
        <w:t xml:space="preserve">especially in terms of satisfaction/percentage of satisfaction of their claims and/or seniority when it comes to insolvency situation/proceedings. </w:t>
      </w:r>
      <w:r w:rsidR="003A2914">
        <w:rPr>
          <w:rFonts w:ascii="Arial" w:hAnsi="Arial" w:cs="Arial"/>
          <w:color w:val="7B7B7B" w:themeColor="accent3" w:themeShade="BF"/>
          <w:sz w:val="22"/>
          <w:szCs w:val="22"/>
          <w:lang w:val="en-GB"/>
        </w:rPr>
        <w:t>Basis</w:t>
      </w:r>
      <w:r>
        <w:rPr>
          <w:rFonts w:ascii="Arial" w:hAnsi="Arial" w:cs="Arial"/>
          <w:color w:val="7B7B7B" w:themeColor="accent3" w:themeShade="BF"/>
          <w:sz w:val="22"/>
          <w:szCs w:val="22"/>
          <w:lang w:val="en-GB"/>
        </w:rPr>
        <w:t xml:space="preserve"> for this is in fundamental origins of insolvency procedures that are considered as general </w:t>
      </w:r>
      <w:r w:rsidR="003A2914">
        <w:rPr>
          <w:rFonts w:ascii="Arial" w:hAnsi="Arial" w:cs="Arial"/>
          <w:color w:val="7B7B7B" w:themeColor="accent3" w:themeShade="BF"/>
          <w:sz w:val="22"/>
          <w:szCs w:val="22"/>
          <w:lang w:val="en-GB"/>
        </w:rPr>
        <w:t xml:space="preserve">forced collection </w:t>
      </w:r>
      <w:r>
        <w:rPr>
          <w:rFonts w:ascii="Arial" w:hAnsi="Arial" w:cs="Arial"/>
          <w:color w:val="7B7B7B" w:themeColor="accent3" w:themeShade="BF"/>
          <w:sz w:val="22"/>
          <w:szCs w:val="22"/>
          <w:lang w:val="en-GB"/>
        </w:rPr>
        <w:t xml:space="preserve">over </w:t>
      </w:r>
      <w:r w:rsidR="003A2914">
        <w:rPr>
          <w:rFonts w:ascii="Arial" w:hAnsi="Arial" w:cs="Arial"/>
          <w:color w:val="7B7B7B" w:themeColor="accent3" w:themeShade="BF"/>
          <w:sz w:val="22"/>
          <w:szCs w:val="22"/>
          <w:lang w:val="en-GB"/>
        </w:rPr>
        <w:t xml:space="preserve">all of </w:t>
      </w:r>
      <w:r>
        <w:rPr>
          <w:rFonts w:ascii="Arial" w:hAnsi="Arial" w:cs="Arial"/>
          <w:color w:val="7B7B7B" w:themeColor="accent3" w:themeShade="BF"/>
          <w:sz w:val="22"/>
          <w:szCs w:val="22"/>
          <w:lang w:val="en-GB"/>
        </w:rPr>
        <w:t>debtors assets which usually, especially in past led to liquidation of company.</w:t>
      </w:r>
      <w:r w:rsidR="008B47C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Italian legal system in basis follows that principle, but with rather large number of privileged creditors and different provisions on securities that </w:t>
      </w:r>
      <w:r w:rsidR="008B47CF">
        <w:rPr>
          <w:rFonts w:ascii="Arial" w:hAnsi="Arial" w:cs="Arial"/>
          <w:color w:val="7B7B7B" w:themeColor="accent3" w:themeShade="BF"/>
          <w:sz w:val="22"/>
          <w:szCs w:val="22"/>
          <w:lang w:val="en-GB"/>
        </w:rPr>
        <w:t xml:space="preserve">can </w:t>
      </w:r>
      <w:r>
        <w:rPr>
          <w:rFonts w:ascii="Arial" w:hAnsi="Arial" w:cs="Arial"/>
          <w:color w:val="7B7B7B" w:themeColor="accent3" w:themeShade="BF"/>
          <w:sz w:val="22"/>
          <w:szCs w:val="22"/>
          <w:lang w:val="en-GB"/>
        </w:rPr>
        <w:t xml:space="preserve">change the order/expected </w:t>
      </w:r>
      <w:r w:rsidR="003A2914">
        <w:rPr>
          <w:rFonts w:ascii="Arial" w:hAnsi="Arial" w:cs="Arial"/>
          <w:color w:val="7B7B7B" w:themeColor="accent3" w:themeShade="BF"/>
          <w:sz w:val="22"/>
          <w:szCs w:val="22"/>
          <w:lang w:val="en-GB"/>
        </w:rPr>
        <w:t>seniority</w:t>
      </w:r>
      <w:r>
        <w:rPr>
          <w:rFonts w:ascii="Arial" w:hAnsi="Arial" w:cs="Arial"/>
          <w:color w:val="7B7B7B" w:themeColor="accent3" w:themeShade="BF"/>
          <w:sz w:val="22"/>
          <w:szCs w:val="22"/>
          <w:lang w:val="en-GB"/>
        </w:rPr>
        <w:t xml:space="preserve"> and eventual satisfaction of creditors claims.</w:t>
      </w:r>
      <w:r w:rsidR="008B47CF">
        <w:rPr>
          <w:rFonts w:ascii="Arial" w:hAnsi="Arial" w:cs="Arial"/>
          <w:color w:val="7B7B7B" w:themeColor="accent3" w:themeShade="BF"/>
          <w:sz w:val="22"/>
          <w:szCs w:val="22"/>
          <w:lang w:val="en-GB"/>
        </w:rPr>
        <w:t xml:space="preserve"> </w:t>
      </w:r>
    </w:p>
    <w:p w14:paraId="5AF2F084" w14:textId="77777777" w:rsidR="008B47CF" w:rsidRDefault="008B47CF" w:rsidP="002A37BB">
      <w:pPr>
        <w:jc w:val="both"/>
        <w:rPr>
          <w:rFonts w:ascii="Arial" w:hAnsi="Arial" w:cs="Arial"/>
          <w:color w:val="7B7B7B" w:themeColor="accent3" w:themeShade="BF"/>
          <w:sz w:val="22"/>
          <w:szCs w:val="22"/>
          <w:lang w:val="en-GB"/>
        </w:rPr>
      </w:pPr>
    </w:p>
    <w:p w14:paraId="65B681BC" w14:textId="77777777" w:rsidR="008B47CF" w:rsidRDefault="008B47CF" w:rsidP="008B47C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Usually, it’s the security given in order to enhance the position of creditor that changes the “ranking order” of creditors claim. </w:t>
      </w:r>
      <w:r w:rsidR="00675671">
        <w:rPr>
          <w:rFonts w:ascii="Arial" w:hAnsi="Arial" w:cs="Arial"/>
          <w:color w:val="7B7B7B" w:themeColor="accent3" w:themeShade="BF"/>
          <w:sz w:val="22"/>
          <w:szCs w:val="22"/>
          <w:lang w:val="en-GB"/>
        </w:rPr>
        <w:t xml:space="preserve">Excluding assets that can only belong to state and assets that cannot be </w:t>
      </w:r>
      <w:r w:rsidR="003A2914">
        <w:rPr>
          <w:rFonts w:ascii="Arial" w:hAnsi="Arial" w:cs="Arial"/>
          <w:color w:val="7B7B7B" w:themeColor="accent3" w:themeShade="BF"/>
          <w:sz w:val="22"/>
          <w:szCs w:val="22"/>
          <w:lang w:val="en-GB"/>
        </w:rPr>
        <w:t>securitized</w:t>
      </w:r>
      <w:r w:rsidR="00675671">
        <w:rPr>
          <w:rFonts w:ascii="Arial" w:hAnsi="Arial" w:cs="Arial"/>
          <w:color w:val="7B7B7B" w:themeColor="accent3" w:themeShade="BF"/>
          <w:sz w:val="22"/>
          <w:szCs w:val="22"/>
          <w:lang w:val="en-GB"/>
        </w:rPr>
        <w:t xml:space="preserve"> if they belong to state, parties have general </w:t>
      </w:r>
      <w:r w:rsidR="003A2914">
        <w:rPr>
          <w:rFonts w:ascii="Arial" w:hAnsi="Arial" w:cs="Arial"/>
          <w:color w:val="7B7B7B" w:themeColor="accent3" w:themeShade="BF"/>
          <w:sz w:val="22"/>
          <w:szCs w:val="22"/>
          <w:lang w:val="en-GB"/>
        </w:rPr>
        <w:t>freedom</w:t>
      </w:r>
      <w:r w:rsidR="00675671">
        <w:rPr>
          <w:rFonts w:ascii="Arial" w:hAnsi="Arial" w:cs="Arial"/>
          <w:color w:val="7B7B7B" w:themeColor="accent3" w:themeShade="BF"/>
          <w:sz w:val="22"/>
          <w:szCs w:val="22"/>
          <w:lang w:val="en-GB"/>
        </w:rPr>
        <w:t xml:space="preserve"> to grant </w:t>
      </w:r>
      <w:r w:rsidR="003A2914">
        <w:rPr>
          <w:rFonts w:ascii="Arial" w:hAnsi="Arial" w:cs="Arial"/>
          <w:color w:val="7B7B7B" w:themeColor="accent3" w:themeShade="BF"/>
          <w:sz w:val="22"/>
          <w:szCs w:val="22"/>
          <w:lang w:val="en-GB"/>
        </w:rPr>
        <w:t>securities</w:t>
      </w:r>
      <w:r w:rsidR="00675671">
        <w:rPr>
          <w:rFonts w:ascii="Arial" w:hAnsi="Arial" w:cs="Arial"/>
          <w:color w:val="7B7B7B" w:themeColor="accent3" w:themeShade="BF"/>
          <w:sz w:val="22"/>
          <w:szCs w:val="22"/>
          <w:lang w:val="en-GB"/>
        </w:rPr>
        <w:t xml:space="preserve"> over their assets.</w:t>
      </w:r>
      <w:r>
        <w:rPr>
          <w:rFonts w:ascii="Arial" w:hAnsi="Arial" w:cs="Arial"/>
          <w:color w:val="7B7B7B" w:themeColor="accent3" w:themeShade="BF"/>
          <w:sz w:val="22"/>
          <w:szCs w:val="22"/>
          <w:lang w:val="en-GB"/>
        </w:rPr>
        <w:t xml:space="preserve"> In respect to cross-border insolvency, securities over assets according to Italian International Private Law (Law 218/1995) are governed by the law of the jurisdiction where the assets are located.</w:t>
      </w:r>
    </w:p>
    <w:p w14:paraId="0566BF2C" w14:textId="51C0B5A7" w:rsidR="00675671" w:rsidRDefault="00675671" w:rsidP="002A37BB">
      <w:pPr>
        <w:jc w:val="both"/>
        <w:rPr>
          <w:rFonts w:ascii="Arial" w:hAnsi="Arial" w:cs="Arial"/>
          <w:color w:val="7B7B7B" w:themeColor="accent3" w:themeShade="BF"/>
          <w:sz w:val="22"/>
          <w:szCs w:val="22"/>
          <w:lang w:val="en-GB"/>
        </w:rPr>
      </w:pPr>
    </w:p>
    <w:p w14:paraId="6905AA1F" w14:textId="28501387" w:rsidR="00675671" w:rsidRDefault="0067567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Most common security over real-estate is mortgage, while for movable assets, pledges and liens are possible. Usually, form of notarised agreement registered with competent office is necessary and for money in the </w:t>
      </w:r>
      <w:r w:rsidR="003A2914">
        <w:rPr>
          <w:rFonts w:ascii="Arial" w:hAnsi="Arial" w:cs="Arial"/>
          <w:color w:val="7B7B7B" w:themeColor="accent3" w:themeShade="BF"/>
          <w:sz w:val="22"/>
          <w:szCs w:val="22"/>
          <w:lang w:val="en-GB"/>
        </w:rPr>
        <w:t>bank</w:t>
      </w:r>
      <w:r>
        <w:rPr>
          <w:rFonts w:ascii="Arial" w:hAnsi="Arial" w:cs="Arial"/>
          <w:color w:val="7B7B7B" w:themeColor="accent3" w:themeShade="BF"/>
          <w:sz w:val="22"/>
          <w:szCs w:val="22"/>
          <w:lang w:val="en-GB"/>
        </w:rPr>
        <w:t xml:space="preserve"> there are special provisions on establishing security over it.</w:t>
      </w:r>
    </w:p>
    <w:p w14:paraId="7ADB2C32" w14:textId="453B83F5" w:rsidR="00675671" w:rsidRDefault="00675671" w:rsidP="002A37BB">
      <w:pPr>
        <w:jc w:val="both"/>
        <w:rPr>
          <w:rFonts w:ascii="Arial" w:hAnsi="Arial" w:cs="Arial"/>
          <w:color w:val="7B7B7B" w:themeColor="accent3" w:themeShade="BF"/>
          <w:sz w:val="22"/>
          <w:szCs w:val="22"/>
          <w:lang w:val="en-GB"/>
        </w:rPr>
      </w:pPr>
    </w:p>
    <w:p w14:paraId="17422958" w14:textId="59816688" w:rsidR="00675671" w:rsidRDefault="0067567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Law recognizes some separate type of </w:t>
      </w:r>
      <w:r w:rsidR="003A2914">
        <w:rPr>
          <w:rFonts w:ascii="Arial" w:hAnsi="Arial" w:cs="Arial"/>
          <w:color w:val="7B7B7B" w:themeColor="accent3" w:themeShade="BF"/>
          <w:sz w:val="22"/>
          <w:szCs w:val="22"/>
          <w:lang w:val="en-GB"/>
        </w:rPr>
        <w:t>securities</w:t>
      </w:r>
      <w:r>
        <w:rPr>
          <w:rFonts w:ascii="Arial" w:hAnsi="Arial" w:cs="Arial"/>
          <w:color w:val="7B7B7B" w:themeColor="accent3" w:themeShade="BF"/>
          <w:sz w:val="22"/>
          <w:szCs w:val="22"/>
          <w:lang w:val="en-GB"/>
        </w:rPr>
        <w:t xml:space="preserve"> </w:t>
      </w:r>
      <w:r w:rsidR="006866FF">
        <w:rPr>
          <w:rFonts w:ascii="Arial" w:hAnsi="Arial" w:cs="Arial"/>
          <w:color w:val="7B7B7B" w:themeColor="accent3" w:themeShade="BF"/>
          <w:sz w:val="22"/>
          <w:szCs w:val="22"/>
          <w:lang w:val="en-GB"/>
        </w:rPr>
        <w:t>some of whom</w:t>
      </w:r>
      <w:r>
        <w:rPr>
          <w:rFonts w:ascii="Arial" w:hAnsi="Arial" w:cs="Arial"/>
          <w:color w:val="7B7B7B" w:themeColor="accent3" w:themeShade="BF"/>
          <w:sz w:val="22"/>
          <w:szCs w:val="22"/>
          <w:lang w:val="en-GB"/>
        </w:rPr>
        <w:t xml:space="preserve"> can prevail over general liens. Such are (i) Privilegi generali – over movable goods, (ii) Privilegi speciali – over movable and immovable goods and (iii) Privilegi speciali under article 46 of legislative decree 385/1993 (only available to banks, similar to </w:t>
      </w:r>
      <w:r w:rsidR="003A2914">
        <w:rPr>
          <w:rFonts w:ascii="Arial" w:hAnsi="Arial" w:cs="Arial"/>
          <w:color w:val="7B7B7B" w:themeColor="accent3" w:themeShade="BF"/>
          <w:sz w:val="22"/>
          <w:szCs w:val="22"/>
          <w:lang w:val="en-GB"/>
        </w:rPr>
        <w:t>floating</w:t>
      </w:r>
      <w:r>
        <w:rPr>
          <w:rFonts w:ascii="Arial" w:hAnsi="Arial" w:cs="Arial"/>
          <w:color w:val="7B7B7B" w:themeColor="accent3" w:themeShade="BF"/>
          <w:sz w:val="22"/>
          <w:szCs w:val="22"/>
          <w:lang w:val="en-GB"/>
        </w:rPr>
        <w:t xml:space="preserve"> charge, but restricted in regards to time frame).</w:t>
      </w:r>
    </w:p>
    <w:p w14:paraId="5D6820AC" w14:textId="7EBA56B9" w:rsidR="00675671" w:rsidRDefault="00675671" w:rsidP="002A37BB">
      <w:pPr>
        <w:jc w:val="both"/>
        <w:rPr>
          <w:rFonts w:ascii="Arial" w:hAnsi="Arial" w:cs="Arial"/>
          <w:color w:val="7B7B7B" w:themeColor="accent3" w:themeShade="BF"/>
          <w:sz w:val="22"/>
          <w:szCs w:val="22"/>
          <w:lang w:val="en-GB"/>
        </w:rPr>
      </w:pPr>
    </w:p>
    <w:p w14:paraId="4D9DFB28" w14:textId="513300A1" w:rsidR="00675671" w:rsidRDefault="0067567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Pledges prevail </w:t>
      </w:r>
      <w:r w:rsidR="006866FF">
        <w:rPr>
          <w:rFonts w:ascii="Arial" w:hAnsi="Arial" w:cs="Arial"/>
          <w:color w:val="7B7B7B" w:themeColor="accent3" w:themeShade="BF"/>
          <w:sz w:val="22"/>
          <w:szCs w:val="22"/>
          <w:lang w:val="en-GB"/>
        </w:rPr>
        <w:t xml:space="preserve">over special liens on movable goods unless </w:t>
      </w:r>
      <w:r w:rsidR="003A2914">
        <w:rPr>
          <w:rFonts w:ascii="Arial" w:hAnsi="Arial" w:cs="Arial"/>
          <w:color w:val="7B7B7B" w:themeColor="accent3" w:themeShade="BF"/>
          <w:sz w:val="22"/>
          <w:szCs w:val="22"/>
          <w:lang w:val="en-GB"/>
        </w:rPr>
        <w:t>pledgee</w:t>
      </w:r>
      <w:r w:rsidR="006866FF">
        <w:rPr>
          <w:rFonts w:ascii="Arial" w:hAnsi="Arial" w:cs="Arial"/>
          <w:color w:val="7B7B7B" w:themeColor="accent3" w:themeShade="BF"/>
          <w:sz w:val="22"/>
          <w:szCs w:val="22"/>
          <w:lang w:val="en-GB"/>
        </w:rPr>
        <w:t xml:space="preserve"> knew the existence of special lien and acted in bad faith. Special liens are on the other side preferred to mortgages. This is per Article 2748 (er seq.) of Civil Code.</w:t>
      </w:r>
    </w:p>
    <w:p w14:paraId="373E46EF" w14:textId="6B34233A" w:rsidR="006866FF" w:rsidRDefault="006866FF" w:rsidP="002A37BB">
      <w:pPr>
        <w:jc w:val="both"/>
        <w:rPr>
          <w:rFonts w:ascii="Arial" w:hAnsi="Arial" w:cs="Arial"/>
          <w:color w:val="7B7B7B" w:themeColor="accent3" w:themeShade="BF"/>
          <w:sz w:val="22"/>
          <w:szCs w:val="22"/>
          <w:lang w:val="en-GB"/>
        </w:rPr>
      </w:pPr>
    </w:p>
    <w:p w14:paraId="4A385132" w14:textId="177CAE34" w:rsidR="006866FF" w:rsidRDefault="006866F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it comes to determining seniority of security in case of multiple creditors, rule od “who is </w:t>
      </w:r>
      <w:r w:rsidR="003A2914">
        <w:rPr>
          <w:rFonts w:ascii="Arial" w:hAnsi="Arial" w:cs="Arial"/>
          <w:color w:val="7B7B7B" w:themeColor="accent3" w:themeShade="BF"/>
          <w:sz w:val="22"/>
          <w:szCs w:val="22"/>
          <w:lang w:val="en-GB"/>
        </w:rPr>
        <w:t>earlier</w:t>
      </w:r>
      <w:r>
        <w:rPr>
          <w:rFonts w:ascii="Arial" w:hAnsi="Arial" w:cs="Arial"/>
          <w:color w:val="7B7B7B" w:themeColor="accent3" w:themeShade="BF"/>
          <w:sz w:val="22"/>
          <w:szCs w:val="22"/>
          <w:lang w:val="en-GB"/>
        </w:rPr>
        <w:t xml:space="preserve"> in time he is stronger in law”. </w:t>
      </w:r>
    </w:p>
    <w:p w14:paraId="1364137F" w14:textId="014CB892" w:rsidR="006866FF" w:rsidRDefault="006866FF" w:rsidP="002A37BB">
      <w:pPr>
        <w:jc w:val="both"/>
        <w:rPr>
          <w:rFonts w:ascii="Arial" w:hAnsi="Arial" w:cs="Arial"/>
          <w:color w:val="7B7B7B" w:themeColor="accent3" w:themeShade="BF"/>
          <w:sz w:val="22"/>
          <w:szCs w:val="22"/>
          <w:lang w:val="en-GB"/>
        </w:rPr>
      </w:pPr>
    </w:p>
    <w:p w14:paraId="77517850" w14:textId="740DA0B8" w:rsidR="006866FF" w:rsidRDefault="006866F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also preferences available to some creditors which are not securities in themselves, but provide respected creditors priority over unsecured creditors.</w:t>
      </w:r>
    </w:p>
    <w:p w14:paraId="0E4658C2" w14:textId="3BC7B38A" w:rsidR="00B5295A" w:rsidRDefault="00B5295A" w:rsidP="002A37BB">
      <w:pPr>
        <w:jc w:val="both"/>
        <w:rPr>
          <w:rFonts w:ascii="Arial" w:hAnsi="Arial" w:cs="Arial"/>
          <w:color w:val="7B7B7B" w:themeColor="accent3" w:themeShade="BF"/>
          <w:sz w:val="22"/>
          <w:szCs w:val="22"/>
          <w:lang w:val="en-GB"/>
        </w:rPr>
      </w:pPr>
    </w:p>
    <w:p w14:paraId="773F7D49" w14:textId="67680B3C" w:rsidR="00B5295A" w:rsidRDefault="006866FF" w:rsidP="002A37BB">
      <w:pPr>
        <w:jc w:val="both"/>
        <w:rPr>
          <w:rFonts w:ascii="Arial" w:hAnsi="Arial" w:cs="Arial"/>
          <w:color w:val="7B7B7B" w:themeColor="accent3" w:themeShade="BF"/>
          <w:sz w:val="22"/>
          <w:szCs w:val="22"/>
          <w:lang w:val="en-GB"/>
        </w:rPr>
      </w:pPr>
      <w:r w:rsidRPr="006866FF">
        <w:rPr>
          <w:rFonts w:ascii="Arial" w:hAnsi="Arial" w:cs="Arial"/>
          <w:color w:val="7B7B7B" w:themeColor="accent3" w:themeShade="BF"/>
          <w:sz w:val="22"/>
          <w:szCs w:val="22"/>
          <w:lang w:val="en-GB"/>
        </w:rPr>
        <w:lastRenderedPageBreak/>
        <w:t xml:space="preserve">Securities </w:t>
      </w:r>
      <w:r>
        <w:rPr>
          <w:rFonts w:ascii="Arial" w:hAnsi="Arial" w:cs="Arial"/>
          <w:color w:val="7B7B7B" w:themeColor="accent3" w:themeShade="BF"/>
          <w:sz w:val="22"/>
          <w:szCs w:val="22"/>
          <w:lang w:val="en-GB"/>
        </w:rPr>
        <w:t xml:space="preserve">usually asked/granted to make </w:t>
      </w:r>
      <w:r w:rsidR="009F24A1">
        <w:rPr>
          <w:rFonts w:ascii="Arial" w:hAnsi="Arial" w:cs="Arial"/>
          <w:color w:val="7B7B7B" w:themeColor="accent3" w:themeShade="BF"/>
          <w:sz w:val="22"/>
          <w:szCs w:val="22"/>
          <w:lang w:val="en-GB"/>
        </w:rPr>
        <w:t>creditors</w:t>
      </w:r>
      <w:r>
        <w:rPr>
          <w:rFonts w:ascii="Arial" w:hAnsi="Arial" w:cs="Arial"/>
          <w:color w:val="7B7B7B" w:themeColor="accent3" w:themeShade="BF"/>
          <w:sz w:val="22"/>
          <w:szCs w:val="22"/>
          <w:lang w:val="en-GB"/>
        </w:rPr>
        <w:t xml:space="preserve"> position “stronger” don’t guarantee that position to creditor if they were given in “insolvency </w:t>
      </w:r>
      <w:r w:rsidR="009F24A1">
        <w:rPr>
          <w:rFonts w:ascii="Arial" w:hAnsi="Arial" w:cs="Arial"/>
          <w:color w:val="7B7B7B" w:themeColor="accent3" w:themeShade="BF"/>
          <w:sz w:val="22"/>
          <w:szCs w:val="22"/>
          <w:lang w:val="en-GB"/>
        </w:rPr>
        <w:t>suspectant</w:t>
      </w:r>
      <w:r>
        <w:rPr>
          <w:rFonts w:ascii="Arial" w:hAnsi="Arial" w:cs="Arial"/>
          <w:color w:val="7B7B7B" w:themeColor="accent3" w:themeShade="BF"/>
          <w:sz w:val="22"/>
          <w:szCs w:val="22"/>
          <w:lang w:val="en-GB"/>
        </w:rPr>
        <w:t xml:space="preserve">” time, for they can be </w:t>
      </w:r>
      <w:r w:rsidR="003A2914">
        <w:rPr>
          <w:rFonts w:ascii="Arial" w:hAnsi="Arial" w:cs="Arial"/>
          <w:color w:val="7B7B7B" w:themeColor="accent3" w:themeShade="BF"/>
          <w:sz w:val="22"/>
          <w:szCs w:val="22"/>
          <w:lang w:val="en-GB"/>
        </w:rPr>
        <w:t>a</w:t>
      </w:r>
      <w:r w:rsidR="003A2914" w:rsidRPr="006866FF">
        <w:rPr>
          <w:rFonts w:ascii="Arial" w:hAnsi="Arial" w:cs="Arial"/>
          <w:color w:val="7B7B7B" w:themeColor="accent3" w:themeShade="BF"/>
          <w:sz w:val="22"/>
          <w:szCs w:val="22"/>
          <w:lang w:val="en-GB"/>
        </w:rPr>
        <w:t>voided</w:t>
      </w:r>
      <w:r w:rsidRPr="006866F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Time frame is different for payable (due) and not-payable claims</w:t>
      </w:r>
      <w:r w:rsidR="009F24A1">
        <w:rPr>
          <w:rFonts w:ascii="Arial" w:hAnsi="Arial" w:cs="Arial"/>
          <w:color w:val="7B7B7B" w:themeColor="accent3" w:themeShade="BF"/>
          <w:sz w:val="22"/>
          <w:szCs w:val="22"/>
          <w:lang w:val="en-GB"/>
        </w:rPr>
        <w:t xml:space="preserve"> at the moment of establishing security relevant to declaration of insolvency, one year before for the first, and six months for the latter. If the security was granted at that time, insolvency </w:t>
      </w:r>
      <w:r w:rsidR="003A2914">
        <w:rPr>
          <w:rFonts w:ascii="Arial" w:hAnsi="Arial" w:cs="Arial"/>
          <w:color w:val="7B7B7B" w:themeColor="accent3" w:themeShade="BF"/>
          <w:sz w:val="22"/>
          <w:szCs w:val="22"/>
          <w:lang w:val="en-GB"/>
        </w:rPr>
        <w:t>practitioner</w:t>
      </w:r>
      <w:r w:rsidR="009F24A1">
        <w:rPr>
          <w:rFonts w:ascii="Arial" w:hAnsi="Arial" w:cs="Arial"/>
          <w:color w:val="7B7B7B" w:themeColor="accent3" w:themeShade="BF"/>
          <w:sz w:val="22"/>
          <w:szCs w:val="22"/>
          <w:lang w:val="en-GB"/>
        </w:rPr>
        <w:t>/trustee can file a petition on behalf of creditors.</w:t>
      </w:r>
    </w:p>
    <w:p w14:paraId="37FD64EF" w14:textId="0F15E69D" w:rsidR="006866FF" w:rsidRDefault="006866FF" w:rsidP="002A37BB">
      <w:pPr>
        <w:jc w:val="both"/>
        <w:rPr>
          <w:rFonts w:ascii="Arial" w:hAnsi="Arial" w:cs="Arial"/>
          <w:color w:val="7B7B7B" w:themeColor="accent3" w:themeShade="BF"/>
          <w:sz w:val="22"/>
          <w:szCs w:val="22"/>
          <w:lang w:val="en-GB"/>
        </w:rPr>
      </w:pPr>
    </w:p>
    <w:p w14:paraId="563CDAF1" w14:textId="6D443466" w:rsidR="006866FF" w:rsidRDefault="006866F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Sale and lease back, </w:t>
      </w:r>
      <w:r w:rsidR="009F24A1">
        <w:rPr>
          <w:rFonts w:ascii="Arial" w:hAnsi="Arial" w:cs="Arial"/>
          <w:color w:val="7B7B7B" w:themeColor="accent3" w:themeShade="BF"/>
          <w:sz w:val="22"/>
          <w:szCs w:val="22"/>
          <w:lang w:val="en-GB"/>
        </w:rPr>
        <w:t xml:space="preserve">factoring </w:t>
      </w:r>
      <w:r>
        <w:rPr>
          <w:rFonts w:ascii="Arial" w:hAnsi="Arial" w:cs="Arial"/>
          <w:color w:val="7B7B7B" w:themeColor="accent3" w:themeShade="BF"/>
          <w:sz w:val="22"/>
          <w:szCs w:val="22"/>
          <w:lang w:val="en-GB"/>
        </w:rPr>
        <w:t>and retention of title contracts create what is called “quasi” securities</w:t>
      </w:r>
      <w:r w:rsidR="009F24A1">
        <w:rPr>
          <w:rFonts w:ascii="Arial" w:hAnsi="Arial" w:cs="Arial"/>
          <w:color w:val="7B7B7B" w:themeColor="accent3" w:themeShade="BF"/>
          <w:sz w:val="22"/>
          <w:szCs w:val="22"/>
          <w:lang w:val="en-GB"/>
        </w:rPr>
        <w:t xml:space="preserve">. They are not named </w:t>
      </w:r>
      <w:r w:rsidR="003A2914">
        <w:rPr>
          <w:rFonts w:ascii="Arial" w:hAnsi="Arial" w:cs="Arial"/>
          <w:color w:val="7B7B7B" w:themeColor="accent3" w:themeShade="BF"/>
          <w:sz w:val="22"/>
          <w:szCs w:val="22"/>
          <w:lang w:val="en-GB"/>
        </w:rPr>
        <w:t>securities</w:t>
      </w:r>
      <w:r w:rsidR="009F24A1">
        <w:rPr>
          <w:rFonts w:ascii="Arial" w:hAnsi="Arial" w:cs="Arial"/>
          <w:color w:val="7B7B7B" w:themeColor="accent3" w:themeShade="BF"/>
          <w:sz w:val="22"/>
          <w:szCs w:val="22"/>
          <w:lang w:val="en-GB"/>
        </w:rPr>
        <w:t xml:space="preserve">, but they provide for “effect” like securities. Factoring is reserved for banks as per Civil code, and </w:t>
      </w:r>
      <w:r w:rsidR="003A2914">
        <w:rPr>
          <w:rFonts w:ascii="Arial" w:hAnsi="Arial" w:cs="Arial"/>
          <w:color w:val="7B7B7B" w:themeColor="accent3" w:themeShade="BF"/>
          <w:sz w:val="22"/>
          <w:szCs w:val="22"/>
          <w:lang w:val="en-GB"/>
        </w:rPr>
        <w:t>Consolidated</w:t>
      </w:r>
      <w:r w:rsidR="009F24A1">
        <w:rPr>
          <w:rFonts w:ascii="Arial" w:hAnsi="Arial" w:cs="Arial"/>
          <w:color w:val="7B7B7B" w:themeColor="accent3" w:themeShade="BF"/>
          <w:sz w:val="22"/>
          <w:szCs w:val="22"/>
          <w:lang w:val="en-GB"/>
        </w:rPr>
        <w:t xml:space="preserve"> Banking Act, while contracts wit ROT clauses must be in written form with certified date and in some cases registered in order to have effect on other creditors.</w:t>
      </w:r>
    </w:p>
    <w:p w14:paraId="447A68FE" w14:textId="271AB676" w:rsidR="009F24A1" w:rsidRDefault="009F24A1" w:rsidP="002A37BB">
      <w:pPr>
        <w:jc w:val="both"/>
        <w:rPr>
          <w:rFonts w:ascii="Arial" w:hAnsi="Arial" w:cs="Arial"/>
          <w:color w:val="7B7B7B" w:themeColor="accent3" w:themeShade="BF"/>
          <w:sz w:val="22"/>
          <w:szCs w:val="22"/>
          <w:lang w:val="en-GB"/>
        </w:rPr>
      </w:pPr>
    </w:p>
    <w:p w14:paraId="46D68CB5" w14:textId="5013A7E5" w:rsidR="009F24A1" w:rsidRDefault="009F24A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also preferred creditors which are paid first and their status is regulated/given only by Law and cannot be established contractually. These are for example money owned for funerals, personal maintenance, money owned to government for VAT, money owned to employees for </w:t>
      </w:r>
      <w:r w:rsidR="003A2914">
        <w:rPr>
          <w:rFonts w:ascii="Arial" w:hAnsi="Arial" w:cs="Arial"/>
          <w:color w:val="7B7B7B" w:themeColor="accent3" w:themeShade="BF"/>
          <w:sz w:val="22"/>
          <w:szCs w:val="22"/>
          <w:lang w:val="en-GB"/>
        </w:rPr>
        <w:t>wage</w:t>
      </w:r>
      <w:r w:rsidR="007F38E8">
        <w:rPr>
          <w:rFonts w:ascii="Arial" w:hAnsi="Arial" w:cs="Arial"/>
          <w:color w:val="7B7B7B" w:themeColor="accent3" w:themeShade="BF"/>
          <w:sz w:val="22"/>
          <w:szCs w:val="22"/>
          <w:lang w:val="en-GB"/>
        </w:rPr>
        <w:t>s and judicial expanses.</w:t>
      </w:r>
    </w:p>
    <w:p w14:paraId="1D1CE0E6" w14:textId="77EC8FD3" w:rsidR="007F38E8" w:rsidRDefault="007F38E8" w:rsidP="002A37BB">
      <w:pPr>
        <w:jc w:val="both"/>
        <w:rPr>
          <w:rFonts w:ascii="Arial" w:hAnsi="Arial" w:cs="Arial"/>
          <w:color w:val="7B7B7B" w:themeColor="accent3" w:themeShade="BF"/>
          <w:sz w:val="22"/>
          <w:szCs w:val="22"/>
          <w:lang w:val="en-GB"/>
        </w:rPr>
      </w:pPr>
    </w:p>
    <w:p w14:paraId="11F89982" w14:textId="10624316" w:rsidR="007F38E8" w:rsidRPr="006866FF" w:rsidRDefault="007610A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Before</w:t>
      </w:r>
      <w:r w:rsidR="007F38E8">
        <w:rPr>
          <w:rFonts w:ascii="Arial" w:hAnsi="Arial" w:cs="Arial"/>
          <w:color w:val="7B7B7B" w:themeColor="accent3" w:themeShade="BF"/>
          <w:sz w:val="22"/>
          <w:szCs w:val="22"/>
          <w:lang w:val="en-GB"/>
        </w:rPr>
        <w:t xml:space="preserve"> all of these</w:t>
      </w:r>
      <w:r>
        <w:rPr>
          <w:rFonts w:ascii="Arial" w:hAnsi="Arial" w:cs="Arial"/>
          <w:color w:val="7B7B7B" w:themeColor="accent3" w:themeShade="BF"/>
          <w:sz w:val="22"/>
          <w:szCs w:val="22"/>
          <w:lang w:val="en-GB"/>
        </w:rPr>
        <w:t xml:space="preserve"> aforementioned</w:t>
      </w:r>
      <w:r w:rsidR="007F38E8">
        <w:rPr>
          <w:rFonts w:ascii="Arial" w:hAnsi="Arial" w:cs="Arial"/>
          <w:color w:val="7B7B7B" w:themeColor="accent3" w:themeShade="BF"/>
          <w:sz w:val="22"/>
          <w:szCs w:val="22"/>
          <w:lang w:val="en-GB"/>
        </w:rPr>
        <w:t>, special priority have post</w:t>
      </w:r>
      <w:r>
        <w:rPr>
          <w:rFonts w:ascii="Arial" w:hAnsi="Arial" w:cs="Arial"/>
          <w:color w:val="7B7B7B" w:themeColor="accent3" w:themeShade="BF"/>
          <w:sz w:val="22"/>
          <w:szCs w:val="22"/>
          <w:lang w:val="en-GB"/>
        </w:rPr>
        <w:t>-</w:t>
      </w:r>
      <w:r w:rsidR="008B47CF">
        <w:rPr>
          <w:rFonts w:ascii="Arial" w:hAnsi="Arial" w:cs="Arial"/>
          <w:color w:val="7B7B7B" w:themeColor="accent3" w:themeShade="BF"/>
          <w:sz w:val="22"/>
          <w:szCs w:val="22"/>
          <w:lang w:val="en-GB"/>
        </w:rPr>
        <w:t>adjudication</w:t>
      </w:r>
      <w:r w:rsidR="007F38E8">
        <w:rPr>
          <w:rFonts w:ascii="Arial" w:hAnsi="Arial" w:cs="Arial"/>
          <w:color w:val="7B7B7B" w:themeColor="accent3" w:themeShade="BF"/>
          <w:sz w:val="22"/>
          <w:szCs w:val="22"/>
          <w:lang w:val="en-GB"/>
        </w:rPr>
        <w:t xml:space="preserve"> creditors whose claims have </w:t>
      </w:r>
      <w:r w:rsidR="008B47CF">
        <w:rPr>
          <w:rFonts w:ascii="Arial" w:hAnsi="Arial" w:cs="Arial"/>
          <w:color w:val="7B7B7B" w:themeColor="accent3" w:themeShade="BF"/>
          <w:sz w:val="22"/>
          <w:szCs w:val="22"/>
          <w:lang w:val="en-GB"/>
        </w:rPr>
        <w:t>arisen</w:t>
      </w:r>
      <w:r w:rsidR="007F38E8">
        <w:rPr>
          <w:rFonts w:ascii="Arial" w:hAnsi="Arial" w:cs="Arial"/>
          <w:color w:val="7B7B7B" w:themeColor="accent3" w:themeShade="BF"/>
          <w:sz w:val="22"/>
          <w:szCs w:val="22"/>
          <w:lang w:val="en-GB"/>
        </w:rPr>
        <w:t xml:space="preserve"> </w:t>
      </w:r>
      <w:r w:rsidR="008B47CF">
        <w:rPr>
          <w:rFonts w:ascii="Arial" w:hAnsi="Arial" w:cs="Arial"/>
          <w:color w:val="7B7B7B" w:themeColor="accent3" w:themeShade="BF"/>
          <w:sz w:val="22"/>
          <w:szCs w:val="22"/>
          <w:lang w:val="en-GB"/>
        </w:rPr>
        <w:t>after</w:t>
      </w:r>
      <w:r w:rsidR="007F38E8">
        <w:rPr>
          <w:rFonts w:ascii="Arial" w:hAnsi="Arial" w:cs="Arial"/>
          <w:color w:val="7B7B7B" w:themeColor="accent3" w:themeShade="BF"/>
          <w:sz w:val="22"/>
          <w:szCs w:val="22"/>
          <w:lang w:val="en-GB"/>
        </w:rPr>
        <w:t xml:space="preserve"> </w:t>
      </w:r>
      <w:r w:rsidR="008B47CF">
        <w:rPr>
          <w:rFonts w:ascii="Arial" w:hAnsi="Arial" w:cs="Arial"/>
          <w:color w:val="7B7B7B" w:themeColor="accent3" w:themeShade="BF"/>
          <w:sz w:val="22"/>
          <w:szCs w:val="22"/>
          <w:lang w:val="en-GB"/>
        </w:rPr>
        <w:t>formal</w:t>
      </w:r>
      <w:r w:rsidR="007F38E8">
        <w:rPr>
          <w:rFonts w:ascii="Arial" w:hAnsi="Arial" w:cs="Arial"/>
          <w:color w:val="7B7B7B" w:themeColor="accent3" w:themeShade="BF"/>
          <w:sz w:val="22"/>
          <w:szCs w:val="22"/>
          <w:lang w:val="en-GB"/>
        </w:rPr>
        <w:t xml:space="preserve"> commencement </w:t>
      </w:r>
      <w:r w:rsidR="008B47CF">
        <w:rPr>
          <w:rFonts w:ascii="Arial" w:hAnsi="Arial" w:cs="Arial"/>
          <w:color w:val="7B7B7B" w:themeColor="accent3" w:themeShade="BF"/>
          <w:sz w:val="22"/>
          <w:szCs w:val="22"/>
          <w:lang w:val="en-GB"/>
        </w:rPr>
        <w:t>of</w:t>
      </w:r>
      <w:r w:rsidR="007F38E8">
        <w:rPr>
          <w:rFonts w:ascii="Arial" w:hAnsi="Arial" w:cs="Arial"/>
          <w:color w:val="7B7B7B" w:themeColor="accent3" w:themeShade="BF"/>
          <w:sz w:val="22"/>
          <w:szCs w:val="22"/>
          <w:lang w:val="en-GB"/>
        </w:rPr>
        <w:t xml:space="preserve"> insolvency proceedings. These claims </w:t>
      </w:r>
      <w:r w:rsidR="008B47CF">
        <w:rPr>
          <w:rFonts w:ascii="Arial" w:hAnsi="Arial" w:cs="Arial"/>
          <w:color w:val="7B7B7B" w:themeColor="accent3" w:themeShade="BF"/>
          <w:sz w:val="22"/>
          <w:szCs w:val="22"/>
          <w:lang w:val="en-GB"/>
        </w:rPr>
        <w:t>include</w:t>
      </w:r>
      <w:r w:rsidR="007F38E8">
        <w:rPr>
          <w:rFonts w:ascii="Arial" w:hAnsi="Arial" w:cs="Arial"/>
          <w:color w:val="7B7B7B" w:themeColor="accent3" w:themeShade="BF"/>
          <w:sz w:val="22"/>
          <w:szCs w:val="22"/>
          <w:lang w:val="en-GB"/>
        </w:rPr>
        <w:t xml:space="preserve">: (i) office holders fees and expanses, (ii)costs of sale of assets, (iii) rent for debtors premises after opening of the proceedings, (iv) employees salaries and </w:t>
      </w:r>
      <w:r w:rsidR="008B47CF">
        <w:rPr>
          <w:rFonts w:ascii="Arial" w:hAnsi="Arial" w:cs="Arial"/>
          <w:color w:val="7B7B7B" w:themeColor="accent3" w:themeShade="BF"/>
          <w:sz w:val="22"/>
          <w:szCs w:val="22"/>
          <w:lang w:val="en-GB"/>
        </w:rPr>
        <w:t xml:space="preserve">social </w:t>
      </w:r>
      <w:r w:rsidR="007F38E8">
        <w:rPr>
          <w:rFonts w:ascii="Arial" w:hAnsi="Arial" w:cs="Arial"/>
          <w:color w:val="7B7B7B" w:themeColor="accent3" w:themeShade="BF"/>
          <w:sz w:val="22"/>
          <w:szCs w:val="22"/>
          <w:lang w:val="en-GB"/>
        </w:rPr>
        <w:t xml:space="preserve">security </w:t>
      </w:r>
      <w:r w:rsidR="008B47CF">
        <w:rPr>
          <w:rFonts w:ascii="Arial" w:hAnsi="Arial" w:cs="Arial"/>
          <w:color w:val="7B7B7B" w:themeColor="accent3" w:themeShade="BF"/>
          <w:sz w:val="22"/>
          <w:szCs w:val="22"/>
          <w:lang w:val="en-GB"/>
        </w:rPr>
        <w:t>payments for work provided after opening of the proceedings, (v) legal and other advisor’s fees.</w:t>
      </w:r>
    </w:p>
    <w:p w14:paraId="1D6080E2" w14:textId="77777777" w:rsidR="00D17FDC" w:rsidRDefault="00D17FDC" w:rsidP="002A37BB">
      <w:pPr>
        <w:jc w:val="both"/>
        <w:rPr>
          <w:rFonts w:ascii="Arial" w:hAnsi="Arial" w:cs="Arial"/>
          <w:sz w:val="22"/>
          <w:szCs w:val="22"/>
        </w:rPr>
      </w:pPr>
    </w:p>
    <w:p w14:paraId="1A3D2570" w14:textId="77777777" w:rsidR="004A61A7" w:rsidRPr="002A37BB" w:rsidRDefault="004A61A7" w:rsidP="002A37BB">
      <w:pPr>
        <w:jc w:val="both"/>
        <w:rPr>
          <w:rFonts w:ascii="Arial" w:hAnsi="Arial" w:cs="Arial"/>
          <w:sz w:val="22"/>
          <w:szCs w:val="22"/>
          <w:shd w:val="clear" w:color="auto" w:fill="FFFFFF"/>
        </w:rPr>
      </w:pPr>
    </w:p>
    <w:p w14:paraId="36D1EA2B"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2E113B1B" w14:textId="77777777" w:rsidR="009B0723" w:rsidRDefault="009B0723" w:rsidP="00087F21">
      <w:pPr>
        <w:jc w:val="both"/>
        <w:rPr>
          <w:rFonts w:ascii="Arial" w:hAnsi="Arial" w:cs="Arial"/>
          <w:sz w:val="22"/>
          <w:szCs w:val="22"/>
          <w:lang w:val="en-GB"/>
        </w:rPr>
      </w:pPr>
    </w:p>
    <w:p w14:paraId="66153939" w14:textId="00FCCF7F" w:rsidR="003505BA" w:rsidRDefault="003505BA" w:rsidP="003505BA">
      <w:pPr>
        <w:jc w:val="both"/>
        <w:rPr>
          <w:rFonts w:ascii="Arial" w:hAnsi="Arial" w:cs="Arial"/>
          <w:sz w:val="22"/>
          <w:szCs w:val="22"/>
          <w:lang w:val="en-GB"/>
        </w:rPr>
      </w:pPr>
      <w:r w:rsidRPr="005000F4">
        <w:rPr>
          <w:rFonts w:ascii="Arial" w:hAnsi="Arial" w:cs="Arial"/>
          <w:i/>
          <w:sz w:val="22"/>
          <w:szCs w:val="22"/>
          <w:lang w:val="en-GB"/>
        </w:rPr>
        <w:t>Buonapizza Srl</w:t>
      </w:r>
      <w:r>
        <w:rPr>
          <w:rFonts w:ascii="Arial" w:hAnsi="Arial" w:cs="Arial"/>
          <w:sz w:val="22"/>
          <w:szCs w:val="22"/>
          <w:lang w:val="en-GB"/>
        </w:rPr>
        <w:t xml:space="preserve"> (</w:t>
      </w:r>
      <w:r w:rsidR="00527988">
        <w:rPr>
          <w:rFonts w:ascii="Arial" w:hAnsi="Arial" w:cs="Arial"/>
          <w:sz w:val="22"/>
          <w:szCs w:val="22"/>
          <w:lang w:val="en-GB"/>
        </w:rPr>
        <w:t xml:space="preserve">the </w:t>
      </w:r>
      <w:r>
        <w:rPr>
          <w:rFonts w:ascii="Arial" w:hAnsi="Arial" w:cs="Arial"/>
          <w:sz w:val="22"/>
          <w:szCs w:val="22"/>
          <w:lang w:val="en-GB"/>
        </w:rPr>
        <w:t>debtor) is a company registered in Milan</w:t>
      </w:r>
      <w:r w:rsidR="00527988">
        <w:rPr>
          <w:rFonts w:ascii="Arial" w:hAnsi="Arial" w:cs="Arial"/>
          <w:sz w:val="22"/>
          <w:szCs w:val="22"/>
          <w:lang w:val="en-GB"/>
        </w:rPr>
        <w:t>,</w:t>
      </w:r>
      <w:r>
        <w:rPr>
          <w:rFonts w:ascii="Arial" w:hAnsi="Arial" w:cs="Arial"/>
          <w:sz w:val="22"/>
          <w:szCs w:val="22"/>
          <w:lang w:val="en-GB"/>
        </w:rPr>
        <w:t xml:space="preserve"> Italy. Its only factory is in Modena</w:t>
      </w:r>
      <w:r w:rsidR="00527988">
        <w:rPr>
          <w:rFonts w:ascii="Arial" w:hAnsi="Arial" w:cs="Arial"/>
          <w:sz w:val="22"/>
          <w:szCs w:val="22"/>
          <w:lang w:val="en-GB"/>
        </w:rPr>
        <w:t>,</w:t>
      </w:r>
      <w:r>
        <w:rPr>
          <w:rFonts w:ascii="Arial" w:hAnsi="Arial" w:cs="Arial"/>
          <w:sz w:val="22"/>
          <w:szCs w:val="22"/>
          <w:lang w:val="en-GB"/>
        </w:rPr>
        <w:t xml:space="preserve"> Italy</w:t>
      </w:r>
      <w:r w:rsidR="00AB692F">
        <w:rPr>
          <w:rFonts w:ascii="Arial" w:hAnsi="Arial" w:cs="Arial"/>
          <w:sz w:val="22"/>
          <w:szCs w:val="22"/>
          <w:lang w:val="en-GB"/>
        </w:rPr>
        <w:t>,</w:t>
      </w:r>
      <w:r>
        <w:rPr>
          <w:rFonts w:ascii="Arial" w:hAnsi="Arial" w:cs="Arial"/>
          <w:sz w:val="22"/>
          <w:szCs w:val="22"/>
          <w:lang w:val="en-GB"/>
        </w:rPr>
        <w:t xml:space="preserve"> </w:t>
      </w:r>
      <w:r w:rsidR="00AB692F">
        <w:rPr>
          <w:rFonts w:ascii="Arial" w:hAnsi="Arial" w:cs="Arial"/>
          <w:sz w:val="22"/>
          <w:szCs w:val="22"/>
          <w:lang w:val="en-GB"/>
        </w:rPr>
        <w:t xml:space="preserve">which is also the place </w:t>
      </w:r>
      <w:r>
        <w:rPr>
          <w:rFonts w:ascii="Arial" w:hAnsi="Arial" w:cs="Arial"/>
          <w:sz w:val="22"/>
          <w:szCs w:val="22"/>
          <w:lang w:val="en-GB"/>
        </w:rPr>
        <w:t xml:space="preserve">where the board of directors transferred the registered office to on 15 June 2017. Its main line of business consists of producing locally-sourced pizzas and selling them to large foreign grocery shops, such as </w:t>
      </w:r>
      <w:r w:rsidRPr="00672D8E">
        <w:rPr>
          <w:rFonts w:ascii="Arial" w:hAnsi="Arial" w:cs="Arial"/>
          <w:i/>
          <w:iCs/>
          <w:sz w:val="22"/>
          <w:szCs w:val="22"/>
          <w:lang w:val="en-GB"/>
        </w:rPr>
        <w:t>Tesco</w:t>
      </w:r>
      <w:r w:rsidR="00AB692F">
        <w:rPr>
          <w:rFonts w:ascii="Arial" w:hAnsi="Arial" w:cs="Arial"/>
          <w:iCs/>
          <w:sz w:val="22"/>
          <w:szCs w:val="22"/>
          <w:lang w:val="en-GB"/>
        </w:rPr>
        <w:t xml:space="preserve"> in the UK</w:t>
      </w:r>
      <w:r>
        <w:rPr>
          <w:rFonts w:ascii="Arial" w:hAnsi="Arial" w:cs="Arial"/>
          <w:sz w:val="22"/>
          <w:szCs w:val="22"/>
          <w:lang w:val="en-GB"/>
        </w:rPr>
        <w:t xml:space="preserve">. In July 2017, </w:t>
      </w:r>
      <w:r w:rsidRPr="005000F4">
        <w:rPr>
          <w:rFonts w:ascii="Arial" w:hAnsi="Arial" w:cs="Arial"/>
          <w:i/>
          <w:sz w:val="22"/>
          <w:szCs w:val="22"/>
          <w:lang w:val="en-GB"/>
        </w:rPr>
        <w:t>Buonapizza Srl</w:t>
      </w:r>
      <w:r>
        <w:rPr>
          <w:rFonts w:ascii="Arial" w:hAnsi="Arial" w:cs="Arial"/>
          <w:sz w:val="22"/>
          <w:szCs w:val="22"/>
          <w:lang w:val="en-GB"/>
        </w:rPr>
        <w:t xml:space="preserve"> ceased its operations due to industrial action and later that month filed for corporate liquidation (</w:t>
      </w:r>
      <w:r>
        <w:rPr>
          <w:rFonts w:ascii="Arial" w:hAnsi="Arial" w:cs="Arial"/>
          <w:i/>
          <w:sz w:val="22"/>
          <w:szCs w:val="22"/>
          <w:lang w:val="en-GB"/>
        </w:rPr>
        <w:t>fallimento</w:t>
      </w:r>
      <w:r>
        <w:rPr>
          <w:rFonts w:ascii="Arial" w:hAnsi="Arial" w:cs="Arial"/>
          <w:sz w:val="22"/>
          <w:szCs w:val="22"/>
          <w:lang w:val="en-GB"/>
        </w:rPr>
        <w:t xml:space="preserve">). </w:t>
      </w:r>
      <w:r w:rsidR="00B74E7F">
        <w:rPr>
          <w:rFonts w:ascii="Arial" w:hAnsi="Arial" w:cs="Arial"/>
          <w:sz w:val="22"/>
          <w:szCs w:val="22"/>
          <w:lang w:val="en-GB"/>
        </w:rPr>
        <w:t>In a</w:t>
      </w:r>
      <w:r>
        <w:rPr>
          <w:rFonts w:ascii="Arial" w:hAnsi="Arial" w:cs="Arial"/>
          <w:sz w:val="22"/>
          <w:szCs w:val="22"/>
          <w:lang w:val="en-GB"/>
        </w:rPr>
        <w:t xml:space="preserve"> judgment </w:t>
      </w:r>
      <w:r w:rsidR="00B74E7F">
        <w:rPr>
          <w:rFonts w:ascii="Arial" w:hAnsi="Arial" w:cs="Arial"/>
          <w:sz w:val="22"/>
          <w:szCs w:val="22"/>
          <w:lang w:val="en-GB"/>
        </w:rPr>
        <w:t>dated</w:t>
      </w:r>
      <w:r>
        <w:rPr>
          <w:rFonts w:ascii="Arial" w:hAnsi="Arial" w:cs="Arial"/>
          <w:sz w:val="22"/>
          <w:szCs w:val="22"/>
          <w:lang w:val="en-GB"/>
        </w:rPr>
        <w:t xml:space="preserve"> 12 August 2017, the local court in Modena opened a corporate liquidation proceeding against </w:t>
      </w:r>
      <w:r w:rsidRPr="005000F4">
        <w:rPr>
          <w:rFonts w:ascii="Arial" w:hAnsi="Arial" w:cs="Arial"/>
          <w:i/>
          <w:sz w:val="22"/>
          <w:szCs w:val="22"/>
          <w:lang w:val="en-GB"/>
        </w:rPr>
        <w:t>Buonapizza Srl</w:t>
      </w:r>
      <w:r>
        <w:rPr>
          <w:rFonts w:ascii="Arial" w:hAnsi="Arial" w:cs="Arial"/>
          <w:sz w:val="22"/>
          <w:szCs w:val="22"/>
          <w:lang w:val="en-GB"/>
        </w:rPr>
        <w:t>.</w:t>
      </w:r>
    </w:p>
    <w:p w14:paraId="5741254F" w14:textId="77777777" w:rsidR="003505BA" w:rsidRDefault="003505BA" w:rsidP="003505BA">
      <w:pPr>
        <w:ind w:left="709" w:hanging="709"/>
        <w:jc w:val="both"/>
        <w:rPr>
          <w:rFonts w:ascii="Arial" w:hAnsi="Arial" w:cs="Arial"/>
          <w:sz w:val="22"/>
          <w:szCs w:val="22"/>
          <w:lang w:val="en-GB"/>
        </w:rPr>
      </w:pPr>
    </w:p>
    <w:p w14:paraId="79412D39" w14:textId="68B7F23E" w:rsidR="003505BA" w:rsidRDefault="003505BA" w:rsidP="003505BA">
      <w:pPr>
        <w:jc w:val="both"/>
        <w:rPr>
          <w:rFonts w:ascii="Arial" w:hAnsi="Arial" w:cs="Arial"/>
          <w:sz w:val="22"/>
          <w:szCs w:val="22"/>
          <w:lang w:val="en-GB"/>
        </w:rPr>
      </w:pPr>
      <w:r>
        <w:rPr>
          <w:rFonts w:ascii="Arial" w:hAnsi="Arial" w:cs="Arial"/>
          <w:sz w:val="22"/>
          <w:szCs w:val="22"/>
          <w:lang w:val="en-GB"/>
        </w:rPr>
        <w:t>During the proceeding, it emerged that since January 2016 one of the three executive directors withheld relevant information about the company’s state of affairs</w:t>
      </w:r>
      <w:r w:rsidR="00D501F9">
        <w:rPr>
          <w:rFonts w:ascii="Arial" w:hAnsi="Arial" w:cs="Arial"/>
          <w:sz w:val="22"/>
          <w:szCs w:val="22"/>
          <w:lang w:val="en-GB"/>
        </w:rPr>
        <w:t>.</w:t>
      </w:r>
      <w:r>
        <w:rPr>
          <w:rFonts w:ascii="Arial" w:hAnsi="Arial" w:cs="Arial"/>
          <w:sz w:val="22"/>
          <w:szCs w:val="22"/>
          <w:lang w:val="en-GB"/>
        </w:rPr>
        <w:t xml:space="preserve"> </w:t>
      </w:r>
      <w:r w:rsidR="00D501F9">
        <w:rPr>
          <w:rFonts w:ascii="Arial" w:hAnsi="Arial" w:cs="Arial"/>
          <w:sz w:val="22"/>
          <w:szCs w:val="22"/>
          <w:lang w:val="en-GB"/>
        </w:rPr>
        <w:t>This director</w:t>
      </w:r>
      <w:r>
        <w:rPr>
          <w:rFonts w:ascii="Arial" w:hAnsi="Arial" w:cs="Arial"/>
          <w:sz w:val="22"/>
          <w:szCs w:val="22"/>
          <w:lang w:val="en-GB"/>
        </w:rPr>
        <w:t xml:space="preserve"> devised a complex scheme with the company’s accountant to divert funds to offshore accounts and to alter the company’s balance sheet. It was also </w:t>
      </w:r>
      <w:r w:rsidR="000168E0">
        <w:rPr>
          <w:rFonts w:ascii="Arial" w:hAnsi="Arial" w:cs="Arial"/>
          <w:sz w:val="22"/>
          <w:szCs w:val="22"/>
          <w:lang w:val="en-GB"/>
        </w:rPr>
        <w:t>established</w:t>
      </w:r>
      <w:r>
        <w:rPr>
          <w:rFonts w:ascii="Arial" w:hAnsi="Arial" w:cs="Arial"/>
          <w:sz w:val="22"/>
          <w:szCs w:val="22"/>
          <w:lang w:val="en-GB"/>
        </w:rPr>
        <w:t xml:space="preserve"> that the local court of Modena was aware of the potential insolvency </w:t>
      </w:r>
      <w:r w:rsidR="00BA3548">
        <w:rPr>
          <w:rFonts w:ascii="Arial" w:hAnsi="Arial" w:cs="Arial"/>
          <w:sz w:val="22"/>
          <w:szCs w:val="22"/>
          <w:lang w:val="en-GB"/>
        </w:rPr>
        <w:t xml:space="preserve">of the company </w:t>
      </w:r>
      <w:r>
        <w:rPr>
          <w:rFonts w:ascii="Arial" w:hAnsi="Arial" w:cs="Arial"/>
          <w:sz w:val="22"/>
          <w:szCs w:val="22"/>
          <w:lang w:val="en-GB"/>
        </w:rPr>
        <w:t xml:space="preserve">since January 2017, when this emerged during an executory action </w:t>
      </w:r>
      <w:r w:rsidR="00BA3548">
        <w:rPr>
          <w:rFonts w:ascii="Arial" w:hAnsi="Arial" w:cs="Arial"/>
          <w:sz w:val="22"/>
          <w:szCs w:val="22"/>
          <w:lang w:val="en-GB"/>
        </w:rPr>
        <w:t>by</w:t>
      </w:r>
      <w:r>
        <w:rPr>
          <w:rFonts w:ascii="Arial" w:hAnsi="Arial" w:cs="Arial"/>
          <w:sz w:val="22"/>
          <w:szCs w:val="22"/>
          <w:lang w:val="en-GB"/>
        </w:rPr>
        <w:t xml:space="preserve"> one of the company’s creditors. </w:t>
      </w:r>
    </w:p>
    <w:p w14:paraId="5470E8A1" w14:textId="77777777" w:rsidR="003505BA" w:rsidRDefault="003505BA" w:rsidP="003505BA">
      <w:pPr>
        <w:ind w:left="709" w:hanging="709"/>
        <w:jc w:val="both"/>
        <w:rPr>
          <w:rFonts w:ascii="Arial" w:hAnsi="Arial" w:cs="Arial"/>
          <w:sz w:val="22"/>
          <w:szCs w:val="22"/>
          <w:lang w:val="en-GB"/>
        </w:rPr>
      </w:pPr>
    </w:p>
    <w:p w14:paraId="0A994B53" w14:textId="77777777" w:rsidR="003505BA" w:rsidRDefault="003505BA" w:rsidP="003505BA">
      <w:pPr>
        <w:jc w:val="both"/>
        <w:rPr>
          <w:rFonts w:ascii="Arial" w:hAnsi="Arial" w:cs="Arial"/>
          <w:sz w:val="22"/>
          <w:szCs w:val="22"/>
          <w:lang w:val="en-GB"/>
        </w:rPr>
      </w:pPr>
      <w:r>
        <w:rPr>
          <w:rFonts w:ascii="Arial" w:hAnsi="Arial" w:cs="Arial"/>
          <w:sz w:val="22"/>
          <w:szCs w:val="22"/>
          <w:lang w:val="en-GB"/>
        </w:rPr>
        <w:t xml:space="preserve">Finally, as part of the liquidation procedure the receiver organised an auction for the sale of the company’s assets, including a plot of land crossed by a river that was given as collateral to </w:t>
      </w:r>
      <w:r w:rsidRPr="00EC6F96">
        <w:rPr>
          <w:rFonts w:ascii="Arial" w:hAnsi="Arial" w:cs="Arial"/>
          <w:iCs/>
          <w:sz w:val="22"/>
          <w:szCs w:val="22"/>
          <w:lang w:val="en-GB"/>
        </w:rPr>
        <w:t>Tesco</w:t>
      </w:r>
      <w:r>
        <w:rPr>
          <w:rFonts w:ascii="Arial" w:hAnsi="Arial" w:cs="Arial"/>
          <w:sz w:val="22"/>
          <w:szCs w:val="22"/>
          <w:lang w:val="en-GB"/>
        </w:rPr>
        <w:t>.</w:t>
      </w:r>
    </w:p>
    <w:p w14:paraId="35EB52AB" w14:textId="77777777" w:rsidR="003505BA" w:rsidRDefault="003505BA" w:rsidP="003505BA">
      <w:pPr>
        <w:jc w:val="both"/>
        <w:rPr>
          <w:rFonts w:ascii="Arial" w:hAnsi="Arial" w:cs="Arial"/>
          <w:sz w:val="22"/>
          <w:szCs w:val="22"/>
          <w:lang w:val="en-GB"/>
        </w:rPr>
      </w:pPr>
    </w:p>
    <w:p w14:paraId="1FCF47B5" w14:textId="22A29727" w:rsidR="004A61A7" w:rsidRPr="002A37BB" w:rsidRDefault="003505BA" w:rsidP="00087F21">
      <w:pPr>
        <w:jc w:val="both"/>
        <w:rPr>
          <w:rFonts w:ascii="Arial" w:hAnsi="Arial" w:cs="Arial"/>
          <w:sz w:val="22"/>
          <w:szCs w:val="22"/>
          <w:lang w:val="en-GB"/>
        </w:rPr>
      </w:pPr>
      <w:r>
        <w:rPr>
          <w:rFonts w:ascii="Arial" w:hAnsi="Arial" w:cs="Arial"/>
          <w:sz w:val="22"/>
          <w:szCs w:val="22"/>
          <w:lang w:val="en-GB"/>
        </w:rPr>
        <w:t xml:space="preserve">The legal representative from </w:t>
      </w:r>
      <w:r w:rsidRPr="00BA3548">
        <w:rPr>
          <w:rFonts w:ascii="Arial" w:hAnsi="Arial" w:cs="Arial"/>
          <w:iCs/>
          <w:sz w:val="22"/>
          <w:szCs w:val="22"/>
          <w:lang w:val="en-GB"/>
        </w:rPr>
        <w:t>Tesco</w:t>
      </w:r>
      <w:r>
        <w:rPr>
          <w:rFonts w:ascii="Arial" w:hAnsi="Arial" w:cs="Arial"/>
          <w:sz w:val="22"/>
          <w:szCs w:val="22"/>
          <w:lang w:val="en-GB"/>
        </w:rPr>
        <w:t xml:space="preserve">, one of </w:t>
      </w:r>
      <w:r>
        <w:rPr>
          <w:rFonts w:ascii="Arial" w:hAnsi="Arial" w:cs="Arial"/>
          <w:i/>
          <w:sz w:val="22"/>
          <w:szCs w:val="22"/>
          <w:lang w:val="en-GB"/>
        </w:rPr>
        <w:t>Buonapizza Srl</w:t>
      </w:r>
      <w:r w:rsidR="00BA3548">
        <w:rPr>
          <w:rFonts w:ascii="Arial" w:hAnsi="Arial" w:cs="Arial"/>
          <w:sz w:val="22"/>
          <w:szCs w:val="22"/>
          <w:lang w:val="en-GB"/>
        </w:rPr>
        <w:t>’</w:t>
      </w:r>
      <w:r>
        <w:rPr>
          <w:rFonts w:ascii="Arial" w:hAnsi="Arial" w:cs="Arial"/>
          <w:sz w:val="22"/>
          <w:szCs w:val="22"/>
          <w:lang w:val="en-GB"/>
        </w:rPr>
        <w:t xml:space="preserve">s creditors, comes to your </w:t>
      </w:r>
      <w:r w:rsidR="002778E6">
        <w:rPr>
          <w:rFonts w:ascii="Arial" w:hAnsi="Arial" w:cs="Arial"/>
          <w:sz w:val="22"/>
          <w:szCs w:val="22"/>
          <w:lang w:val="en-GB"/>
        </w:rPr>
        <w:t>offices and raises the issues below with you.</w:t>
      </w:r>
    </w:p>
    <w:p w14:paraId="6DFEBF92" w14:textId="77777777" w:rsidR="00087F21" w:rsidRDefault="00087F21" w:rsidP="00087F21">
      <w:pPr>
        <w:jc w:val="both"/>
        <w:rPr>
          <w:rFonts w:ascii="Arial" w:hAnsi="Arial" w:cs="Arial"/>
          <w:sz w:val="22"/>
          <w:szCs w:val="22"/>
          <w:lang w:val="en-GB"/>
        </w:rPr>
      </w:pPr>
      <w:bookmarkStart w:id="0" w:name="_Hlk17745211"/>
    </w:p>
    <w:p w14:paraId="6108358E" w14:textId="77777777" w:rsidR="003505BA" w:rsidRPr="003505BA" w:rsidRDefault="001D29C0" w:rsidP="003505BA">
      <w:pPr>
        <w:jc w:val="both"/>
        <w:rPr>
          <w:rFonts w:ascii="Arial" w:hAnsi="Arial" w:cs="Arial"/>
          <w:b/>
          <w:sz w:val="22"/>
          <w:szCs w:val="22"/>
          <w:u w:val="single"/>
          <w:lang w:val="en-GB"/>
        </w:rPr>
      </w:pPr>
      <w:r w:rsidRPr="003505BA">
        <w:rPr>
          <w:rFonts w:ascii="Arial" w:hAnsi="Arial" w:cs="Arial"/>
          <w:b/>
          <w:bCs/>
          <w:sz w:val="22"/>
          <w:szCs w:val="22"/>
          <w:u w:val="single"/>
          <w:lang w:val="en-GB"/>
        </w:rPr>
        <w:t>Using the facts above</w:t>
      </w:r>
      <w:r w:rsidR="00EE6CB0" w:rsidRPr="003505BA">
        <w:rPr>
          <w:rFonts w:ascii="Arial" w:hAnsi="Arial" w:cs="Arial"/>
          <w:b/>
          <w:bCs/>
          <w:sz w:val="22"/>
          <w:szCs w:val="22"/>
          <w:u w:val="single"/>
          <w:lang w:val="en-GB"/>
        </w:rPr>
        <w:t>, a</w:t>
      </w:r>
      <w:r w:rsidR="00087F21" w:rsidRPr="003505BA">
        <w:rPr>
          <w:rFonts w:ascii="Arial" w:hAnsi="Arial" w:cs="Arial"/>
          <w:b/>
          <w:bCs/>
          <w:sz w:val="22"/>
          <w:szCs w:val="22"/>
          <w:u w:val="single"/>
          <w:lang w:val="en-GB"/>
        </w:rPr>
        <w:t xml:space="preserve">nswer the </w:t>
      </w:r>
      <w:r w:rsidR="001A007A" w:rsidRPr="003505BA">
        <w:rPr>
          <w:rFonts w:ascii="Arial" w:hAnsi="Arial" w:cs="Arial"/>
          <w:b/>
          <w:bCs/>
          <w:sz w:val="22"/>
          <w:szCs w:val="22"/>
          <w:u w:val="single"/>
          <w:lang w:val="en-GB"/>
        </w:rPr>
        <w:t>questions that follow</w:t>
      </w:r>
      <w:r w:rsidR="001A007A" w:rsidRPr="003505BA">
        <w:rPr>
          <w:rFonts w:ascii="Arial" w:hAnsi="Arial" w:cs="Arial"/>
          <w:b/>
          <w:sz w:val="22"/>
          <w:szCs w:val="22"/>
          <w:u w:val="single"/>
          <w:lang w:val="en-GB"/>
        </w:rPr>
        <w:t>.</w:t>
      </w:r>
      <w:r w:rsidR="003505BA" w:rsidRPr="003505BA">
        <w:rPr>
          <w:rFonts w:ascii="Arial" w:hAnsi="Arial" w:cs="Arial"/>
          <w:b/>
          <w:sz w:val="22"/>
          <w:szCs w:val="22"/>
          <w:u w:val="single"/>
          <w:lang w:val="en-GB"/>
        </w:rPr>
        <w:t xml:space="preserve"> (When answering the questions, please refer to the relevant provisions under national law as well as to relevant case</w:t>
      </w:r>
      <w:r w:rsidR="00EC6F96">
        <w:rPr>
          <w:rFonts w:ascii="Arial" w:hAnsi="Arial" w:cs="Arial"/>
          <w:b/>
          <w:sz w:val="22"/>
          <w:szCs w:val="22"/>
          <w:u w:val="single"/>
          <w:lang w:val="en-GB"/>
        </w:rPr>
        <w:t xml:space="preserve"> law</w:t>
      </w:r>
      <w:r w:rsidR="003505BA" w:rsidRPr="003505BA">
        <w:rPr>
          <w:rFonts w:ascii="Arial" w:hAnsi="Arial" w:cs="Arial"/>
          <w:b/>
          <w:sz w:val="22"/>
          <w:szCs w:val="22"/>
          <w:u w:val="single"/>
          <w:lang w:val="en-GB"/>
        </w:rPr>
        <w:t>.)</w:t>
      </w:r>
    </w:p>
    <w:p w14:paraId="12FB699F" w14:textId="77777777" w:rsidR="00087F21" w:rsidRDefault="00087F21" w:rsidP="00087F21">
      <w:pPr>
        <w:jc w:val="both"/>
        <w:rPr>
          <w:rFonts w:ascii="Arial" w:hAnsi="Arial" w:cs="Arial"/>
          <w:sz w:val="22"/>
          <w:szCs w:val="22"/>
          <w:lang w:val="en-GB"/>
        </w:rPr>
      </w:pPr>
    </w:p>
    <w:p w14:paraId="3F9A02F6"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3505BA">
        <w:rPr>
          <w:rFonts w:ascii="Arial" w:hAnsi="Arial" w:cs="Arial"/>
          <w:b/>
          <w:bCs/>
          <w:sz w:val="22"/>
          <w:szCs w:val="22"/>
          <w:lang w:val="en-GB"/>
        </w:rPr>
        <w:t>1 [maximum 6</w:t>
      </w:r>
      <w:r w:rsidR="00087F21">
        <w:rPr>
          <w:rFonts w:ascii="Arial" w:hAnsi="Arial" w:cs="Arial"/>
          <w:b/>
          <w:bCs/>
          <w:sz w:val="22"/>
          <w:szCs w:val="22"/>
          <w:lang w:val="en-GB"/>
        </w:rPr>
        <w:t xml:space="preserve"> marks]</w:t>
      </w:r>
    </w:p>
    <w:p w14:paraId="12706333" w14:textId="77777777" w:rsidR="002F75A3" w:rsidRDefault="002F75A3" w:rsidP="00087F21">
      <w:pPr>
        <w:jc w:val="both"/>
        <w:rPr>
          <w:rFonts w:ascii="Arial" w:hAnsi="Arial" w:cs="Arial"/>
          <w:b/>
          <w:bCs/>
          <w:sz w:val="22"/>
          <w:szCs w:val="22"/>
          <w:lang w:val="en-GB"/>
        </w:rPr>
      </w:pPr>
    </w:p>
    <w:p w14:paraId="7C9A481B" w14:textId="77777777" w:rsidR="003505BA" w:rsidRDefault="003505BA" w:rsidP="003505BA">
      <w:pPr>
        <w:pStyle w:val="Odlomakpopisa"/>
        <w:ind w:left="0"/>
        <w:jc w:val="both"/>
        <w:rPr>
          <w:rFonts w:ascii="Arial" w:hAnsi="Arial" w:cs="Arial"/>
          <w:sz w:val="22"/>
          <w:szCs w:val="22"/>
          <w:lang w:val="en-GB"/>
        </w:rPr>
      </w:pPr>
      <w:r>
        <w:rPr>
          <w:rFonts w:ascii="Arial" w:hAnsi="Arial" w:cs="Arial"/>
          <w:sz w:val="22"/>
          <w:szCs w:val="22"/>
          <w:lang w:val="en-GB"/>
        </w:rPr>
        <w:t xml:space="preserve">Was the local court in Modena entitled to open a corporate liquidation proceeding against </w:t>
      </w:r>
      <w:r>
        <w:rPr>
          <w:rFonts w:ascii="Arial" w:hAnsi="Arial" w:cs="Arial"/>
          <w:i/>
          <w:sz w:val="22"/>
          <w:szCs w:val="22"/>
          <w:lang w:val="en-GB"/>
        </w:rPr>
        <w:t>Buonapizza Srl</w:t>
      </w:r>
      <w:r>
        <w:rPr>
          <w:rFonts w:ascii="Arial" w:hAnsi="Arial" w:cs="Arial"/>
          <w:sz w:val="22"/>
          <w:szCs w:val="22"/>
          <w:lang w:val="en-GB"/>
        </w:rPr>
        <w:t>, considering that the company’s registered office only moved to Modena shortly before the filing? Would the situation be different under the new framework introduced by law no 155/2017?</w:t>
      </w:r>
    </w:p>
    <w:p w14:paraId="45CD36EF" w14:textId="77777777" w:rsidR="001A007A" w:rsidRDefault="001A007A" w:rsidP="00087F21">
      <w:pPr>
        <w:jc w:val="both"/>
        <w:rPr>
          <w:rFonts w:ascii="Arial" w:hAnsi="Arial" w:cs="Arial"/>
          <w:sz w:val="22"/>
          <w:szCs w:val="22"/>
          <w:lang w:val="en-GB"/>
        </w:rPr>
      </w:pPr>
    </w:p>
    <w:p w14:paraId="6CC143DE" w14:textId="3D3B2A62" w:rsidR="001A007A" w:rsidRPr="002A37BB" w:rsidRDefault="003C1A55" w:rsidP="001A007A">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Since there is no </w:t>
      </w:r>
      <w:r w:rsidR="000E41BB">
        <w:rPr>
          <w:rFonts w:ascii="Arial" w:hAnsi="Arial" w:cs="Arial"/>
          <w:color w:val="7B7B7B" w:themeColor="accent3" w:themeShade="BF"/>
          <w:sz w:val="22"/>
          <w:szCs w:val="22"/>
          <w:lang w:val="en-GB"/>
        </w:rPr>
        <w:t>mention</w:t>
      </w:r>
      <w:r>
        <w:rPr>
          <w:rFonts w:ascii="Arial" w:hAnsi="Arial" w:cs="Arial"/>
          <w:color w:val="7B7B7B" w:themeColor="accent3" w:themeShade="BF"/>
          <w:sz w:val="22"/>
          <w:szCs w:val="22"/>
          <w:lang w:val="en-GB"/>
        </w:rPr>
        <w:t xml:space="preserve"> that other court has challenged venue of local court in Modena</w:t>
      </w:r>
      <w:r w:rsidR="000E41BB">
        <w:rPr>
          <w:rFonts w:ascii="Arial" w:hAnsi="Arial" w:cs="Arial"/>
          <w:color w:val="7B7B7B" w:themeColor="accent3" w:themeShade="BF"/>
          <w:sz w:val="22"/>
          <w:szCs w:val="22"/>
          <w:lang w:val="en-GB"/>
        </w:rPr>
        <w:t xml:space="preserve">, or some of creditors, combined with fact that at the time of filing the petition </w:t>
      </w:r>
      <w:r w:rsidR="000E41BB">
        <w:rPr>
          <w:rFonts w:ascii="Arial" w:hAnsi="Arial" w:cs="Arial"/>
          <w:color w:val="7B7B7B" w:themeColor="accent3" w:themeShade="BF"/>
          <w:sz w:val="22"/>
          <w:szCs w:val="22"/>
          <w:lang w:val="en-GB"/>
        </w:rPr>
        <w:t xml:space="preserve">Buonapizza Srl </w:t>
      </w:r>
      <w:r w:rsidR="000E41BB">
        <w:rPr>
          <w:rFonts w:ascii="Arial" w:hAnsi="Arial" w:cs="Arial"/>
          <w:color w:val="7B7B7B" w:themeColor="accent3" w:themeShade="BF"/>
          <w:sz w:val="22"/>
          <w:szCs w:val="22"/>
          <w:lang w:val="en-GB"/>
        </w:rPr>
        <w:t>had</w:t>
      </w:r>
      <w:r>
        <w:rPr>
          <w:rFonts w:ascii="Arial" w:hAnsi="Arial" w:cs="Arial"/>
          <w:color w:val="7B7B7B" w:themeColor="accent3" w:themeShade="BF"/>
          <w:sz w:val="22"/>
          <w:szCs w:val="22"/>
          <w:lang w:val="en-GB"/>
        </w:rPr>
        <w:t xml:space="preserve"> registered place of business of is in Modena court was entitled to open a corporate liquidation. </w:t>
      </w:r>
    </w:p>
    <w:p w14:paraId="4D557BB5" w14:textId="77777777" w:rsidR="007F659B" w:rsidRDefault="007F659B" w:rsidP="00087F21">
      <w:pPr>
        <w:jc w:val="both"/>
        <w:rPr>
          <w:rFonts w:ascii="Arial" w:hAnsi="Arial" w:cs="Arial"/>
          <w:sz w:val="22"/>
          <w:szCs w:val="22"/>
          <w:lang w:val="en-GB"/>
        </w:rPr>
      </w:pPr>
    </w:p>
    <w:p w14:paraId="6377A37F" w14:textId="77777777" w:rsidR="00EC6F96" w:rsidRDefault="00EC6F96" w:rsidP="00087F21">
      <w:pPr>
        <w:jc w:val="both"/>
        <w:rPr>
          <w:rFonts w:ascii="Arial" w:hAnsi="Arial" w:cs="Arial"/>
          <w:sz w:val="22"/>
          <w:szCs w:val="22"/>
          <w:lang w:val="en-GB"/>
        </w:rPr>
      </w:pPr>
    </w:p>
    <w:p w14:paraId="783CF8DA"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3505BA">
        <w:rPr>
          <w:rFonts w:ascii="Arial" w:hAnsi="Arial" w:cs="Arial"/>
          <w:b/>
          <w:bCs/>
          <w:sz w:val="22"/>
          <w:szCs w:val="22"/>
          <w:lang w:val="en-GB"/>
        </w:rPr>
        <w:t>4</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5623C592" w14:textId="77777777" w:rsidR="00102CC9" w:rsidRDefault="00102CC9" w:rsidP="00087F21">
      <w:pPr>
        <w:jc w:val="both"/>
        <w:rPr>
          <w:rFonts w:ascii="Arial" w:hAnsi="Arial" w:cs="Arial"/>
          <w:sz w:val="22"/>
          <w:szCs w:val="22"/>
          <w:lang w:val="en-GB"/>
        </w:rPr>
      </w:pPr>
    </w:p>
    <w:p w14:paraId="355F4DFA" w14:textId="77777777" w:rsidR="003505BA" w:rsidRDefault="003505BA" w:rsidP="003505BA">
      <w:pPr>
        <w:pStyle w:val="Odlomakpopisa"/>
        <w:ind w:left="0"/>
        <w:jc w:val="both"/>
        <w:rPr>
          <w:rFonts w:ascii="Arial" w:hAnsi="Arial" w:cs="Arial"/>
          <w:sz w:val="22"/>
          <w:szCs w:val="22"/>
          <w:lang w:val="en-GB"/>
        </w:rPr>
      </w:pPr>
      <w:r>
        <w:rPr>
          <w:rFonts w:ascii="Arial" w:hAnsi="Arial" w:cs="Arial"/>
          <w:sz w:val="22"/>
          <w:szCs w:val="22"/>
          <w:lang w:val="en-GB"/>
        </w:rPr>
        <w:t xml:space="preserve">Were the debtor, its directors or the local court under any obligation to file for insolvency at an earlier stage? Are there any compensatory or punitive remedies for the parties’ failure to act promptly? </w:t>
      </w:r>
    </w:p>
    <w:p w14:paraId="243F44CB" w14:textId="77777777" w:rsidR="003505BA" w:rsidRPr="002A37BB" w:rsidRDefault="003505BA" w:rsidP="00087F21">
      <w:pPr>
        <w:autoSpaceDE w:val="0"/>
        <w:autoSpaceDN w:val="0"/>
        <w:adjustRightInd w:val="0"/>
        <w:jc w:val="both"/>
        <w:rPr>
          <w:rFonts w:ascii="Arial" w:hAnsi="Arial" w:cs="Arial"/>
          <w:sz w:val="22"/>
          <w:szCs w:val="22"/>
          <w:lang w:val="en-GB"/>
        </w:rPr>
      </w:pPr>
    </w:p>
    <w:p w14:paraId="3A71E394" w14:textId="3F2089A1" w:rsidR="007C46F5" w:rsidRDefault="007C46F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Directors of company have primarily fiduciary duty to shareholders of the company</w:t>
      </w:r>
      <w:r w:rsidR="00316ABF">
        <w:rPr>
          <w:rFonts w:ascii="Arial" w:hAnsi="Arial" w:cs="Arial"/>
          <w:color w:val="7B7B7B" w:themeColor="accent3" w:themeShade="BF"/>
          <w:sz w:val="22"/>
          <w:szCs w:val="22"/>
          <w:lang w:val="en-GB"/>
        </w:rPr>
        <w:t xml:space="preserve"> and of course obey the law.</w:t>
      </w:r>
    </w:p>
    <w:p w14:paraId="0017B2CB" w14:textId="77777777" w:rsidR="007C46F5" w:rsidRDefault="007C46F5" w:rsidP="00087F21">
      <w:pPr>
        <w:autoSpaceDE w:val="0"/>
        <w:autoSpaceDN w:val="0"/>
        <w:adjustRightInd w:val="0"/>
        <w:jc w:val="both"/>
        <w:rPr>
          <w:rFonts w:ascii="Arial" w:hAnsi="Arial" w:cs="Arial"/>
          <w:color w:val="7B7B7B" w:themeColor="accent3" w:themeShade="BF"/>
          <w:sz w:val="22"/>
          <w:szCs w:val="22"/>
          <w:lang w:val="en-GB"/>
        </w:rPr>
      </w:pPr>
    </w:p>
    <w:p w14:paraId="27A25C7B" w14:textId="7685A639" w:rsidR="00171C59" w:rsidRDefault="00171C59"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facts of the case state, company’s directors acted fraudulently </w:t>
      </w:r>
      <w:r w:rsidR="007C46F5">
        <w:rPr>
          <w:rFonts w:ascii="Arial" w:hAnsi="Arial" w:cs="Arial"/>
          <w:color w:val="7B7B7B" w:themeColor="accent3" w:themeShade="BF"/>
          <w:sz w:val="22"/>
          <w:szCs w:val="22"/>
          <w:lang w:val="en-GB"/>
        </w:rPr>
        <w:t xml:space="preserve">in altering the accounting records and diverting funds to offshore company. They </w:t>
      </w:r>
      <w:r>
        <w:rPr>
          <w:rFonts w:ascii="Arial" w:hAnsi="Arial" w:cs="Arial"/>
          <w:color w:val="7B7B7B" w:themeColor="accent3" w:themeShade="BF"/>
          <w:sz w:val="22"/>
          <w:szCs w:val="22"/>
          <w:lang w:val="en-GB"/>
        </w:rPr>
        <w:t xml:space="preserve">can be held </w:t>
      </w:r>
      <w:r w:rsidR="007C46F5">
        <w:rPr>
          <w:rFonts w:ascii="Arial" w:hAnsi="Arial" w:cs="Arial"/>
          <w:color w:val="7B7B7B" w:themeColor="accent3" w:themeShade="BF"/>
          <w:sz w:val="22"/>
          <w:szCs w:val="22"/>
          <w:lang w:val="en-GB"/>
        </w:rPr>
        <w:t xml:space="preserve">criminally </w:t>
      </w:r>
      <w:r>
        <w:rPr>
          <w:rFonts w:ascii="Arial" w:hAnsi="Arial" w:cs="Arial"/>
          <w:color w:val="7B7B7B" w:themeColor="accent3" w:themeShade="BF"/>
          <w:sz w:val="22"/>
          <w:szCs w:val="22"/>
          <w:lang w:val="en-GB"/>
        </w:rPr>
        <w:t>liable under legge fallimentare</w:t>
      </w:r>
      <w:r w:rsidR="007C46F5" w:rsidRPr="007C46F5">
        <w:rPr>
          <w:rFonts w:ascii="Arial" w:hAnsi="Arial" w:cs="Arial"/>
          <w:color w:val="7B7B7B" w:themeColor="accent3" w:themeShade="BF"/>
          <w:sz w:val="22"/>
          <w:szCs w:val="22"/>
          <w:lang w:val="en-GB"/>
        </w:rPr>
        <w:t xml:space="preserve"> </w:t>
      </w:r>
      <w:r w:rsidR="007C46F5">
        <w:rPr>
          <w:rFonts w:ascii="Arial" w:hAnsi="Arial" w:cs="Arial"/>
          <w:color w:val="7B7B7B" w:themeColor="accent3" w:themeShade="BF"/>
          <w:sz w:val="22"/>
          <w:szCs w:val="22"/>
          <w:lang w:val="en-GB"/>
        </w:rPr>
        <w:t>articles 223-235</w:t>
      </w:r>
      <w:r w:rsidR="007C46F5">
        <w:rPr>
          <w:rFonts w:ascii="Arial" w:hAnsi="Arial" w:cs="Arial"/>
          <w:color w:val="7B7B7B" w:themeColor="accent3" w:themeShade="BF"/>
          <w:sz w:val="22"/>
          <w:szCs w:val="22"/>
          <w:lang w:val="en-GB"/>
        </w:rPr>
        <w:t xml:space="preserve"> for that behaviour</w:t>
      </w:r>
      <w:r w:rsidR="007C46F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w:t>
      </w:r>
      <w:r w:rsidR="007C46F5">
        <w:rPr>
          <w:rFonts w:ascii="Arial" w:hAnsi="Arial" w:cs="Arial"/>
          <w:color w:val="7B7B7B" w:themeColor="accent3" w:themeShade="BF"/>
          <w:sz w:val="22"/>
          <w:szCs w:val="22"/>
          <w:lang w:val="en-GB"/>
        </w:rPr>
        <w:t xml:space="preserve">dditionally </w:t>
      </w: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ompany directors can be held </w:t>
      </w:r>
      <w:r w:rsidR="007C46F5">
        <w:rPr>
          <w:rFonts w:ascii="Arial" w:hAnsi="Arial" w:cs="Arial"/>
          <w:color w:val="7B7B7B" w:themeColor="accent3" w:themeShade="BF"/>
          <w:sz w:val="22"/>
          <w:szCs w:val="22"/>
          <w:lang w:val="en-GB"/>
        </w:rPr>
        <w:t xml:space="preserve">criminaly </w:t>
      </w:r>
      <w:r>
        <w:rPr>
          <w:rFonts w:ascii="Arial" w:hAnsi="Arial" w:cs="Arial"/>
          <w:color w:val="7B7B7B" w:themeColor="accent3" w:themeShade="BF"/>
          <w:sz w:val="22"/>
          <w:szCs w:val="22"/>
          <w:lang w:val="en-GB"/>
        </w:rPr>
        <w:t xml:space="preserve">liable if they prolonged the filing of petition in light of imminent insolvency </w:t>
      </w:r>
      <w:r w:rsidR="007C46F5">
        <w:rPr>
          <w:rFonts w:ascii="Arial" w:hAnsi="Arial" w:cs="Arial"/>
          <w:color w:val="7B7B7B" w:themeColor="accent3" w:themeShade="BF"/>
          <w:sz w:val="22"/>
          <w:szCs w:val="22"/>
          <w:lang w:val="en-GB"/>
        </w:rPr>
        <w:t>which was possibly also the case here.</w:t>
      </w:r>
    </w:p>
    <w:p w14:paraId="702EEB03" w14:textId="175A6E19" w:rsidR="00171C59" w:rsidRDefault="00171C59" w:rsidP="00087F21">
      <w:pPr>
        <w:autoSpaceDE w:val="0"/>
        <w:autoSpaceDN w:val="0"/>
        <w:adjustRightInd w:val="0"/>
        <w:jc w:val="both"/>
        <w:rPr>
          <w:rFonts w:ascii="Arial" w:hAnsi="Arial" w:cs="Arial"/>
          <w:color w:val="7B7B7B" w:themeColor="accent3" w:themeShade="BF"/>
          <w:sz w:val="22"/>
          <w:szCs w:val="22"/>
          <w:lang w:val="en-GB"/>
        </w:rPr>
      </w:pPr>
    </w:p>
    <w:p w14:paraId="033E60B2" w14:textId="05D17919" w:rsidR="00316ABF" w:rsidRDefault="00316AB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Facts of the case state that information that company was potentially insolvent was discovered during in a court case of executory action commenced by one of company creditors. Since that was 7 months prior to filing for company liquidation it confirms that company directors delayed the filing of the petition. Besides failing in their obligation to manage the company’s business diligently </w:t>
      </w:r>
      <w:r>
        <w:rPr>
          <w:rFonts w:ascii="Arial" w:hAnsi="Arial" w:cs="Arial"/>
          <w:color w:val="7B7B7B" w:themeColor="accent3" w:themeShade="BF"/>
          <w:sz w:val="22"/>
          <w:szCs w:val="22"/>
          <w:lang w:val="en-GB"/>
        </w:rPr>
        <w:t xml:space="preserve">(normal diligence) </w:t>
      </w:r>
      <w:r>
        <w:rPr>
          <w:rFonts w:ascii="Arial" w:hAnsi="Arial" w:cs="Arial"/>
          <w:color w:val="7B7B7B" w:themeColor="accent3" w:themeShade="BF"/>
          <w:sz w:val="22"/>
          <w:szCs w:val="22"/>
          <w:lang w:val="en-GB"/>
        </w:rPr>
        <w:t>they also</w:t>
      </w:r>
      <w:r>
        <w:rPr>
          <w:rFonts w:ascii="Arial" w:hAnsi="Arial" w:cs="Arial"/>
          <w:color w:val="7B7B7B" w:themeColor="accent3" w:themeShade="BF"/>
          <w:sz w:val="22"/>
          <w:szCs w:val="22"/>
          <w:lang w:val="en-GB"/>
        </w:rPr>
        <w:t xml:space="preserve"> made direct damage to the company and it’s shareholders and can be held liable for that.</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conflict of interest was also present, but it can be said that that “oversight” was consumed with intentional transferring of the funds to offshore company.</w:t>
      </w:r>
    </w:p>
    <w:p w14:paraId="07D5C9A3" w14:textId="77777777" w:rsidR="00316ABF" w:rsidRDefault="00316ABF" w:rsidP="00087F21">
      <w:pPr>
        <w:autoSpaceDE w:val="0"/>
        <w:autoSpaceDN w:val="0"/>
        <w:adjustRightInd w:val="0"/>
        <w:jc w:val="both"/>
        <w:rPr>
          <w:rFonts w:ascii="Arial" w:hAnsi="Arial" w:cs="Arial"/>
          <w:color w:val="7B7B7B" w:themeColor="accent3" w:themeShade="BF"/>
          <w:sz w:val="22"/>
          <w:szCs w:val="22"/>
          <w:lang w:val="en-GB"/>
        </w:rPr>
      </w:pPr>
    </w:p>
    <w:p w14:paraId="2A3ED279" w14:textId="7ABE144C" w:rsidR="002D3473" w:rsidRPr="002A37BB" w:rsidRDefault="000E41BB"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Since judge in </w:t>
      </w:r>
      <w:r w:rsidR="007C46F5">
        <w:rPr>
          <w:rFonts w:ascii="Arial" w:hAnsi="Arial" w:cs="Arial"/>
          <w:color w:val="7B7B7B" w:themeColor="accent3" w:themeShade="BF"/>
          <w:sz w:val="22"/>
          <w:szCs w:val="22"/>
          <w:lang w:val="en-GB"/>
        </w:rPr>
        <w:t xml:space="preserve">executory proceedings case </w:t>
      </w:r>
      <w:r>
        <w:rPr>
          <w:rFonts w:ascii="Arial" w:hAnsi="Arial" w:cs="Arial"/>
          <w:color w:val="7B7B7B" w:themeColor="accent3" w:themeShade="BF"/>
          <w:sz w:val="22"/>
          <w:szCs w:val="22"/>
          <w:lang w:val="en-GB"/>
        </w:rPr>
        <w:t xml:space="preserve">was made </w:t>
      </w:r>
      <w:r w:rsidR="007C46F5">
        <w:rPr>
          <w:rFonts w:ascii="Arial" w:hAnsi="Arial" w:cs="Arial"/>
          <w:color w:val="7B7B7B" w:themeColor="accent3" w:themeShade="BF"/>
          <w:sz w:val="22"/>
          <w:szCs w:val="22"/>
          <w:lang w:val="en-GB"/>
        </w:rPr>
        <w:t>aw</w:t>
      </w:r>
      <w:r>
        <w:rPr>
          <w:rFonts w:ascii="Arial" w:hAnsi="Arial" w:cs="Arial"/>
          <w:color w:val="7B7B7B" w:themeColor="accent3" w:themeShade="BF"/>
          <w:sz w:val="22"/>
          <w:szCs w:val="22"/>
          <w:lang w:val="en-GB"/>
        </w:rPr>
        <w:t xml:space="preserve">are of </w:t>
      </w:r>
      <w:r w:rsidR="007C46F5">
        <w:rPr>
          <w:rFonts w:ascii="Arial" w:hAnsi="Arial" w:cs="Arial"/>
          <w:color w:val="7B7B7B" w:themeColor="accent3" w:themeShade="BF"/>
          <w:sz w:val="22"/>
          <w:szCs w:val="22"/>
          <w:lang w:val="en-GB"/>
        </w:rPr>
        <w:t>potential insolvency of company</w:t>
      </w:r>
      <w:r>
        <w:rPr>
          <w:rFonts w:ascii="Arial" w:hAnsi="Arial" w:cs="Arial"/>
          <w:color w:val="7B7B7B" w:themeColor="accent3" w:themeShade="BF"/>
          <w:sz w:val="22"/>
          <w:szCs w:val="22"/>
          <w:lang w:val="en-GB"/>
        </w:rPr>
        <w:t xml:space="preserve">, in case he had sent the report to </w:t>
      </w:r>
      <w:r w:rsidR="005D6646">
        <w:rPr>
          <w:rFonts w:ascii="Arial" w:hAnsi="Arial" w:cs="Arial"/>
          <w:color w:val="7B7B7B" w:themeColor="accent3" w:themeShade="BF"/>
          <w:sz w:val="22"/>
          <w:szCs w:val="22"/>
          <w:lang w:val="en-GB"/>
        </w:rPr>
        <w:t>Public prosecutor</w:t>
      </w:r>
      <w:r>
        <w:rPr>
          <w:rFonts w:ascii="Arial" w:hAnsi="Arial" w:cs="Arial"/>
          <w:color w:val="7B7B7B" w:themeColor="accent3" w:themeShade="BF"/>
          <w:sz w:val="22"/>
          <w:szCs w:val="22"/>
          <w:lang w:val="en-GB"/>
        </w:rPr>
        <w:t xml:space="preserve">, latter would be </w:t>
      </w:r>
      <w:r w:rsidR="005D6646">
        <w:rPr>
          <w:rFonts w:ascii="Arial" w:hAnsi="Arial" w:cs="Arial"/>
          <w:color w:val="7B7B7B" w:themeColor="accent3" w:themeShade="BF"/>
          <w:sz w:val="22"/>
          <w:szCs w:val="22"/>
          <w:lang w:val="en-GB"/>
        </w:rPr>
        <w:t xml:space="preserve">entitled </w:t>
      </w:r>
      <w:r>
        <w:rPr>
          <w:rFonts w:ascii="Arial" w:hAnsi="Arial" w:cs="Arial"/>
          <w:color w:val="7B7B7B" w:themeColor="accent3" w:themeShade="BF"/>
          <w:sz w:val="22"/>
          <w:szCs w:val="22"/>
          <w:lang w:val="en-GB"/>
        </w:rPr>
        <w:t xml:space="preserve">to submit petition for </w:t>
      </w:r>
      <w:r w:rsidR="005D6646">
        <w:rPr>
          <w:rFonts w:ascii="Arial" w:hAnsi="Arial" w:cs="Arial"/>
          <w:color w:val="7B7B7B" w:themeColor="accent3" w:themeShade="BF"/>
          <w:sz w:val="22"/>
          <w:szCs w:val="22"/>
          <w:lang w:val="en-GB"/>
        </w:rPr>
        <w:t>insolvency</w:t>
      </w:r>
    </w:p>
    <w:p w14:paraId="471D44AC" w14:textId="339B3254" w:rsidR="002D3473" w:rsidRDefault="002D3473" w:rsidP="00087F21">
      <w:pPr>
        <w:autoSpaceDE w:val="0"/>
        <w:autoSpaceDN w:val="0"/>
        <w:adjustRightInd w:val="0"/>
        <w:jc w:val="both"/>
        <w:rPr>
          <w:rFonts w:ascii="Arial" w:hAnsi="Arial" w:cs="Arial"/>
          <w:sz w:val="22"/>
          <w:szCs w:val="22"/>
          <w:lang w:val="en-GB"/>
        </w:rPr>
      </w:pPr>
    </w:p>
    <w:p w14:paraId="48E056B9" w14:textId="77777777" w:rsidR="00B731DB" w:rsidRPr="002A37BB" w:rsidRDefault="00B731DB" w:rsidP="00087F21">
      <w:pPr>
        <w:autoSpaceDE w:val="0"/>
        <w:autoSpaceDN w:val="0"/>
        <w:adjustRightInd w:val="0"/>
        <w:jc w:val="both"/>
        <w:rPr>
          <w:rFonts w:ascii="Arial" w:hAnsi="Arial" w:cs="Arial"/>
          <w:sz w:val="22"/>
          <w:szCs w:val="22"/>
          <w:lang w:val="en-GB"/>
        </w:rPr>
      </w:pPr>
    </w:p>
    <w:p w14:paraId="616BC1AF" w14:textId="77777777" w:rsidR="003505BA" w:rsidRPr="00087F21" w:rsidRDefault="003505BA" w:rsidP="003505BA">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5</w:t>
      </w:r>
      <w:r w:rsidRPr="00087F21">
        <w:rPr>
          <w:rFonts w:ascii="Arial" w:hAnsi="Arial" w:cs="Arial"/>
          <w:b/>
          <w:bCs/>
          <w:sz w:val="22"/>
          <w:szCs w:val="22"/>
          <w:lang w:val="en-GB"/>
        </w:rPr>
        <w:t xml:space="preserve"> marks</w:t>
      </w:r>
      <w:r>
        <w:rPr>
          <w:rFonts w:ascii="Arial" w:hAnsi="Arial" w:cs="Arial"/>
          <w:b/>
          <w:bCs/>
          <w:sz w:val="22"/>
          <w:szCs w:val="22"/>
          <w:lang w:val="en-GB"/>
        </w:rPr>
        <w:t>]</w:t>
      </w:r>
    </w:p>
    <w:bookmarkEnd w:id="0"/>
    <w:p w14:paraId="7DF2458A" w14:textId="77777777" w:rsidR="003505BA" w:rsidRDefault="003505BA" w:rsidP="003505BA">
      <w:pPr>
        <w:pStyle w:val="Odlomakpopisa"/>
        <w:jc w:val="both"/>
        <w:rPr>
          <w:rFonts w:ascii="Arial" w:hAnsi="Arial" w:cs="Arial"/>
          <w:sz w:val="22"/>
          <w:szCs w:val="22"/>
          <w:lang w:val="en-GB"/>
        </w:rPr>
      </w:pPr>
    </w:p>
    <w:p w14:paraId="5262BFB5" w14:textId="77777777" w:rsidR="003505BA" w:rsidRDefault="003505BA" w:rsidP="003505BA">
      <w:pPr>
        <w:pStyle w:val="Odlomakpopisa"/>
        <w:ind w:left="0"/>
        <w:jc w:val="both"/>
        <w:rPr>
          <w:rFonts w:ascii="Arial" w:hAnsi="Arial" w:cs="Arial"/>
          <w:sz w:val="22"/>
          <w:szCs w:val="22"/>
          <w:lang w:val="en-GB"/>
        </w:rPr>
      </w:pPr>
      <w:r>
        <w:rPr>
          <w:rFonts w:ascii="Arial" w:hAnsi="Arial" w:cs="Arial"/>
          <w:sz w:val="22"/>
          <w:szCs w:val="22"/>
          <w:lang w:val="en-GB"/>
        </w:rPr>
        <w:t xml:space="preserve">Could </w:t>
      </w:r>
      <w:r>
        <w:rPr>
          <w:rFonts w:ascii="Arial" w:hAnsi="Arial" w:cs="Arial"/>
          <w:i/>
          <w:sz w:val="22"/>
          <w:szCs w:val="22"/>
          <w:lang w:val="en-GB"/>
        </w:rPr>
        <w:t>Buonapizza Srl</w:t>
      </w:r>
      <w:r>
        <w:rPr>
          <w:rFonts w:ascii="Arial" w:hAnsi="Arial" w:cs="Arial"/>
          <w:sz w:val="22"/>
          <w:szCs w:val="22"/>
          <w:lang w:val="en-GB"/>
        </w:rPr>
        <w:t xml:space="preserve"> grant collateral over the plot of land described in the example? Are there any assets that, under Italian law, cannot be obtained as collateral? </w:t>
      </w:r>
    </w:p>
    <w:p w14:paraId="31617745" w14:textId="77777777" w:rsidR="0077498C" w:rsidRDefault="0077498C" w:rsidP="00087F21">
      <w:pPr>
        <w:jc w:val="both"/>
        <w:rPr>
          <w:rFonts w:ascii="Arial" w:hAnsi="Arial" w:cs="Arial"/>
          <w:color w:val="000000" w:themeColor="text1"/>
          <w:sz w:val="22"/>
          <w:szCs w:val="22"/>
          <w:lang w:val="en-GB"/>
        </w:rPr>
      </w:pPr>
    </w:p>
    <w:p w14:paraId="5C533325" w14:textId="77777777" w:rsidR="00171C59" w:rsidRDefault="005D6646" w:rsidP="003505B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Buonapizza Srl could not </w:t>
      </w:r>
      <w:r w:rsidR="000E41BB">
        <w:rPr>
          <w:rFonts w:ascii="Arial" w:hAnsi="Arial" w:cs="Arial"/>
          <w:color w:val="7B7B7B" w:themeColor="accent3" w:themeShade="BF"/>
          <w:sz w:val="22"/>
          <w:szCs w:val="22"/>
          <w:lang w:val="en-GB"/>
        </w:rPr>
        <w:t>give</w:t>
      </w:r>
      <w:r>
        <w:rPr>
          <w:rFonts w:ascii="Arial" w:hAnsi="Arial" w:cs="Arial"/>
          <w:color w:val="7B7B7B" w:themeColor="accent3" w:themeShade="BF"/>
          <w:sz w:val="22"/>
          <w:szCs w:val="22"/>
          <w:lang w:val="en-GB"/>
        </w:rPr>
        <w:t xml:space="preserve"> </w:t>
      </w:r>
      <w:r w:rsidR="000E41BB">
        <w:rPr>
          <w:rFonts w:ascii="Arial" w:hAnsi="Arial" w:cs="Arial"/>
          <w:color w:val="7B7B7B" w:themeColor="accent3" w:themeShade="BF"/>
          <w:sz w:val="22"/>
          <w:szCs w:val="22"/>
          <w:lang w:val="en-GB"/>
        </w:rPr>
        <w:t>collateral</w:t>
      </w:r>
      <w:r>
        <w:rPr>
          <w:rFonts w:ascii="Arial" w:hAnsi="Arial" w:cs="Arial"/>
          <w:color w:val="7B7B7B" w:themeColor="accent3" w:themeShade="BF"/>
          <w:sz w:val="22"/>
          <w:szCs w:val="22"/>
          <w:lang w:val="en-GB"/>
        </w:rPr>
        <w:t xml:space="preserve"> over the plot of land described </w:t>
      </w:r>
      <w:r w:rsidR="00171C59">
        <w:rPr>
          <w:rFonts w:ascii="Arial" w:hAnsi="Arial" w:cs="Arial"/>
          <w:color w:val="7B7B7B" w:themeColor="accent3" w:themeShade="BF"/>
          <w:sz w:val="22"/>
          <w:szCs w:val="22"/>
          <w:lang w:val="en-GB"/>
        </w:rPr>
        <w:t xml:space="preserve">(or at least not all of it) </w:t>
      </w:r>
      <w:r>
        <w:rPr>
          <w:rFonts w:ascii="Arial" w:hAnsi="Arial" w:cs="Arial"/>
          <w:color w:val="7B7B7B" w:themeColor="accent3" w:themeShade="BF"/>
          <w:sz w:val="22"/>
          <w:szCs w:val="22"/>
          <w:lang w:val="en-GB"/>
        </w:rPr>
        <w:t xml:space="preserve">because it is considered as </w:t>
      </w:r>
      <w:r w:rsidR="000E41BB">
        <w:rPr>
          <w:rFonts w:ascii="Arial" w:hAnsi="Arial" w:cs="Arial"/>
          <w:color w:val="7B7B7B" w:themeColor="accent3" w:themeShade="BF"/>
          <w:sz w:val="22"/>
          <w:szCs w:val="22"/>
          <w:lang w:val="en-GB"/>
        </w:rPr>
        <w:t>goods that can only belong to the state (demanio necessario)</w:t>
      </w:r>
      <w:r>
        <w:rPr>
          <w:rFonts w:ascii="Arial" w:hAnsi="Arial" w:cs="Arial"/>
          <w:color w:val="7B7B7B" w:themeColor="accent3" w:themeShade="BF"/>
          <w:sz w:val="22"/>
          <w:szCs w:val="22"/>
          <w:lang w:val="en-GB"/>
        </w:rPr>
        <w:t xml:space="preserve"> in respect to Italian law</w:t>
      </w:r>
      <w:r w:rsidR="00171C59">
        <w:rPr>
          <w:rFonts w:ascii="Arial" w:hAnsi="Arial" w:cs="Arial"/>
          <w:color w:val="7B7B7B" w:themeColor="accent3" w:themeShade="BF"/>
          <w:sz w:val="22"/>
          <w:szCs w:val="22"/>
          <w:lang w:val="en-GB"/>
        </w:rPr>
        <w:t xml:space="preserve"> (Civil code article 882(1))</w:t>
      </w:r>
      <w:r>
        <w:rPr>
          <w:rFonts w:ascii="Arial" w:hAnsi="Arial" w:cs="Arial"/>
          <w:color w:val="7B7B7B" w:themeColor="accent3" w:themeShade="BF"/>
          <w:sz w:val="22"/>
          <w:szCs w:val="22"/>
          <w:lang w:val="en-GB"/>
        </w:rPr>
        <w:t xml:space="preserve">. </w:t>
      </w:r>
      <w:r w:rsidR="00171C59">
        <w:rPr>
          <w:rFonts w:ascii="Arial" w:hAnsi="Arial" w:cs="Arial"/>
          <w:color w:val="7B7B7B" w:themeColor="accent3" w:themeShade="BF"/>
          <w:sz w:val="22"/>
          <w:szCs w:val="22"/>
          <w:lang w:val="en-GB"/>
        </w:rPr>
        <w:t xml:space="preserve">These also include seashore, harbours, streams, territorial waters as well as other assets needed to protect the state. </w:t>
      </w:r>
    </w:p>
    <w:p w14:paraId="272AE4E0" w14:textId="77777777" w:rsidR="00171C59" w:rsidRDefault="00171C59" w:rsidP="003505BA">
      <w:pPr>
        <w:autoSpaceDE w:val="0"/>
        <w:autoSpaceDN w:val="0"/>
        <w:adjustRightInd w:val="0"/>
        <w:jc w:val="both"/>
        <w:rPr>
          <w:rFonts w:ascii="Arial" w:hAnsi="Arial" w:cs="Arial"/>
          <w:color w:val="7B7B7B" w:themeColor="accent3" w:themeShade="BF"/>
          <w:sz w:val="22"/>
          <w:szCs w:val="22"/>
          <w:lang w:val="en-GB"/>
        </w:rPr>
      </w:pPr>
    </w:p>
    <w:p w14:paraId="032956DB" w14:textId="7EDE09CC" w:rsidR="003505BA" w:rsidRPr="002A37BB" w:rsidRDefault="005D6646" w:rsidP="003505BA">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Other assets that cannot be obtained as collateral under Italian law are</w:t>
      </w:r>
      <w:r w:rsidR="00171C59">
        <w:rPr>
          <w:rFonts w:ascii="Arial" w:hAnsi="Arial" w:cs="Arial"/>
          <w:color w:val="7B7B7B" w:themeColor="accent3" w:themeShade="BF"/>
          <w:sz w:val="22"/>
          <w:szCs w:val="22"/>
          <w:lang w:val="en-GB"/>
        </w:rPr>
        <w:t xml:space="preserve"> some assets that cannot be given as security if they belong to the state. Those include assets of historical value, archaeological artefacts, pieces of art that are owned by museums, libraries and </w:t>
      </w:r>
      <w:r w:rsidR="00171C59">
        <w:rPr>
          <w:rFonts w:ascii="Arial" w:hAnsi="Arial" w:cs="Arial"/>
          <w:color w:val="7B7B7B" w:themeColor="accent3" w:themeShade="BF"/>
          <w:sz w:val="22"/>
          <w:szCs w:val="22"/>
          <w:lang w:val="en-GB"/>
        </w:rPr>
        <w:lastRenderedPageBreak/>
        <w:t xml:space="preserve">archives, also roads, highways, airports and aqueducts. This is stated in </w:t>
      </w:r>
      <w:r w:rsidR="00171C59">
        <w:rPr>
          <w:rFonts w:ascii="Arial" w:hAnsi="Arial" w:cs="Arial"/>
          <w:color w:val="7B7B7B" w:themeColor="accent3" w:themeShade="BF"/>
          <w:sz w:val="22"/>
          <w:szCs w:val="22"/>
          <w:lang w:val="en-GB"/>
        </w:rPr>
        <w:t>Civil code a</w:t>
      </w:r>
      <w:r w:rsidR="00171C59">
        <w:rPr>
          <w:rFonts w:ascii="Arial" w:hAnsi="Arial" w:cs="Arial"/>
          <w:color w:val="7B7B7B" w:themeColor="accent3" w:themeShade="BF"/>
          <w:sz w:val="22"/>
          <w:szCs w:val="22"/>
          <w:lang w:val="en-GB"/>
        </w:rPr>
        <w:t>r</w:t>
      </w:r>
      <w:r w:rsidR="00171C59">
        <w:rPr>
          <w:rFonts w:ascii="Arial" w:hAnsi="Arial" w:cs="Arial"/>
          <w:color w:val="7B7B7B" w:themeColor="accent3" w:themeShade="BF"/>
          <w:sz w:val="22"/>
          <w:szCs w:val="22"/>
          <w:lang w:val="en-GB"/>
        </w:rPr>
        <w:t>t</w:t>
      </w:r>
      <w:r w:rsidR="00171C59">
        <w:rPr>
          <w:rFonts w:ascii="Arial" w:hAnsi="Arial" w:cs="Arial"/>
          <w:color w:val="7B7B7B" w:themeColor="accent3" w:themeShade="BF"/>
          <w:sz w:val="22"/>
          <w:szCs w:val="22"/>
          <w:lang w:val="en-GB"/>
        </w:rPr>
        <w:t>icle</w:t>
      </w:r>
      <w:r w:rsidR="00171C59">
        <w:rPr>
          <w:rFonts w:ascii="Arial" w:hAnsi="Arial" w:cs="Arial"/>
          <w:color w:val="7B7B7B" w:themeColor="accent3" w:themeShade="BF"/>
          <w:sz w:val="22"/>
          <w:szCs w:val="22"/>
          <w:lang w:val="en-GB"/>
        </w:rPr>
        <w:t xml:space="preserve"> 882(</w:t>
      </w:r>
      <w:r w:rsidR="00171C59">
        <w:rPr>
          <w:rFonts w:ascii="Arial" w:hAnsi="Arial" w:cs="Arial"/>
          <w:color w:val="7B7B7B" w:themeColor="accent3" w:themeShade="BF"/>
          <w:sz w:val="22"/>
          <w:szCs w:val="22"/>
          <w:lang w:val="en-GB"/>
        </w:rPr>
        <w:t>2</w:t>
      </w:r>
      <w:r w:rsidR="00171C59">
        <w:rPr>
          <w:rFonts w:ascii="Arial" w:hAnsi="Arial" w:cs="Arial"/>
          <w:color w:val="7B7B7B" w:themeColor="accent3" w:themeShade="BF"/>
          <w:sz w:val="22"/>
          <w:szCs w:val="22"/>
          <w:lang w:val="en-GB"/>
        </w:rPr>
        <w:t>).</w:t>
      </w:r>
    </w:p>
    <w:p w14:paraId="63F5B94B" w14:textId="77777777" w:rsidR="0077498C" w:rsidRDefault="0077498C" w:rsidP="00087F21">
      <w:pPr>
        <w:jc w:val="both"/>
        <w:rPr>
          <w:rFonts w:ascii="Arial" w:hAnsi="Arial" w:cs="Arial"/>
          <w:color w:val="000000" w:themeColor="text1"/>
          <w:sz w:val="22"/>
          <w:szCs w:val="22"/>
          <w:lang w:val="en-GB"/>
        </w:rPr>
      </w:pPr>
    </w:p>
    <w:p w14:paraId="64D252C1" w14:textId="77777777" w:rsidR="00B731DB" w:rsidRDefault="00B731DB" w:rsidP="00087F21">
      <w:pPr>
        <w:jc w:val="both"/>
        <w:rPr>
          <w:rFonts w:ascii="Arial" w:hAnsi="Arial" w:cs="Arial"/>
          <w:color w:val="000000" w:themeColor="text1"/>
          <w:sz w:val="22"/>
          <w:szCs w:val="22"/>
          <w:lang w:val="en-GB"/>
        </w:rPr>
      </w:pPr>
    </w:p>
    <w:p w14:paraId="73BDA527" w14:textId="77777777" w:rsidR="00B731DB" w:rsidRPr="002A37BB" w:rsidRDefault="00B731DB" w:rsidP="00087F21">
      <w:pPr>
        <w:jc w:val="both"/>
        <w:rPr>
          <w:rFonts w:ascii="Arial" w:hAnsi="Arial" w:cs="Arial"/>
          <w:color w:val="000000" w:themeColor="text1"/>
          <w:sz w:val="22"/>
          <w:szCs w:val="22"/>
          <w:lang w:val="en-GB"/>
        </w:rPr>
      </w:pPr>
    </w:p>
    <w:p w14:paraId="4D75D0B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855BC" w14:textId="77777777" w:rsidR="00BD1D96" w:rsidRDefault="00BD1D96" w:rsidP="00241B44">
      <w:r>
        <w:separator/>
      </w:r>
    </w:p>
  </w:endnote>
  <w:endnote w:type="continuationSeparator" w:id="0">
    <w:p w14:paraId="4B6FC470" w14:textId="77777777" w:rsidR="00BD1D96" w:rsidRDefault="00BD1D9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Brojstranice"/>
        <w:rFonts w:ascii="Arial" w:hAnsi="Arial" w:cs="Arial"/>
        <w:b/>
      </w:rPr>
      <w:id w:val="-758512077"/>
      <w:docPartObj>
        <w:docPartGallery w:val="Page Numbers (Bottom of Page)"/>
        <w:docPartUnique/>
      </w:docPartObj>
    </w:sdtPr>
    <w:sdtEndPr>
      <w:rPr>
        <w:rStyle w:val="Brojstranice"/>
        <w:b w:val="0"/>
        <w:sz w:val="22"/>
        <w:szCs w:val="22"/>
      </w:rPr>
    </w:sdtEndPr>
    <w:sdtContent>
      <w:p w14:paraId="4F38BA84" w14:textId="77777777" w:rsidR="00E450A4" w:rsidRPr="00FC7B47" w:rsidRDefault="00E450A4" w:rsidP="009B4976">
        <w:pPr>
          <w:pStyle w:val="Podnoje"/>
          <w:framePr w:wrap="none" w:vAnchor="text" w:hAnchor="margin" w:xAlign="right" w:y="1"/>
          <w:rPr>
            <w:rStyle w:val="Brojstranice"/>
            <w:rFonts w:ascii="Arial" w:hAnsi="Arial" w:cs="Arial"/>
            <w:sz w:val="22"/>
            <w:szCs w:val="22"/>
          </w:rPr>
        </w:pPr>
        <w:r w:rsidRPr="00697EA1">
          <w:rPr>
            <w:rStyle w:val="Brojstranice"/>
            <w:rFonts w:ascii="Arial" w:hAnsi="Arial" w:cs="Arial"/>
            <w:b/>
          </w:rPr>
          <w:t xml:space="preserve">Page </w:t>
        </w:r>
        <w:r w:rsidRPr="00697EA1">
          <w:rPr>
            <w:rStyle w:val="Brojstranice"/>
            <w:rFonts w:ascii="Arial" w:hAnsi="Arial" w:cs="Arial"/>
            <w:b/>
            <w:sz w:val="22"/>
            <w:szCs w:val="22"/>
          </w:rPr>
          <w:fldChar w:fldCharType="begin"/>
        </w:r>
        <w:r w:rsidRPr="00697EA1">
          <w:rPr>
            <w:rStyle w:val="Brojstranice"/>
            <w:rFonts w:ascii="Arial" w:hAnsi="Arial" w:cs="Arial"/>
            <w:b/>
            <w:sz w:val="22"/>
            <w:szCs w:val="22"/>
          </w:rPr>
          <w:instrText xml:space="preserve"> PAGE </w:instrText>
        </w:r>
        <w:r w:rsidRPr="00697EA1">
          <w:rPr>
            <w:rStyle w:val="Brojstranice"/>
            <w:rFonts w:ascii="Arial" w:hAnsi="Arial" w:cs="Arial"/>
            <w:b/>
            <w:sz w:val="22"/>
            <w:szCs w:val="22"/>
          </w:rPr>
          <w:fldChar w:fldCharType="separate"/>
        </w:r>
        <w:r>
          <w:rPr>
            <w:rStyle w:val="Brojstranice"/>
            <w:rFonts w:ascii="Arial" w:hAnsi="Arial" w:cs="Arial"/>
            <w:b/>
            <w:noProof/>
            <w:sz w:val="22"/>
            <w:szCs w:val="22"/>
          </w:rPr>
          <w:t>10</w:t>
        </w:r>
        <w:r w:rsidRPr="00697EA1">
          <w:rPr>
            <w:rStyle w:val="Brojstranice"/>
            <w:rFonts w:ascii="Arial" w:hAnsi="Arial" w:cs="Arial"/>
            <w:b/>
            <w:sz w:val="22"/>
            <w:szCs w:val="22"/>
          </w:rPr>
          <w:fldChar w:fldCharType="end"/>
        </w:r>
      </w:p>
    </w:sdtContent>
  </w:sdt>
  <w:p w14:paraId="4E583EBB" w14:textId="77777777" w:rsidR="00E450A4" w:rsidRPr="00FC7B47" w:rsidRDefault="00445CE6" w:rsidP="00FC7B47">
    <w:pPr>
      <w:pStyle w:val="Podnoje"/>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Brojstranice"/>
        <w:rFonts w:ascii="Arial" w:hAnsi="Arial" w:cs="Arial"/>
        <w:b/>
        <w:bCs/>
        <w:sz w:val="18"/>
        <w:szCs w:val="18"/>
      </w:rPr>
      <w:id w:val="-1409602822"/>
      <w:docPartObj>
        <w:docPartGallery w:val="Page Numbers (Bottom of Page)"/>
        <w:docPartUnique/>
      </w:docPartObj>
    </w:sdtPr>
    <w:sdtEndPr>
      <w:rPr>
        <w:rStyle w:val="Brojstranice"/>
        <w:b w:val="0"/>
        <w:bCs w:val="0"/>
      </w:rPr>
    </w:sdtEndPr>
    <w:sdtContent>
      <w:p w14:paraId="76EF7A4B" w14:textId="77777777" w:rsidR="009B4976" w:rsidRPr="009B4976" w:rsidRDefault="009B4976" w:rsidP="00E23A7A">
        <w:pPr>
          <w:pStyle w:val="Podnoje"/>
          <w:framePr w:wrap="none" w:vAnchor="text" w:hAnchor="margin" w:xAlign="right" w:y="1"/>
          <w:rPr>
            <w:rStyle w:val="Brojstranice"/>
            <w:rFonts w:ascii="Arial" w:hAnsi="Arial" w:cs="Arial"/>
            <w:sz w:val="18"/>
            <w:szCs w:val="18"/>
          </w:rPr>
        </w:pPr>
        <w:r w:rsidRPr="0010593A">
          <w:rPr>
            <w:rStyle w:val="Brojstranice"/>
            <w:rFonts w:ascii="Arial" w:hAnsi="Arial" w:cs="Arial"/>
            <w:b/>
            <w:bCs/>
            <w:sz w:val="18"/>
            <w:szCs w:val="18"/>
          </w:rPr>
          <w:t xml:space="preserve">Page </w:t>
        </w:r>
        <w:r w:rsidRPr="0010593A">
          <w:rPr>
            <w:rStyle w:val="Brojstranice"/>
            <w:rFonts w:ascii="Arial" w:hAnsi="Arial" w:cs="Arial"/>
            <w:b/>
            <w:bCs/>
            <w:sz w:val="18"/>
            <w:szCs w:val="18"/>
          </w:rPr>
          <w:fldChar w:fldCharType="begin"/>
        </w:r>
        <w:r w:rsidRPr="0010593A">
          <w:rPr>
            <w:rStyle w:val="Brojstranice"/>
            <w:rFonts w:ascii="Arial" w:hAnsi="Arial" w:cs="Arial"/>
            <w:b/>
            <w:bCs/>
            <w:sz w:val="18"/>
            <w:szCs w:val="18"/>
          </w:rPr>
          <w:instrText xml:space="preserve"> PAGE </w:instrText>
        </w:r>
        <w:r w:rsidRPr="0010593A">
          <w:rPr>
            <w:rStyle w:val="Brojstranice"/>
            <w:rFonts w:ascii="Arial" w:hAnsi="Arial" w:cs="Arial"/>
            <w:b/>
            <w:bCs/>
            <w:sz w:val="18"/>
            <w:szCs w:val="18"/>
          </w:rPr>
          <w:fldChar w:fldCharType="separate"/>
        </w:r>
        <w:r w:rsidR="00D501F9">
          <w:rPr>
            <w:rStyle w:val="Brojstranice"/>
            <w:rFonts w:ascii="Arial" w:hAnsi="Arial" w:cs="Arial"/>
            <w:b/>
            <w:bCs/>
            <w:noProof/>
            <w:sz w:val="18"/>
            <w:szCs w:val="18"/>
          </w:rPr>
          <w:t>2</w:t>
        </w:r>
        <w:r w:rsidRPr="0010593A">
          <w:rPr>
            <w:rStyle w:val="Brojstranice"/>
            <w:rFonts w:ascii="Arial" w:hAnsi="Arial" w:cs="Arial"/>
            <w:b/>
            <w:bCs/>
            <w:sz w:val="18"/>
            <w:szCs w:val="18"/>
          </w:rPr>
          <w:fldChar w:fldCharType="end"/>
        </w:r>
      </w:p>
    </w:sdtContent>
  </w:sdt>
  <w:p w14:paraId="5C33942B" w14:textId="5ADA1B87" w:rsidR="00241FA3" w:rsidRPr="009B4976" w:rsidRDefault="008D2F2F" w:rsidP="009B4976">
    <w:pPr>
      <w:pStyle w:val="Podnoje"/>
      <w:ind w:right="360"/>
      <w:rPr>
        <w:rFonts w:ascii="Arial" w:hAnsi="Arial" w:cs="Arial"/>
        <w:sz w:val="18"/>
        <w:szCs w:val="18"/>
        <w:lang w:val="en-GB"/>
      </w:rPr>
    </w:pPr>
    <w:r w:rsidRPr="008D2F2F">
      <w:rPr>
        <w:rFonts w:ascii="Arial" w:hAnsi="Arial" w:cs="Arial"/>
        <w:sz w:val="18"/>
        <w:szCs w:val="18"/>
        <w:lang w:val="en-GB"/>
      </w:rPr>
      <w:t>202021IFU-362</w:t>
    </w:r>
    <w:r w:rsidR="0073158B" w:rsidRPr="009B4976">
      <w:rPr>
        <w:rFonts w:ascii="Arial" w:hAnsi="Arial" w:cs="Arial"/>
        <w:sz w:val="18"/>
        <w:szCs w:val="18"/>
        <w:lang w:val="en-GB"/>
      </w:rPr>
      <w:t>.assessment</w:t>
    </w:r>
    <w:r w:rsidR="003505BA">
      <w:rPr>
        <w:rFonts w:ascii="Arial" w:hAnsi="Arial" w:cs="Arial"/>
        <w:sz w:val="18"/>
        <w:szCs w:val="18"/>
        <w:lang w:val="en-GB"/>
      </w:rPr>
      <w:t>6D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47076" w14:textId="77777777" w:rsidR="00BD1D96" w:rsidRDefault="00BD1D96" w:rsidP="00241B44">
      <w:r>
        <w:separator/>
      </w:r>
    </w:p>
  </w:footnote>
  <w:footnote w:type="continuationSeparator" w:id="0">
    <w:p w14:paraId="2A1AB83E" w14:textId="77777777" w:rsidR="00BD1D96" w:rsidRDefault="00BD1D9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774"/>
    <w:multiLevelType w:val="hybridMultilevel"/>
    <w:tmpl w:val="14A2ED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172"/>
    <w:multiLevelType w:val="hybridMultilevel"/>
    <w:tmpl w:val="7C3C9E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A16EB"/>
    <w:multiLevelType w:val="hybridMultilevel"/>
    <w:tmpl w:val="D15A19D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21C4"/>
    <w:multiLevelType w:val="hybridMultilevel"/>
    <w:tmpl w:val="C0FC0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1622B"/>
    <w:multiLevelType w:val="hybridMultilevel"/>
    <w:tmpl w:val="902697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F14F3"/>
    <w:multiLevelType w:val="hybridMultilevel"/>
    <w:tmpl w:val="65062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A6D38"/>
    <w:multiLevelType w:val="hybridMultilevel"/>
    <w:tmpl w:val="7FB239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E1E60"/>
    <w:multiLevelType w:val="hybridMultilevel"/>
    <w:tmpl w:val="126C152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40599"/>
    <w:multiLevelType w:val="hybridMultilevel"/>
    <w:tmpl w:val="E884D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24B1E"/>
    <w:multiLevelType w:val="hybridMultilevel"/>
    <w:tmpl w:val="0AE8B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85AA6"/>
    <w:multiLevelType w:val="hybridMultilevel"/>
    <w:tmpl w:val="584A91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03620"/>
    <w:multiLevelType w:val="hybridMultilevel"/>
    <w:tmpl w:val="396661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85ABB"/>
    <w:multiLevelType w:val="hybridMultilevel"/>
    <w:tmpl w:val="12A6F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A5B6A"/>
    <w:multiLevelType w:val="hybridMultilevel"/>
    <w:tmpl w:val="8584A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08072C"/>
    <w:multiLevelType w:val="hybridMultilevel"/>
    <w:tmpl w:val="AF608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CB757F"/>
    <w:multiLevelType w:val="hybridMultilevel"/>
    <w:tmpl w:val="04548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B1F14"/>
    <w:multiLevelType w:val="hybridMultilevel"/>
    <w:tmpl w:val="F5FEA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41410"/>
    <w:multiLevelType w:val="hybridMultilevel"/>
    <w:tmpl w:val="CB2604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5312AA"/>
    <w:multiLevelType w:val="hybridMultilevel"/>
    <w:tmpl w:val="53EC09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5F63DF"/>
    <w:multiLevelType w:val="hybridMultilevel"/>
    <w:tmpl w:val="666A562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9"/>
  </w:num>
  <w:num w:numId="4">
    <w:abstractNumId w:val="14"/>
  </w:num>
  <w:num w:numId="5">
    <w:abstractNumId w:val="7"/>
  </w:num>
  <w:num w:numId="6">
    <w:abstractNumId w:val="0"/>
  </w:num>
  <w:num w:numId="7">
    <w:abstractNumId w:val="17"/>
  </w:num>
  <w:num w:numId="8">
    <w:abstractNumId w:val="15"/>
  </w:num>
  <w:num w:numId="9">
    <w:abstractNumId w:val="11"/>
  </w:num>
  <w:num w:numId="10">
    <w:abstractNumId w:val="12"/>
  </w:num>
  <w:num w:numId="11">
    <w:abstractNumId w:val="2"/>
  </w:num>
  <w:num w:numId="12">
    <w:abstractNumId w:val="13"/>
  </w:num>
  <w:num w:numId="13">
    <w:abstractNumId w:val="16"/>
  </w:num>
  <w:num w:numId="14">
    <w:abstractNumId w:val="8"/>
  </w:num>
  <w:num w:numId="15">
    <w:abstractNumId w:val="4"/>
  </w:num>
  <w:num w:numId="16">
    <w:abstractNumId w:val="10"/>
  </w:num>
  <w:num w:numId="17">
    <w:abstractNumId w:val="19"/>
  </w:num>
  <w:num w:numId="18">
    <w:abstractNumId w:val="5"/>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4C9B"/>
    <w:rsid w:val="000168E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2B81"/>
    <w:rsid w:val="000B5FF1"/>
    <w:rsid w:val="000B609F"/>
    <w:rsid w:val="000D55A8"/>
    <w:rsid w:val="000E41BB"/>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71C59"/>
    <w:rsid w:val="00180548"/>
    <w:rsid w:val="00180AC4"/>
    <w:rsid w:val="00180CCE"/>
    <w:rsid w:val="0018267A"/>
    <w:rsid w:val="00182779"/>
    <w:rsid w:val="001830DF"/>
    <w:rsid w:val="0018318A"/>
    <w:rsid w:val="0018627D"/>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32F3F"/>
    <w:rsid w:val="002356EA"/>
    <w:rsid w:val="00237AAF"/>
    <w:rsid w:val="0024116D"/>
    <w:rsid w:val="00241B44"/>
    <w:rsid w:val="00241FA3"/>
    <w:rsid w:val="00245EFB"/>
    <w:rsid w:val="0025386E"/>
    <w:rsid w:val="002638B0"/>
    <w:rsid w:val="0026647A"/>
    <w:rsid w:val="002668D3"/>
    <w:rsid w:val="0027299F"/>
    <w:rsid w:val="002778E6"/>
    <w:rsid w:val="00284EBE"/>
    <w:rsid w:val="002903A7"/>
    <w:rsid w:val="0029433F"/>
    <w:rsid w:val="00294829"/>
    <w:rsid w:val="0029690F"/>
    <w:rsid w:val="00297C8A"/>
    <w:rsid w:val="002A2A60"/>
    <w:rsid w:val="002A37BB"/>
    <w:rsid w:val="002B1C45"/>
    <w:rsid w:val="002C0BAC"/>
    <w:rsid w:val="002C13C8"/>
    <w:rsid w:val="002C3547"/>
    <w:rsid w:val="002D0021"/>
    <w:rsid w:val="002D0158"/>
    <w:rsid w:val="002D299D"/>
    <w:rsid w:val="002D3473"/>
    <w:rsid w:val="002F1956"/>
    <w:rsid w:val="002F3440"/>
    <w:rsid w:val="002F75A3"/>
    <w:rsid w:val="00300B24"/>
    <w:rsid w:val="00303C2F"/>
    <w:rsid w:val="003144EF"/>
    <w:rsid w:val="00316ABF"/>
    <w:rsid w:val="00326292"/>
    <w:rsid w:val="00326415"/>
    <w:rsid w:val="00330937"/>
    <w:rsid w:val="00330F31"/>
    <w:rsid w:val="0033327A"/>
    <w:rsid w:val="00334648"/>
    <w:rsid w:val="0033768C"/>
    <w:rsid w:val="00337938"/>
    <w:rsid w:val="00340769"/>
    <w:rsid w:val="00341AA6"/>
    <w:rsid w:val="003505BA"/>
    <w:rsid w:val="00361A0A"/>
    <w:rsid w:val="00364836"/>
    <w:rsid w:val="0036565C"/>
    <w:rsid w:val="0036625E"/>
    <w:rsid w:val="0037465A"/>
    <w:rsid w:val="00382C98"/>
    <w:rsid w:val="0038533C"/>
    <w:rsid w:val="00386568"/>
    <w:rsid w:val="00390B57"/>
    <w:rsid w:val="003948D5"/>
    <w:rsid w:val="00396821"/>
    <w:rsid w:val="00397D3A"/>
    <w:rsid w:val="003A051E"/>
    <w:rsid w:val="003A2914"/>
    <w:rsid w:val="003B170F"/>
    <w:rsid w:val="003B3C5F"/>
    <w:rsid w:val="003C0C07"/>
    <w:rsid w:val="003C1A55"/>
    <w:rsid w:val="003C218B"/>
    <w:rsid w:val="003C4471"/>
    <w:rsid w:val="003D0A6D"/>
    <w:rsid w:val="003E0B16"/>
    <w:rsid w:val="003E35C5"/>
    <w:rsid w:val="003E67D1"/>
    <w:rsid w:val="003F7FB7"/>
    <w:rsid w:val="00404329"/>
    <w:rsid w:val="00405DC1"/>
    <w:rsid w:val="00415F1F"/>
    <w:rsid w:val="0042108F"/>
    <w:rsid w:val="00430FED"/>
    <w:rsid w:val="00434A8C"/>
    <w:rsid w:val="00437297"/>
    <w:rsid w:val="00444284"/>
    <w:rsid w:val="00445CE6"/>
    <w:rsid w:val="004534C2"/>
    <w:rsid w:val="0045446F"/>
    <w:rsid w:val="0045683E"/>
    <w:rsid w:val="00477C72"/>
    <w:rsid w:val="00477F16"/>
    <w:rsid w:val="00491675"/>
    <w:rsid w:val="00493855"/>
    <w:rsid w:val="00495E79"/>
    <w:rsid w:val="004A2D83"/>
    <w:rsid w:val="004A57DD"/>
    <w:rsid w:val="004A61A7"/>
    <w:rsid w:val="004A7B51"/>
    <w:rsid w:val="004A7D71"/>
    <w:rsid w:val="004A7EF3"/>
    <w:rsid w:val="004B11FD"/>
    <w:rsid w:val="004B23A2"/>
    <w:rsid w:val="004D1A5A"/>
    <w:rsid w:val="004D2FFF"/>
    <w:rsid w:val="004D3721"/>
    <w:rsid w:val="004D64F9"/>
    <w:rsid w:val="004E3A6B"/>
    <w:rsid w:val="004E622C"/>
    <w:rsid w:val="004F5FDF"/>
    <w:rsid w:val="00500754"/>
    <w:rsid w:val="005169DC"/>
    <w:rsid w:val="005177FE"/>
    <w:rsid w:val="0052252C"/>
    <w:rsid w:val="0052263B"/>
    <w:rsid w:val="00524728"/>
    <w:rsid w:val="0052798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FF2"/>
    <w:rsid w:val="005A726D"/>
    <w:rsid w:val="005B67AC"/>
    <w:rsid w:val="005B79F4"/>
    <w:rsid w:val="005C53D1"/>
    <w:rsid w:val="005D16DD"/>
    <w:rsid w:val="005D43E0"/>
    <w:rsid w:val="005D58A3"/>
    <w:rsid w:val="005D6646"/>
    <w:rsid w:val="005E1B79"/>
    <w:rsid w:val="005E6076"/>
    <w:rsid w:val="005E7008"/>
    <w:rsid w:val="005F026D"/>
    <w:rsid w:val="005F2AEA"/>
    <w:rsid w:val="005F2D0B"/>
    <w:rsid w:val="005F4B31"/>
    <w:rsid w:val="00605EA8"/>
    <w:rsid w:val="00610388"/>
    <w:rsid w:val="00610AC7"/>
    <w:rsid w:val="00612CA5"/>
    <w:rsid w:val="006153EC"/>
    <w:rsid w:val="00615B13"/>
    <w:rsid w:val="00621A17"/>
    <w:rsid w:val="00627CC9"/>
    <w:rsid w:val="00627E7B"/>
    <w:rsid w:val="00630542"/>
    <w:rsid w:val="00632E44"/>
    <w:rsid w:val="00634622"/>
    <w:rsid w:val="00636808"/>
    <w:rsid w:val="00641515"/>
    <w:rsid w:val="00654C2F"/>
    <w:rsid w:val="00657087"/>
    <w:rsid w:val="00662352"/>
    <w:rsid w:val="006639DB"/>
    <w:rsid w:val="006661EF"/>
    <w:rsid w:val="00672D8E"/>
    <w:rsid w:val="00675671"/>
    <w:rsid w:val="00677AEB"/>
    <w:rsid w:val="00680EF2"/>
    <w:rsid w:val="006866FF"/>
    <w:rsid w:val="00687A1D"/>
    <w:rsid w:val="00697EA1"/>
    <w:rsid w:val="006A2646"/>
    <w:rsid w:val="006A6530"/>
    <w:rsid w:val="006B435A"/>
    <w:rsid w:val="006B4C64"/>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603F5"/>
    <w:rsid w:val="007610A2"/>
    <w:rsid w:val="00764DB0"/>
    <w:rsid w:val="0076764D"/>
    <w:rsid w:val="0077498C"/>
    <w:rsid w:val="007809BC"/>
    <w:rsid w:val="00784128"/>
    <w:rsid w:val="00787BCC"/>
    <w:rsid w:val="00793173"/>
    <w:rsid w:val="007A2A33"/>
    <w:rsid w:val="007B5C89"/>
    <w:rsid w:val="007C1FCC"/>
    <w:rsid w:val="007C46F5"/>
    <w:rsid w:val="007C6201"/>
    <w:rsid w:val="007D55EE"/>
    <w:rsid w:val="007D7C92"/>
    <w:rsid w:val="007E1154"/>
    <w:rsid w:val="007E6BA4"/>
    <w:rsid w:val="007F0854"/>
    <w:rsid w:val="007F38E8"/>
    <w:rsid w:val="007F41F8"/>
    <w:rsid w:val="007F659B"/>
    <w:rsid w:val="00801786"/>
    <w:rsid w:val="0080454E"/>
    <w:rsid w:val="00804C32"/>
    <w:rsid w:val="00806302"/>
    <w:rsid w:val="00807119"/>
    <w:rsid w:val="0082483F"/>
    <w:rsid w:val="00826259"/>
    <w:rsid w:val="008279C0"/>
    <w:rsid w:val="00832B6A"/>
    <w:rsid w:val="00867701"/>
    <w:rsid w:val="008723F3"/>
    <w:rsid w:val="00876F56"/>
    <w:rsid w:val="00881DE6"/>
    <w:rsid w:val="008837A6"/>
    <w:rsid w:val="008902AF"/>
    <w:rsid w:val="0089145D"/>
    <w:rsid w:val="008962F2"/>
    <w:rsid w:val="008A4DF2"/>
    <w:rsid w:val="008A5293"/>
    <w:rsid w:val="008A6CFE"/>
    <w:rsid w:val="008B47CF"/>
    <w:rsid w:val="008B5333"/>
    <w:rsid w:val="008B6223"/>
    <w:rsid w:val="008C66E0"/>
    <w:rsid w:val="008D2F2F"/>
    <w:rsid w:val="008E3339"/>
    <w:rsid w:val="008F00BD"/>
    <w:rsid w:val="008F20FC"/>
    <w:rsid w:val="008F228E"/>
    <w:rsid w:val="008F5FFE"/>
    <w:rsid w:val="00905A43"/>
    <w:rsid w:val="00912C79"/>
    <w:rsid w:val="00921B8C"/>
    <w:rsid w:val="00942123"/>
    <w:rsid w:val="0095207B"/>
    <w:rsid w:val="00962045"/>
    <w:rsid w:val="00973013"/>
    <w:rsid w:val="00980E61"/>
    <w:rsid w:val="00991428"/>
    <w:rsid w:val="00992676"/>
    <w:rsid w:val="009954B2"/>
    <w:rsid w:val="00996691"/>
    <w:rsid w:val="009A3AB7"/>
    <w:rsid w:val="009B0723"/>
    <w:rsid w:val="009B07AD"/>
    <w:rsid w:val="009B0883"/>
    <w:rsid w:val="009B15E2"/>
    <w:rsid w:val="009B4976"/>
    <w:rsid w:val="009B7B4F"/>
    <w:rsid w:val="009C0B8E"/>
    <w:rsid w:val="009C1BC8"/>
    <w:rsid w:val="009C2442"/>
    <w:rsid w:val="009D0811"/>
    <w:rsid w:val="009D0EE1"/>
    <w:rsid w:val="009D565D"/>
    <w:rsid w:val="009E2AEB"/>
    <w:rsid w:val="009E2E27"/>
    <w:rsid w:val="009E45DF"/>
    <w:rsid w:val="009E4DE3"/>
    <w:rsid w:val="009F24A1"/>
    <w:rsid w:val="009F275E"/>
    <w:rsid w:val="009F5849"/>
    <w:rsid w:val="00A047EE"/>
    <w:rsid w:val="00A07970"/>
    <w:rsid w:val="00A2274A"/>
    <w:rsid w:val="00A235B7"/>
    <w:rsid w:val="00A27A7A"/>
    <w:rsid w:val="00A34ABE"/>
    <w:rsid w:val="00A407EF"/>
    <w:rsid w:val="00A44912"/>
    <w:rsid w:val="00A46B4C"/>
    <w:rsid w:val="00A5117B"/>
    <w:rsid w:val="00A56D34"/>
    <w:rsid w:val="00A60074"/>
    <w:rsid w:val="00A63388"/>
    <w:rsid w:val="00A6627C"/>
    <w:rsid w:val="00A71019"/>
    <w:rsid w:val="00A81029"/>
    <w:rsid w:val="00A845F5"/>
    <w:rsid w:val="00A96489"/>
    <w:rsid w:val="00AB2425"/>
    <w:rsid w:val="00AB685C"/>
    <w:rsid w:val="00AB692F"/>
    <w:rsid w:val="00AB6C2D"/>
    <w:rsid w:val="00AC08F7"/>
    <w:rsid w:val="00AC3839"/>
    <w:rsid w:val="00AC7082"/>
    <w:rsid w:val="00AD4BE8"/>
    <w:rsid w:val="00AF0DDA"/>
    <w:rsid w:val="00AF228E"/>
    <w:rsid w:val="00B016A8"/>
    <w:rsid w:val="00B05673"/>
    <w:rsid w:val="00B14819"/>
    <w:rsid w:val="00B15E2F"/>
    <w:rsid w:val="00B17AA9"/>
    <w:rsid w:val="00B44713"/>
    <w:rsid w:val="00B51B95"/>
    <w:rsid w:val="00B5295A"/>
    <w:rsid w:val="00B56103"/>
    <w:rsid w:val="00B64929"/>
    <w:rsid w:val="00B731DB"/>
    <w:rsid w:val="00B736DF"/>
    <w:rsid w:val="00B743D6"/>
    <w:rsid w:val="00B74E7F"/>
    <w:rsid w:val="00B74FBD"/>
    <w:rsid w:val="00B7751B"/>
    <w:rsid w:val="00B77F46"/>
    <w:rsid w:val="00B82586"/>
    <w:rsid w:val="00B829A3"/>
    <w:rsid w:val="00B86DB1"/>
    <w:rsid w:val="00B87869"/>
    <w:rsid w:val="00B9639B"/>
    <w:rsid w:val="00BA3548"/>
    <w:rsid w:val="00BB0F2B"/>
    <w:rsid w:val="00BD1D96"/>
    <w:rsid w:val="00BE222E"/>
    <w:rsid w:val="00BE4FF3"/>
    <w:rsid w:val="00BE641F"/>
    <w:rsid w:val="00BF50F7"/>
    <w:rsid w:val="00BF516F"/>
    <w:rsid w:val="00BF735F"/>
    <w:rsid w:val="00C02F29"/>
    <w:rsid w:val="00C04F50"/>
    <w:rsid w:val="00C1525B"/>
    <w:rsid w:val="00C17718"/>
    <w:rsid w:val="00C20AFE"/>
    <w:rsid w:val="00C22A25"/>
    <w:rsid w:val="00C23EAF"/>
    <w:rsid w:val="00C32795"/>
    <w:rsid w:val="00C32FCD"/>
    <w:rsid w:val="00C35671"/>
    <w:rsid w:val="00C35B77"/>
    <w:rsid w:val="00C376EB"/>
    <w:rsid w:val="00C4163B"/>
    <w:rsid w:val="00C46A92"/>
    <w:rsid w:val="00C46EC1"/>
    <w:rsid w:val="00C52796"/>
    <w:rsid w:val="00C53E2C"/>
    <w:rsid w:val="00C550C8"/>
    <w:rsid w:val="00C55824"/>
    <w:rsid w:val="00C566D1"/>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4A8A"/>
    <w:rsid w:val="00D17FDC"/>
    <w:rsid w:val="00D21D8C"/>
    <w:rsid w:val="00D501F9"/>
    <w:rsid w:val="00D53719"/>
    <w:rsid w:val="00D63EFD"/>
    <w:rsid w:val="00D84752"/>
    <w:rsid w:val="00D84AFA"/>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48A9"/>
    <w:rsid w:val="00DF75F8"/>
    <w:rsid w:val="00DF7A3A"/>
    <w:rsid w:val="00E00C00"/>
    <w:rsid w:val="00E07C5A"/>
    <w:rsid w:val="00E15BA9"/>
    <w:rsid w:val="00E23C28"/>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7214"/>
    <w:rsid w:val="00EC441F"/>
    <w:rsid w:val="00EC4755"/>
    <w:rsid w:val="00EC6F96"/>
    <w:rsid w:val="00ED0BC4"/>
    <w:rsid w:val="00ED447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9C560"/>
  <w14:defaultImageDpi w14:val="32767"/>
  <w15:docId w15:val="{11518246-1D60-4059-92E3-A53F4186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BA"/>
    <w:rPr>
      <w:rFonts w:eastAsia="Times New Roman"/>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630542"/>
  </w:style>
  <w:style w:type="paragraph" w:styleId="Odlomakpopisa">
    <w:name w:val="List Paragraph"/>
    <w:basedOn w:val="Normal"/>
    <w:uiPriority w:val="34"/>
    <w:qFormat/>
    <w:rsid w:val="00430FED"/>
    <w:pPr>
      <w:ind w:left="720"/>
      <w:contextualSpacing/>
    </w:pPr>
  </w:style>
  <w:style w:type="paragraph" w:styleId="Tekstfusnot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kstfusnoteChar"/>
    <w:unhideWhenUsed/>
    <w:rsid w:val="00241B44"/>
    <w:rPr>
      <w:szCs w:val="20"/>
    </w:rPr>
  </w:style>
  <w:style w:type="character" w:customStyle="1" w:styleId="TekstfusnoteChar">
    <w:name w:val="Tekst fusnote Char"/>
    <w:aliases w:val="fn Char,Fußnotentext Char Char Char Char Char,Fußnotentext Char Char Char Char Char Char Char,Fußnotentext Char Char Char Char Char Char Char Char Char,Fußnotentextf Char,footnotes Char,Footnote Text Char2 Char Char,Footnote Char"/>
    <w:basedOn w:val="Zadanifontodlomka"/>
    <w:link w:val="Tekstfusnote"/>
    <w:rsid w:val="00241B44"/>
    <w:rPr>
      <w:sz w:val="20"/>
      <w:szCs w:val="20"/>
    </w:rPr>
  </w:style>
  <w:style w:type="character" w:styleId="Referencafusnote">
    <w:name w:val="footnote reference"/>
    <w:aliases w:val="fr,Footnote Refernece,BVI fnr,callout,16 Point,Superscript 6 Point,Footnote Reference Superscript,Ref,de nota al pie,-E Fußnotenzeichen,number,SUPERS,EN Footnote Reference,-E Fuﬂnotenzeichen,-E Fuûnotenzeichen,Footnote numbe, BVI fnr"/>
    <w:basedOn w:val="Zadanifontodlomka"/>
    <w:unhideWhenUsed/>
    <w:qFormat/>
    <w:rsid w:val="00241B44"/>
    <w:rPr>
      <w:vertAlign w:val="superscript"/>
    </w:rPr>
  </w:style>
  <w:style w:type="character" w:styleId="Hiperveza">
    <w:name w:val="Hyperlink"/>
    <w:basedOn w:val="Zadanifontodlomka"/>
    <w:uiPriority w:val="99"/>
    <w:unhideWhenUsed/>
    <w:rsid w:val="00A047EE"/>
    <w:rPr>
      <w:color w:val="0563C1" w:themeColor="hyperlink"/>
      <w:u w:val="single"/>
    </w:rPr>
  </w:style>
  <w:style w:type="character" w:customStyle="1" w:styleId="UnresolvedMention1">
    <w:name w:val="Unresolved Mention1"/>
    <w:basedOn w:val="Zadanifontodlomka"/>
    <w:uiPriority w:val="99"/>
    <w:rsid w:val="00A047EE"/>
    <w:rPr>
      <w:color w:val="605E5C"/>
      <w:shd w:val="clear" w:color="auto" w:fill="E1DFDD"/>
    </w:rPr>
  </w:style>
  <w:style w:type="character" w:styleId="Referencakomentara">
    <w:name w:val="annotation reference"/>
    <w:basedOn w:val="Zadanifontodlomka"/>
    <w:uiPriority w:val="99"/>
    <w:semiHidden/>
    <w:unhideWhenUsed/>
    <w:rsid w:val="008B5333"/>
    <w:rPr>
      <w:sz w:val="16"/>
      <w:szCs w:val="16"/>
    </w:rPr>
  </w:style>
  <w:style w:type="paragraph" w:styleId="Tekstkomentara">
    <w:name w:val="annotation text"/>
    <w:basedOn w:val="Normal"/>
    <w:link w:val="TekstkomentaraChar"/>
    <w:uiPriority w:val="99"/>
    <w:semiHidden/>
    <w:unhideWhenUsed/>
    <w:rsid w:val="008B5333"/>
    <w:rPr>
      <w:szCs w:val="20"/>
    </w:rPr>
  </w:style>
  <w:style w:type="character" w:customStyle="1" w:styleId="TekstkomentaraChar">
    <w:name w:val="Tekst komentara Char"/>
    <w:basedOn w:val="Zadanifontodlomka"/>
    <w:link w:val="Tekstkomentara"/>
    <w:uiPriority w:val="99"/>
    <w:semiHidden/>
    <w:rsid w:val="008B5333"/>
    <w:rPr>
      <w:rFonts w:eastAsia="Times New Roman"/>
      <w:sz w:val="20"/>
      <w:szCs w:val="20"/>
    </w:rPr>
  </w:style>
  <w:style w:type="paragraph" w:styleId="Predmetkomentara">
    <w:name w:val="annotation subject"/>
    <w:basedOn w:val="Tekstkomentara"/>
    <w:next w:val="Tekstkomentara"/>
    <w:link w:val="PredmetkomentaraChar"/>
    <w:uiPriority w:val="99"/>
    <w:semiHidden/>
    <w:unhideWhenUsed/>
    <w:rsid w:val="008B5333"/>
    <w:rPr>
      <w:b/>
      <w:bCs/>
    </w:rPr>
  </w:style>
  <w:style w:type="character" w:customStyle="1" w:styleId="PredmetkomentaraChar">
    <w:name w:val="Predmet komentara Char"/>
    <w:basedOn w:val="TekstkomentaraChar"/>
    <w:link w:val="Predmetkomentara"/>
    <w:uiPriority w:val="99"/>
    <w:semiHidden/>
    <w:rsid w:val="008B5333"/>
    <w:rPr>
      <w:rFonts w:eastAsia="Times New Roman"/>
      <w:b/>
      <w:bCs/>
      <w:sz w:val="20"/>
      <w:szCs w:val="20"/>
    </w:rPr>
  </w:style>
  <w:style w:type="paragraph" w:styleId="Tekstbalonia">
    <w:name w:val="Balloon Text"/>
    <w:basedOn w:val="Normal"/>
    <w:link w:val="TekstbaloniaChar"/>
    <w:uiPriority w:val="99"/>
    <w:semiHidden/>
    <w:unhideWhenUsed/>
    <w:rsid w:val="008B5333"/>
    <w:rPr>
      <w:rFonts w:ascii="Tahoma" w:hAnsi="Tahoma" w:cs="Tahoma"/>
      <w:sz w:val="16"/>
      <w:szCs w:val="16"/>
    </w:rPr>
  </w:style>
  <w:style w:type="character" w:customStyle="1" w:styleId="TekstbaloniaChar">
    <w:name w:val="Tekst balončića Char"/>
    <w:basedOn w:val="Zadanifontodlomka"/>
    <w:link w:val="Tekstbalonia"/>
    <w:uiPriority w:val="99"/>
    <w:semiHidden/>
    <w:rsid w:val="008B5333"/>
    <w:rPr>
      <w:rFonts w:ascii="Tahoma" w:eastAsia="Times New Roman" w:hAnsi="Tahoma" w:cs="Tahoma"/>
      <w:sz w:val="16"/>
      <w:szCs w:val="16"/>
    </w:rPr>
  </w:style>
  <w:style w:type="paragraph" w:styleId="Podnoje">
    <w:name w:val="footer"/>
    <w:basedOn w:val="Normal"/>
    <w:link w:val="PodnojeChar"/>
    <w:uiPriority w:val="99"/>
    <w:unhideWhenUsed/>
    <w:rsid w:val="00FC7B47"/>
    <w:pPr>
      <w:tabs>
        <w:tab w:val="center" w:pos="4513"/>
        <w:tab w:val="right" w:pos="9026"/>
      </w:tabs>
    </w:pPr>
  </w:style>
  <w:style w:type="character" w:customStyle="1" w:styleId="PodnojeChar">
    <w:name w:val="Podnožje Char"/>
    <w:basedOn w:val="Zadanifontodlomka"/>
    <w:link w:val="Podnoje"/>
    <w:uiPriority w:val="99"/>
    <w:rsid w:val="00FC7B47"/>
    <w:rPr>
      <w:rFonts w:eastAsia="Times New Roman"/>
      <w:sz w:val="20"/>
    </w:rPr>
  </w:style>
  <w:style w:type="character" w:styleId="Brojstranice">
    <w:name w:val="page number"/>
    <w:basedOn w:val="Zadanifontodlomka"/>
    <w:uiPriority w:val="99"/>
    <w:semiHidden/>
    <w:unhideWhenUsed/>
    <w:rsid w:val="00FC7B47"/>
  </w:style>
  <w:style w:type="paragraph" w:styleId="Zaglavlje">
    <w:name w:val="header"/>
    <w:basedOn w:val="Normal"/>
    <w:link w:val="ZaglavljeChar"/>
    <w:uiPriority w:val="99"/>
    <w:unhideWhenUsed/>
    <w:rsid w:val="00FC7B47"/>
    <w:pPr>
      <w:tabs>
        <w:tab w:val="center" w:pos="4513"/>
        <w:tab w:val="right" w:pos="9026"/>
      </w:tabs>
    </w:pPr>
  </w:style>
  <w:style w:type="character" w:customStyle="1" w:styleId="ZaglavljeChar">
    <w:name w:val="Zaglavlje Char"/>
    <w:basedOn w:val="Zadanifontodlomka"/>
    <w:link w:val="Zaglavlje"/>
    <w:uiPriority w:val="99"/>
    <w:rsid w:val="00FC7B47"/>
    <w:rPr>
      <w:rFonts w:eastAsia="Times New Roman"/>
      <w:sz w:val="20"/>
    </w:rPr>
  </w:style>
  <w:style w:type="character" w:customStyle="1" w:styleId="UnresolvedMention2">
    <w:name w:val="Unresolved Mention2"/>
    <w:basedOn w:val="Zadanifontodlomka"/>
    <w:uiPriority w:val="99"/>
    <w:semiHidden/>
    <w:unhideWhenUsed/>
    <w:rsid w:val="007333CC"/>
    <w:rPr>
      <w:color w:val="605E5C"/>
      <w:shd w:val="clear" w:color="auto" w:fill="E1DFDD"/>
    </w:rPr>
  </w:style>
  <w:style w:type="character" w:styleId="SlijeenaHiperveza">
    <w:name w:val="FollowedHyperlink"/>
    <w:basedOn w:val="Zadanifontodlomka"/>
    <w:uiPriority w:val="99"/>
    <w:semiHidden/>
    <w:unhideWhenUsed/>
    <w:rsid w:val="00E6452F"/>
    <w:rPr>
      <w:color w:val="954F72" w:themeColor="followedHyperlink"/>
      <w:u w:val="single"/>
    </w:rPr>
  </w:style>
  <w:style w:type="character" w:styleId="Naglaeno">
    <w:name w:val="Strong"/>
    <w:basedOn w:val="Zadanifontodlomka"/>
    <w:uiPriority w:val="22"/>
    <w:qFormat/>
    <w:rsid w:val="00E6452F"/>
    <w:rPr>
      <w:b/>
      <w:bCs/>
    </w:rPr>
  </w:style>
  <w:style w:type="paragraph" w:styleId="Standard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591E-C762-4745-A71D-51F470A7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3219</Words>
  <Characters>18350</Characters>
  <Application>Microsoft Office Word</Application>
  <DocSecurity>0</DocSecurity>
  <Lines>152</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Jelenko Lehki</cp:lastModifiedBy>
  <cp:revision>19</cp:revision>
  <cp:lastPrinted>2019-08-27T05:42:00Z</cp:lastPrinted>
  <dcterms:created xsi:type="dcterms:W3CDTF">2020-12-11T15:52:00Z</dcterms:created>
  <dcterms:modified xsi:type="dcterms:W3CDTF">2021-07-11T23:02:00Z</dcterms:modified>
</cp:coreProperties>
</file>