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bookmarkStart w:id="0" w:name="_GoBack"/>
      <w:bookmarkEnd w:id="0"/>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Pr="00E1718D" w:rsidRDefault="00256B74" w:rsidP="0093467C">
      <w:pPr>
        <w:pStyle w:val="AODocTxt"/>
        <w:numPr>
          <w:ilvl w:val="0"/>
          <w:numId w:val="15"/>
        </w:numPr>
        <w:spacing w:before="0" w:line="240" w:lineRule="auto"/>
        <w:ind w:left="426"/>
        <w:rPr>
          <w:rFonts w:ascii="Arial" w:hAnsi="Arial" w:cs="Arial"/>
          <w:highlight w:val="yellow"/>
        </w:rPr>
      </w:pPr>
      <w:r w:rsidRPr="00E1718D">
        <w:rPr>
          <w:rFonts w:ascii="Arial" w:hAnsi="Arial" w:cs="Arial"/>
          <w:highlight w:val="yellow"/>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Pr="006D3756" w:rsidRDefault="0093467C" w:rsidP="0093467C">
      <w:pPr>
        <w:pStyle w:val="AODocTxt"/>
        <w:numPr>
          <w:ilvl w:val="0"/>
          <w:numId w:val="13"/>
        </w:numPr>
        <w:spacing w:before="0" w:line="240" w:lineRule="auto"/>
        <w:ind w:left="426"/>
        <w:rPr>
          <w:rFonts w:ascii="Arial" w:hAnsi="Arial" w:cs="Arial"/>
          <w:highlight w:val="yellow"/>
        </w:rPr>
      </w:pPr>
      <w:r w:rsidRPr="006D3756">
        <w:rPr>
          <w:rFonts w:ascii="Arial" w:hAnsi="Arial" w:cs="Arial"/>
          <w:highlight w:val="yellow"/>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6D3756" w:rsidRDefault="0093467C" w:rsidP="0093467C">
      <w:pPr>
        <w:pStyle w:val="AODocTxt"/>
        <w:numPr>
          <w:ilvl w:val="0"/>
          <w:numId w:val="13"/>
        </w:numPr>
        <w:spacing w:before="0" w:line="240" w:lineRule="auto"/>
        <w:ind w:left="426"/>
        <w:rPr>
          <w:rFonts w:ascii="Arial" w:hAnsi="Arial" w:cs="Arial"/>
        </w:rPr>
      </w:pPr>
      <w:r w:rsidRPr="006D3756">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Pr="00767E2C" w:rsidRDefault="00223917" w:rsidP="00223917">
      <w:pPr>
        <w:pStyle w:val="AODocTxt"/>
        <w:numPr>
          <w:ilvl w:val="0"/>
          <w:numId w:val="16"/>
        </w:numPr>
        <w:spacing w:before="0" w:line="240" w:lineRule="auto"/>
        <w:ind w:left="426"/>
        <w:rPr>
          <w:rFonts w:ascii="Arial" w:hAnsi="Arial" w:cs="Arial"/>
        </w:rPr>
      </w:pPr>
      <w:r w:rsidRPr="00767E2C">
        <w:rPr>
          <w:rFonts w:ascii="Arial" w:hAnsi="Arial" w:cs="Arial"/>
        </w:rPr>
        <w:t>A shareholder in ABC Corp, to which XYZ Corp is substantially indebted.</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767E2C" w:rsidRDefault="00223917" w:rsidP="00223917">
      <w:pPr>
        <w:pStyle w:val="AODocTxt"/>
        <w:numPr>
          <w:ilvl w:val="0"/>
          <w:numId w:val="16"/>
        </w:numPr>
        <w:spacing w:before="0" w:line="240" w:lineRule="auto"/>
        <w:ind w:left="426"/>
        <w:rPr>
          <w:rFonts w:ascii="Arial" w:hAnsi="Arial" w:cs="Arial"/>
          <w:highlight w:val="yellow"/>
        </w:rPr>
      </w:pPr>
      <w:r w:rsidRPr="00767E2C">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54176F" w:rsidRDefault="00160679" w:rsidP="00A3165E">
      <w:pPr>
        <w:pStyle w:val="AODocTxt"/>
        <w:numPr>
          <w:ilvl w:val="0"/>
          <w:numId w:val="18"/>
        </w:numPr>
        <w:spacing w:before="0" w:line="240" w:lineRule="auto"/>
        <w:ind w:left="426"/>
        <w:rPr>
          <w:rFonts w:ascii="Arial" w:hAnsi="Arial" w:cs="Arial"/>
          <w:highlight w:val="yellow"/>
        </w:rPr>
      </w:pPr>
      <w:r w:rsidRPr="0054176F">
        <w:rPr>
          <w:rFonts w:ascii="Arial" w:hAnsi="Arial" w:cs="Arial"/>
          <w:highlight w:val="yellow"/>
        </w:rPr>
        <w:t xml:space="preserve">Both (a) </w:t>
      </w:r>
      <w:r w:rsidR="00A3165E" w:rsidRPr="0054176F">
        <w:rPr>
          <w:rFonts w:ascii="Arial" w:hAnsi="Arial" w:cs="Arial"/>
          <w:highlight w:val="yellow"/>
        </w:rPr>
        <w:t>and</w:t>
      </w:r>
      <w:r w:rsidRPr="0054176F">
        <w:rPr>
          <w:rFonts w:ascii="Arial" w:hAnsi="Arial" w:cs="Arial"/>
          <w:highlight w:val="yellow"/>
        </w:rPr>
        <w:t xml:space="preserve"> (c)</w:t>
      </w:r>
      <w:r w:rsidR="00A3165E" w:rsidRPr="0054176F">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Pr="000D049F" w:rsidRDefault="006B3571" w:rsidP="006B3571">
      <w:pPr>
        <w:pStyle w:val="AODocTxt"/>
        <w:numPr>
          <w:ilvl w:val="0"/>
          <w:numId w:val="20"/>
        </w:numPr>
        <w:spacing w:before="0" w:line="240" w:lineRule="auto"/>
        <w:ind w:left="426"/>
        <w:rPr>
          <w:rFonts w:ascii="Arial" w:hAnsi="Arial" w:cs="Arial"/>
          <w:highlight w:val="yellow"/>
        </w:rPr>
      </w:pPr>
      <w:r w:rsidRPr="000D049F">
        <w:rPr>
          <w:rFonts w:ascii="Arial" w:hAnsi="Arial" w:cs="Arial"/>
          <w:highlight w:val="yellow"/>
        </w:rPr>
        <w:t>The contract would obligate the counterparty to extend a loan to the debtor.</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2874CB" w:rsidRDefault="002D6789" w:rsidP="002D6789">
      <w:pPr>
        <w:pStyle w:val="AODocTxt"/>
        <w:numPr>
          <w:ilvl w:val="0"/>
          <w:numId w:val="22"/>
        </w:numPr>
        <w:spacing w:before="0" w:line="240" w:lineRule="auto"/>
        <w:ind w:left="426"/>
        <w:rPr>
          <w:rFonts w:ascii="Arial" w:hAnsi="Arial" w:cs="Arial"/>
          <w:highlight w:val="yellow"/>
        </w:rPr>
      </w:pPr>
      <w:r w:rsidRPr="002874CB">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2874CB" w:rsidRDefault="002D78C5" w:rsidP="002D78C5">
      <w:pPr>
        <w:pStyle w:val="AODocTxt"/>
        <w:numPr>
          <w:ilvl w:val="0"/>
          <w:numId w:val="24"/>
        </w:numPr>
        <w:spacing w:before="0" w:line="240" w:lineRule="auto"/>
        <w:ind w:left="426"/>
        <w:rPr>
          <w:rFonts w:ascii="Arial" w:hAnsi="Arial" w:cs="Arial"/>
          <w:highlight w:val="yellow"/>
        </w:rPr>
      </w:pPr>
      <w:r w:rsidRPr="002874CB">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2874CB" w:rsidRDefault="006245E3" w:rsidP="006245E3">
      <w:pPr>
        <w:pStyle w:val="AODocTxt"/>
        <w:numPr>
          <w:ilvl w:val="0"/>
          <w:numId w:val="26"/>
        </w:numPr>
        <w:spacing w:before="0" w:line="240" w:lineRule="auto"/>
        <w:ind w:left="426"/>
        <w:rPr>
          <w:rFonts w:ascii="Arial" w:hAnsi="Arial" w:cs="Arial"/>
          <w:highlight w:val="yellow"/>
        </w:rPr>
      </w:pPr>
      <w:r w:rsidRPr="002874CB">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2874CB" w:rsidRDefault="000C4C5B" w:rsidP="000C4C5B">
      <w:pPr>
        <w:pStyle w:val="AODocTxt"/>
        <w:numPr>
          <w:ilvl w:val="0"/>
          <w:numId w:val="28"/>
        </w:numPr>
        <w:spacing w:before="0" w:line="240" w:lineRule="auto"/>
        <w:ind w:left="426"/>
        <w:rPr>
          <w:rFonts w:ascii="Arial" w:hAnsi="Arial" w:cs="Arial"/>
          <w:highlight w:val="yellow"/>
        </w:rPr>
      </w:pPr>
      <w:r w:rsidRPr="002874CB">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767E2C" w:rsidRDefault="00DF158F" w:rsidP="00DF158F">
      <w:pPr>
        <w:pStyle w:val="AODocTxt"/>
        <w:numPr>
          <w:ilvl w:val="0"/>
          <w:numId w:val="30"/>
        </w:numPr>
        <w:spacing w:before="0" w:line="240" w:lineRule="auto"/>
        <w:ind w:left="426"/>
        <w:rPr>
          <w:rFonts w:ascii="Arial" w:hAnsi="Arial" w:cs="Arial"/>
          <w:highlight w:val="yellow"/>
        </w:rPr>
      </w:pPr>
      <w:r w:rsidRPr="00767E2C">
        <w:rPr>
          <w:rFonts w:ascii="Arial" w:hAnsi="Arial" w:cs="Arial"/>
          <w:highlight w:val="yellow"/>
        </w:rPr>
        <w:t xml:space="preserve">Prosecution of avoidance actions pursuant to section </w:t>
      </w:r>
      <w:proofErr w:type="gramStart"/>
      <w:r w:rsidRPr="00767E2C">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1BEEFD63" w:rsidR="009B07AD" w:rsidRDefault="009B07AD" w:rsidP="00306F3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06F3B">
        <w:rPr>
          <w:rFonts w:ascii="Arial" w:hAnsi="Arial" w:cs="Arial"/>
          <w:color w:val="7B7B7B" w:themeColor="accent3" w:themeShade="BF"/>
          <w:sz w:val="22"/>
          <w:szCs w:val="22"/>
          <w:lang w:val="en-GB"/>
        </w:rPr>
        <w:t>A corporation is eligible to be a debtor under any chapter of the US Bankruptcy Code if the corporation’s place of business is in the United States or if any of its assets are in the United States (Sec 109(a) of the Title 11</w:t>
      </w:r>
      <w:r w:rsidRPr="002A37BB">
        <w:rPr>
          <w:rFonts w:ascii="Arial" w:hAnsi="Arial" w:cs="Arial"/>
          <w:color w:val="7B7B7B" w:themeColor="accent3" w:themeShade="BF"/>
          <w:sz w:val="22"/>
          <w:szCs w:val="22"/>
          <w:lang w:val="en-GB"/>
        </w:rPr>
        <w:t>]</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53AF2FEA" w:rsidR="009B07AD" w:rsidRDefault="009B07AD" w:rsidP="002F166A">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2F166A">
        <w:rPr>
          <w:rFonts w:ascii="Arial" w:hAnsi="Arial" w:cs="Arial"/>
          <w:color w:val="7B7B7B" w:themeColor="accent3" w:themeShade="BF"/>
          <w:sz w:val="22"/>
          <w:szCs w:val="22"/>
        </w:rPr>
        <w:t>An executory contract (defined using the “Countryman test”</w:t>
      </w:r>
      <w:r w:rsidRPr="002A37BB">
        <w:rPr>
          <w:rFonts w:ascii="Arial" w:hAnsi="Arial" w:cs="Arial"/>
          <w:color w:val="7B7B7B" w:themeColor="accent3" w:themeShade="BF"/>
          <w:sz w:val="22"/>
          <w:szCs w:val="22"/>
        </w:rPr>
        <w:t>]</w:t>
      </w:r>
      <w:r w:rsidR="002F166A">
        <w:rPr>
          <w:rFonts w:ascii="Arial" w:hAnsi="Arial" w:cs="Arial"/>
          <w:color w:val="7B7B7B" w:themeColor="accent3" w:themeShade="BF"/>
          <w:sz w:val="22"/>
          <w:szCs w:val="22"/>
        </w:rPr>
        <w:t xml:space="preserve"> is one in which there are material underperformed obligations by the both the bankrupt and the other party that failure to complete performance would constitute a material breach excusing either party from performance of the other.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376BCBF1" w14:textId="77777777" w:rsidR="0002534D" w:rsidRDefault="00C72848" w:rsidP="0002534D">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F166A">
        <w:rPr>
          <w:rFonts w:ascii="Arial" w:hAnsi="Arial" w:cs="Arial"/>
          <w:color w:val="7B7B7B" w:themeColor="accent3" w:themeShade="BF"/>
          <w:sz w:val="22"/>
          <w:szCs w:val="22"/>
          <w:lang w:val="en-GB"/>
        </w:rPr>
        <w:t>A priming lien is granted</w:t>
      </w:r>
      <w:r w:rsidR="0002534D">
        <w:rPr>
          <w:rFonts w:ascii="Arial" w:hAnsi="Arial" w:cs="Arial"/>
          <w:color w:val="7B7B7B" w:themeColor="accent3" w:themeShade="BF"/>
          <w:sz w:val="22"/>
          <w:szCs w:val="22"/>
          <w:lang w:val="en-GB"/>
        </w:rPr>
        <w:t xml:space="preserve"> by Court on estate property to secure post-petition financing. The priming lien is senior or equal to a pre-petition lien.</w:t>
      </w:r>
    </w:p>
    <w:p w14:paraId="714CE894" w14:textId="77777777" w:rsidR="0002534D" w:rsidRDefault="0002534D" w:rsidP="0002534D">
      <w:pPr>
        <w:jc w:val="both"/>
        <w:rPr>
          <w:rFonts w:ascii="Arial" w:hAnsi="Arial" w:cs="Arial"/>
          <w:color w:val="7B7B7B" w:themeColor="accent3" w:themeShade="BF"/>
          <w:sz w:val="22"/>
          <w:szCs w:val="22"/>
          <w:lang w:val="en-GB"/>
        </w:rPr>
      </w:pPr>
    </w:p>
    <w:p w14:paraId="78DB9FD8" w14:textId="58B38DEB" w:rsidR="00C72848" w:rsidRDefault="0002534D" w:rsidP="0002534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grant such lien the debtor must prove: (a) that the interest of the secured creditor being primed is adequately protected; (b) that any other sources of funds do not have such provisions; and (c) that substantial additional credit is being made available to the debtor.</w:t>
      </w:r>
      <w:r w:rsidR="00C72848" w:rsidRPr="002A37BB">
        <w:rPr>
          <w:rFonts w:ascii="Arial" w:hAnsi="Arial" w:cs="Arial"/>
          <w:color w:val="7B7B7B" w:themeColor="accent3" w:themeShade="BF"/>
          <w:sz w:val="22"/>
          <w:szCs w:val="22"/>
          <w:lang w:val="en-GB"/>
        </w:rPr>
        <w:t>]</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070682A1" w14:textId="77777777" w:rsidR="009C33B3" w:rsidRDefault="009954B2"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C33B3">
        <w:rPr>
          <w:rFonts w:ascii="Arial" w:hAnsi="Arial" w:cs="Arial"/>
          <w:color w:val="7B7B7B" w:themeColor="accent3" w:themeShade="BF"/>
          <w:sz w:val="22"/>
          <w:szCs w:val="22"/>
          <w:lang w:val="en-GB"/>
        </w:rPr>
        <w:t>In voting for a plan of reorganisation:</w:t>
      </w:r>
    </w:p>
    <w:p w14:paraId="77AFF6CE" w14:textId="5CCBEC38" w:rsidR="007B0242" w:rsidRDefault="009C33B3" w:rsidP="009C33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An unimpaired class of creditors (including one whose acceleration of debt has been reversed is </w:t>
      </w:r>
      <w:r w:rsidR="007B0242">
        <w:rPr>
          <w:rFonts w:ascii="Arial" w:hAnsi="Arial" w:cs="Arial"/>
          <w:color w:val="7B7B7B" w:themeColor="accent3" w:themeShade="BF"/>
          <w:sz w:val="22"/>
          <w:szCs w:val="22"/>
          <w:lang w:val="en-GB"/>
        </w:rPr>
        <w:t>deemed to accept the plan;</w:t>
      </w:r>
    </w:p>
    <w:p w14:paraId="26882E88" w14:textId="77777777" w:rsidR="007B0242" w:rsidRDefault="007B0242" w:rsidP="009C33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A class of creditors which will receive nothing is deemed to reject the plan;</w:t>
      </w:r>
    </w:p>
    <w:p w14:paraId="296A8396" w14:textId="7FC523D3" w:rsidR="009954B2" w:rsidRDefault="007B0242" w:rsidP="009C33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Only the impaired classes have the right to vote on a plan – they have the most to gain or lose.</w:t>
      </w:r>
      <w:r w:rsidR="009954B2" w:rsidRPr="002A37BB">
        <w:rPr>
          <w:rFonts w:ascii="Arial" w:hAnsi="Arial" w:cs="Arial"/>
          <w:color w:val="7B7B7B" w:themeColor="accent3" w:themeShade="BF"/>
          <w:sz w:val="22"/>
          <w:szCs w:val="22"/>
          <w:lang w:val="en-GB"/>
        </w:rPr>
        <w:t>]</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lastRenderedPageBreak/>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44500CB0" w14:textId="633794A1" w:rsidR="000521DF" w:rsidRDefault="00787BCC" w:rsidP="000521DF">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521DF">
        <w:rPr>
          <w:rFonts w:ascii="Arial" w:hAnsi="Arial" w:cs="Arial"/>
          <w:color w:val="7B7B7B" w:themeColor="accent3" w:themeShade="BF"/>
          <w:sz w:val="22"/>
          <w:szCs w:val="22"/>
          <w:lang w:val="en-GB"/>
        </w:rPr>
        <w:t xml:space="preserve">The automatic stay in chapter 15 proceedings is </w:t>
      </w:r>
      <w:r w:rsidR="003E108A">
        <w:rPr>
          <w:rFonts w:ascii="Arial" w:hAnsi="Arial" w:cs="Arial"/>
          <w:color w:val="7B7B7B" w:themeColor="accent3" w:themeShade="BF"/>
          <w:sz w:val="22"/>
          <w:szCs w:val="22"/>
          <w:lang w:val="en-GB"/>
        </w:rPr>
        <w:t>limited only to property located in the United States. Courts have held that chapter 15 does not create an estate, but is used by a foreign representative to obtain US recognition of foreign insolvency proceeding</w:t>
      </w:r>
      <w:r w:rsidR="007C747B">
        <w:rPr>
          <w:rFonts w:ascii="Arial" w:hAnsi="Arial" w:cs="Arial"/>
          <w:color w:val="7B7B7B" w:themeColor="accent3" w:themeShade="BF"/>
          <w:sz w:val="22"/>
          <w:szCs w:val="22"/>
          <w:lang w:val="en-GB"/>
        </w:rPr>
        <w:t xml:space="preserve"> (see </w:t>
      </w:r>
      <w:r w:rsidR="007C747B">
        <w:rPr>
          <w:rFonts w:ascii="Arial" w:hAnsi="Arial" w:cs="Arial"/>
          <w:i/>
          <w:color w:val="7B7B7B" w:themeColor="accent3" w:themeShade="BF"/>
          <w:sz w:val="22"/>
          <w:szCs w:val="22"/>
          <w:lang w:val="en-GB"/>
        </w:rPr>
        <w:t xml:space="preserve">re JSC BTA Bank No 10-10638, 2010 </w:t>
      </w:r>
      <w:proofErr w:type="spellStart"/>
      <w:r w:rsidR="007C747B">
        <w:rPr>
          <w:rFonts w:ascii="Arial" w:hAnsi="Arial" w:cs="Arial"/>
          <w:i/>
          <w:color w:val="7B7B7B" w:themeColor="accent3" w:themeShade="BF"/>
          <w:sz w:val="22"/>
          <w:szCs w:val="22"/>
          <w:lang w:val="en-GB"/>
        </w:rPr>
        <w:t>Bankr</w:t>
      </w:r>
      <w:proofErr w:type="spellEnd"/>
      <w:r w:rsidR="007C747B">
        <w:rPr>
          <w:rFonts w:ascii="Arial" w:hAnsi="Arial" w:cs="Arial"/>
          <w:i/>
          <w:color w:val="7B7B7B" w:themeColor="accent3" w:themeShade="BF"/>
          <w:sz w:val="22"/>
          <w:szCs w:val="22"/>
          <w:lang w:val="en-GB"/>
        </w:rPr>
        <w:t xml:space="preserve"> LEXIS 2496</w:t>
      </w:r>
      <w:r w:rsidR="000521DF">
        <w:rPr>
          <w:rFonts w:ascii="Arial" w:hAnsi="Arial" w:cs="Arial"/>
          <w:color w:val="7B7B7B" w:themeColor="accent3" w:themeShade="BF"/>
          <w:sz w:val="22"/>
          <w:szCs w:val="22"/>
          <w:lang w:val="en-GB"/>
        </w:rPr>
        <w:t>.</w:t>
      </w:r>
    </w:p>
    <w:p w14:paraId="6D5459B9" w14:textId="77777777" w:rsidR="000521DF" w:rsidRDefault="000521DF" w:rsidP="000521DF">
      <w:pPr>
        <w:jc w:val="both"/>
        <w:rPr>
          <w:rFonts w:ascii="Arial" w:hAnsi="Arial" w:cs="Arial"/>
          <w:color w:val="7B7B7B" w:themeColor="accent3" w:themeShade="BF"/>
          <w:sz w:val="22"/>
          <w:szCs w:val="22"/>
          <w:lang w:val="en-GB"/>
        </w:rPr>
      </w:pPr>
    </w:p>
    <w:p w14:paraId="27D8A4BF" w14:textId="076FAFAC" w:rsidR="00787BCC" w:rsidRDefault="000521DF" w:rsidP="000521D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in chapter 11 is extremely broad in scope, is worldwide and comes into effect immediately on the filing of any plenary petition.</w:t>
      </w:r>
      <w:r w:rsidR="00787BCC" w:rsidRPr="002A37BB">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57853FDC" w:rsid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2DEFC8FE" w14:textId="77777777" w:rsidR="007326FF" w:rsidRPr="000A636A" w:rsidRDefault="007326FF" w:rsidP="000A636A">
      <w:pPr>
        <w:pStyle w:val="AODocTxt"/>
        <w:spacing w:before="0" w:line="240" w:lineRule="auto"/>
        <w:rPr>
          <w:rFonts w:ascii="Arial" w:hAnsi="Arial" w:cs="Arial"/>
        </w:rPr>
      </w:pPr>
    </w:p>
    <w:p w14:paraId="4FCB35F7" w14:textId="37D17869" w:rsidR="00576640"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F3B95">
        <w:rPr>
          <w:rFonts w:ascii="Arial" w:hAnsi="Arial" w:cs="Arial"/>
          <w:color w:val="7B7B7B" w:themeColor="accent3" w:themeShade="BF"/>
          <w:sz w:val="22"/>
          <w:szCs w:val="22"/>
          <w:lang w:val="en-GB"/>
        </w:rPr>
        <w:t xml:space="preserve">Directors have the primary duties of care and loyalty. The duty of care requires that the directors exercise the degree of care that </w:t>
      </w:r>
      <w:r w:rsidR="00576640">
        <w:rPr>
          <w:rFonts w:ascii="Arial" w:hAnsi="Arial" w:cs="Arial"/>
          <w:color w:val="7B7B7B" w:themeColor="accent3" w:themeShade="BF"/>
          <w:sz w:val="22"/>
          <w:szCs w:val="22"/>
          <w:lang w:val="en-GB"/>
        </w:rPr>
        <w:t>“</w:t>
      </w:r>
      <w:r w:rsidR="00AF3B95">
        <w:rPr>
          <w:rFonts w:ascii="Arial" w:hAnsi="Arial" w:cs="Arial"/>
          <w:color w:val="7B7B7B" w:themeColor="accent3" w:themeShade="BF"/>
          <w:sz w:val="22"/>
          <w:szCs w:val="22"/>
          <w:lang w:val="en-GB"/>
        </w:rPr>
        <w:t>ordinarily careful and prudent men would use</w:t>
      </w:r>
      <w:r w:rsidR="007326FF">
        <w:rPr>
          <w:rFonts w:ascii="Arial" w:hAnsi="Arial" w:cs="Arial"/>
          <w:color w:val="7B7B7B" w:themeColor="accent3" w:themeShade="BF"/>
          <w:sz w:val="22"/>
          <w:szCs w:val="22"/>
          <w:lang w:val="en-GB"/>
        </w:rPr>
        <w:t xml:space="preserve"> under</w:t>
      </w:r>
      <w:r w:rsidR="00AF3B95">
        <w:rPr>
          <w:rFonts w:ascii="Arial" w:hAnsi="Arial" w:cs="Arial"/>
          <w:color w:val="7B7B7B" w:themeColor="accent3" w:themeShade="BF"/>
          <w:sz w:val="22"/>
          <w:szCs w:val="22"/>
          <w:lang w:val="en-GB"/>
        </w:rPr>
        <w:t xml:space="preserve"> the circumstances”</w:t>
      </w:r>
      <w:r w:rsidR="00576640">
        <w:rPr>
          <w:rFonts w:ascii="Arial" w:hAnsi="Arial" w:cs="Arial"/>
          <w:color w:val="7B7B7B" w:themeColor="accent3" w:themeShade="BF"/>
          <w:sz w:val="22"/>
          <w:szCs w:val="22"/>
          <w:lang w:val="en-GB"/>
        </w:rPr>
        <w:t xml:space="preserve">. The duty of honesty requires directors to act in the best interest of the corporation and its shareholders. The duty of honesty prohibits self-dealing and </w:t>
      </w:r>
      <w:r w:rsidR="007326FF">
        <w:rPr>
          <w:rFonts w:ascii="Arial" w:hAnsi="Arial" w:cs="Arial"/>
          <w:color w:val="7B7B7B" w:themeColor="accent3" w:themeShade="BF"/>
          <w:sz w:val="22"/>
          <w:szCs w:val="22"/>
          <w:lang w:val="en-GB"/>
        </w:rPr>
        <w:t>abuse</w:t>
      </w:r>
      <w:r w:rsidR="00576640">
        <w:rPr>
          <w:rFonts w:ascii="Arial" w:hAnsi="Arial" w:cs="Arial"/>
          <w:color w:val="7B7B7B" w:themeColor="accent3" w:themeShade="BF"/>
          <w:sz w:val="22"/>
          <w:szCs w:val="22"/>
          <w:lang w:val="en-GB"/>
        </w:rPr>
        <w:t xml:space="preserve"> of corporate opportunities by directors.</w:t>
      </w:r>
    </w:p>
    <w:p w14:paraId="6B44006A" w14:textId="77777777" w:rsidR="00576640" w:rsidRDefault="00576640" w:rsidP="002A37BB">
      <w:pPr>
        <w:jc w:val="both"/>
        <w:rPr>
          <w:rFonts w:ascii="Arial" w:hAnsi="Arial" w:cs="Arial"/>
          <w:color w:val="7B7B7B" w:themeColor="accent3" w:themeShade="BF"/>
          <w:sz w:val="22"/>
          <w:szCs w:val="22"/>
          <w:lang w:val="en-GB"/>
        </w:rPr>
      </w:pPr>
    </w:p>
    <w:p w14:paraId="51A4B2CC" w14:textId="1BC60E50" w:rsidR="00576640" w:rsidRDefault="005766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discharge of their fiduciary duties, directors have the benefit of the “business judgement rule”. This rule presumes that in making business decisions, directors act on an informed basis, in good faith</w:t>
      </w:r>
      <w:r w:rsidR="007326F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in the honest belief that the action taken </w:t>
      </w:r>
      <w:r w:rsidR="007326FF">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in the best interest of the corporation.</w:t>
      </w:r>
    </w:p>
    <w:p w14:paraId="4D214827" w14:textId="77777777" w:rsidR="00576640" w:rsidRDefault="00576640" w:rsidP="002A37BB">
      <w:pPr>
        <w:jc w:val="both"/>
        <w:rPr>
          <w:rFonts w:ascii="Arial" w:hAnsi="Arial" w:cs="Arial"/>
          <w:color w:val="7B7B7B" w:themeColor="accent3" w:themeShade="BF"/>
          <w:sz w:val="22"/>
          <w:szCs w:val="22"/>
          <w:lang w:val="en-GB"/>
        </w:rPr>
      </w:pPr>
    </w:p>
    <w:p w14:paraId="7D292730" w14:textId="1831DA06" w:rsidR="00576640" w:rsidRDefault="00576640" w:rsidP="002A37BB">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Under Delaware law, the directors’ fiduciary duties lie with the </w:t>
      </w:r>
      <w:r w:rsidR="007326FF">
        <w:rPr>
          <w:rFonts w:ascii="Arial" w:hAnsi="Arial" w:cs="Arial"/>
          <w:color w:val="7B7B7B" w:themeColor="accent3" w:themeShade="BF"/>
          <w:sz w:val="22"/>
          <w:szCs w:val="22"/>
          <w:lang w:val="en-GB"/>
        </w:rPr>
        <w:t xml:space="preserve">solvent </w:t>
      </w:r>
      <w:r>
        <w:rPr>
          <w:rFonts w:ascii="Arial" w:hAnsi="Arial" w:cs="Arial"/>
          <w:color w:val="7B7B7B" w:themeColor="accent3" w:themeShade="BF"/>
          <w:sz w:val="22"/>
          <w:szCs w:val="22"/>
          <w:lang w:val="en-GB"/>
        </w:rPr>
        <w:t xml:space="preserve">corporation, which is managed for the benefit of its shareholders. No fiduciary duties are owed to the creditors of a solvent corporation (see </w:t>
      </w:r>
      <w:r>
        <w:rPr>
          <w:rFonts w:ascii="Arial" w:hAnsi="Arial" w:cs="Arial"/>
          <w:i/>
          <w:color w:val="7B7B7B" w:themeColor="accent3" w:themeShade="BF"/>
          <w:sz w:val="22"/>
          <w:szCs w:val="22"/>
          <w:lang w:val="en-GB"/>
        </w:rPr>
        <w:t xml:space="preserve">North Am Catholic Educational Programming Foundation </w:t>
      </w:r>
      <w:proofErr w:type="spellStart"/>
      <w:r>
        <w:rPr>
          <w:rFonts w:ascii="Arial" w:hAnsi="Arial" w:cs="Arial"/>
          <w:i/>
          <w:color w:val="7B7B7B" w:themeColor="accent3" w:themeShade="BF"/>
          <w:sz w:val="22"/>
          <w:szCs w:val="22"/>
          <w:lang w:val="en-GB"/>
        </w:rPr>
        <w:t>Inc</w:t>
      </w:r>
      <w:proofErr w:type="spellEnd"/>
      <w:r>
        <w:rPr>
          <w:rFonts w:ascii="Arial" w:hAnsi="Arial" w:cs="Arial"/>
          <w:i/>
          <w:color w:val="7B7B7B" w:themeColor="accent3" w:themeShade="BF"/>
          <w:sz w:val="22"/>
          <w:szCs w:val="22"/>
          <w:lang w:val="en-GB"/>
        </w:rPr>
        <w:t xml:space="preserve"> Vs </w:t>
      </w:r>
      <w:proofErr w:type="spellStart"/>
      <w:r>
        <w:rPr>
          <w:rFonts w:ascii="Arial" w:hAnsi="Arial" w:cs="Arial"/>
          <w:i/>
          <w:color w:val="7B7B7B" w:themeColor="accent3" w:themeShade="BF"/>
          <w:sz w:val="22"/>
          <w:szCs w:val="22"/>
          <w:lang w:val="en-GB"/>
        </w:rPr>
        <w:t>Gheewala</w:t>
      </w:r>
      <w:proofErr w:type="spellEnd"/>
      <w:r>
        <w:rPr>
          <w:rFonts w:ascii="Arial" w:hAnsi="Arial" w:cs="Arial"/>
          <w:i/>
          <w:color w:val="7B7B7B" w:themeColor="accent3" w:themeShade="BF"/>
          <w:sz w:val="22"/>
          <w:szCs w:val="22"/>
          <w:lang w:val="en-GB"/>
        </w:rPr>
        <w:t xml:space="preserve"> 930 A.2d 92, 103 (Del 2007)</w:t>
      </w:r>
    </w:p>
    <w:p w14:paraId="1C18DAEC" w14:textId="77777777" w:rsidR="00576640" w:rsidRDefault="00576640" w:rsidP="002A37BB">
      <w:pPr>
        <w:jc w:val="both"/>
        <w:rPr>
          <w:rFonts w:ascii="Arial" w:hAnsi="Arial" w:cs="Arial"/>
          <w:color w:val="7B7B7B" w:themeColor="accent3" w:themeShade="BF"/>
          <w:sz w:val="22"/>
          <w:szCs w:val="22"/>
          <w:lang w:val="en-GB"/>
        </w:rPr>
      </w:pPr>
    </w:p>
    <w:p w14:paraId="686057B3" w14:textId="6B70D308" w:rsidR="007326FF" w:rsidRDefault="0057664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duties </w:t>
      </w:r>
      <w:r w:rsidR="007326FF">
        <w:rPr>
          <w:rFonts w:ascii="Arial" w:hAnsi="Arial" w:cs="Arial"/>
          <w:color w:val="7B7B7B" w:themeColor="accent3" w:themeShade="BF"/>
          <w:sz w:val="22"/>
          <w:szCs w:val="22"/>
          <w:lang w:val="en-GB"/>
        </w:rPr>
        <w:t xml:space="preserve">do not change as insolvency becomes more likely. In </w:t>
      </w:r>
      <w:proofErr w:type="spellStart"/>
      <w:r w:rsidR="007326FF">
        <w:rPr>
          <w:rFonts w:ascii="Arial" w:hAnsi="Arial" w:cs="Arial"/>
          <w:i/>
          <w:color w:val="7B7B7B" w:themeColor="accent3" w:themeShade="BF"/>
          <w:sz w:val="22"/>
          <w:szCs w:val="22"/>
          <w:lang w:val="en-GB"/>
        </w:rPr>
        <w:t>Gheewala</w:t>
      </w:r>
      <w:proofErr w:type="spellEnd"/>
      <w:r w:rsidR="007326FF">
        <w:rPr>
          <w:rFonts w:ascii="Arial" w:hAnsi="Arial" w:cs="Arial"/>
          <w:i/>
          <w:color w:val="7B7B7B" w:themeColor="accent3" w:themeShade="BF"/>
          <w:sz w:val="22"/>
          <w:szCs w:val="22"/>
          <w:lang w:val="en-GB"/>
        </w:rPr>
        <w:t xml:space="preserve"> </w:t>
      </w:r>
      <w:r w:rsidR="007326FF">
        <w:rPr>
          <w:rFonts w:ascii="Arial" w:hAnsi="Arial" w:cs="Arial"/>
          <w:color w:val="7B7B7B" w:themeColor="accent3" w:themeShade="BF"/>
          <w:sz w:val="22"/>
          <w:szCs w:val="22"/>
          <w:lang w:val="en-GB"/>
        </w:rPr>
        <w:t>court held that “directors must continue to discharge their fiduciary duties to the corporation and its shareholders by exercising their business judgement in the best interest of the corporation for the benefit of its shareholder owners”</w:t>
      </w:r>
      <w:r w:rsidR="0043571E">
        <w:rPr>
          <w:rFonts w:ascii="Arial" w:hAnsi="Arial" w:cs="Arial"/>
          <w:color w:val="7B7B7B" w:themeColor="accent3" w:themeShade="BF"/>
          <w:sz w:val="22"/>
          <w:szCs w:val="22"/>
          <w:lang w:val="en-GB"/>
        </w:rPr>
        <w:t>.</w:t>
      </w:r>
    </w:p>
    <w:p w14:paraId="27D4E680" w14:textId="77777777" w:rsidR="007326FF" w:rsidRDefault="007326FF" w:rsidP="002A37BB">
      <w:pPr>
        <w:jc w:val="both"/>
        <w:rPr>
          <w:rFonts w:ascii="Arial" w:hAnsi="Arial" w:cs="Arial"/>
          <w:color w:val="7B7B7B" w:themeColor="accent3" w:themeShade="BF"/>
          <w:sz w:val="22"/>
          <w:szCs w:val="22"/>
          <w:lang w:val="en-GB"/>
        </w:rPr>
      </w:pPr>
    </w:p>
    <w:p w14:paraId="4024A332" w14:textId="6AB3B7FD" w:rsidR="00544127" w:rsidRPr="002A37BB" w:rsidRDefault="007326FF" w:rsidP="002A37BB">
      <w:pPr>
        <w:jc w:val="both"/>
        <w:rPr>
          <w:rFonts w:ascii="Arial" w:hAnsi="Arial" w:cs="Arial"/>
          <w:sz w:val="22"/>
          <w:szCs w:val="22"/>
        </w:rPr>
      </w:pPr>
      <w:r>
        <w:rPr>
          <w:rFonts w:ascii="Arial" w:hAnsi="Arial" w:cs="Arial"/>
          <w:color w:val="7B7B7B" w:themeColor="accent3" w:themeShade="BF"/>
          <w:sz w:val="22"/>
          <w:szCs w:val="22"/>
          <w:lang w:val="en-GB"/>
        </w:rPr>
        <w:t xml:space="preserve">Once the corporation becomes insolvent the ultimate beneficiaries for whom the fiduciary duty is exercised become the creditors. However, whether solvent, potentially insolvent or actually insolvent, the duties of the directors are fundamentally the same, to pursue “value maximising strategies” for the benefit of the corporation and its residual stakeholders (see </w:t>
      </w:r>
      <w:proofErr w:type="spellStart"/>
      <w:r>
        <w:rPr>
          <w:rFonts w:ascii="Arial" w:hAnsi="Arial" w:cs="Arial"/>
          <w:i/>
          <w:color w:val="7B7B7B" w:themeColor="accent3" w:themeShade="BF"/>
          <w:sz w:val="22"/>
          <w:szCs w:val="22"/>
          <w:lang w:val="en-GB"/>
        </w:rPr>
        <w:t>Trenwick</w:t>
      </w:r>
      <w:proofErr w:type="spellEnd"/>
      <w:r>
        <w:rPr>
          <w:rFonts w:ascii="Arial" w:hAnsi="Arial" w:cs="Arial"/>
          <w:i/>
          <w:color w:val="7B7B7B" w:themeColor="accent3" w:themeShade="BF"/>
          <w:sz w:val="22"/>
          <w:szCs w:val="22"/>
          <w:lang w:val="en-GB"/>
        </w:rPr>
        <w:t xml:space="preserve"> Am </w:t>
      </w:r>
      <w:proofErr w:type="spellStart"/>
      <w:r>
        <w:rPr>
          <w:rFonts w:ascii="Arial" w:hAnsi="Arial" w:cs="Arial"/>
          <w:i/>
          <w:color w:val="7B7B7B" w:themeColor="accent3" w:themeShade="BF"/>
          <w:sz w:val="22"/>
          <w:szCs w:val="22"/>
          <w:lang w:val="en-GB"/>
        </w:rPr>
        <w:t>Litig</w:t>
      </w:r>
      <w:proofErr w:type="spellEnd"/>
      <w:r>
        <w:rPr>
          <w:rFonts w:ascii="Arial" w:hAnsi="Arial" w:cs="Arial"/>
          <w:i/>
          <w:color w:val="7B7B7B" w:themeColor="accent3" w:themeShade="BF"/>
          <w:sz w:val="22"/>
          <w:szCs w:val="22"/>
          <w:lang w:val="en-GB"/>
        </w:rPr>
        <w:t xml:space="preserve"> Trust v Ernst &amp; Young LLP 906 A.2d 168 (Del </w:t>
      </w:r>
      <w:proofErr w:type="spellStart"/>
      <w:r>
        <w:rPr>
          <w:rFonts w:ascii="Arial" w:hAnsi="Arial" w:cs="Arial"/>
          <w:i/>
          <w:color w:val="7B7B7B" w:themeColor="accent3" w:themeShade="BF"/>
          <w:sz w:val="22"/>
          <w:szCs w:val="22"/>
          <w:lang w:val="en-GB"/>
        </w:rPr>
        <w:t>Ch</w:t>
      </w:r>
      <w:proofErr w:type="spellEnd"/>
      <w:r>
        <w:rPr>
          <w:rFonts w:ascii="Arial" w:hAnsi="Arial" w:cs="Arial"/>
          <w:i/>
          <w:color w:val="7B7B7B" w:themeColor="accent3" w:themeShade="BF"/>
          <w:sz w:val="22"/>
          <w:szCs w:val="22"/>
          <w:lang w:val="en-GB"/>
        </w:rPr>
        <w:t xml:space="preserve"> 2006).</w:t>
      </w:r>
      <w:r w:rsidR="00DF75F8" w:rsidRPr="002A37BB">
        <w:rPr>
          <w:rFonts w:ascii="Arial" w:hAnsi="Arial" w:cs="Arial"/>
          <w:color w:val="7B7B7B" w:themeColor="accent3" w:themeShade="BF"/>
          <w:sz w:val="22"/>
          <w:szCs w:val="22"/>
          <w:lang w:val="en-GB"/>
        </w:rPr>
        <w: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24E41D36" w:rsid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5E4175E2" w14:textId="226F3CD4" w:rsidR="00351B0E" w:rsidRDefault="00351B0E" w:rsidP="00D14336">
      <w:pPr>
        <w:pStyle w:val="AODocTxt"/>
        <w:spacing w:before="0" w:line="240" w:lineRule="auto"/>
        <w:rPr>
          <w:rFonts w:ascii="Arial" w:hAnsi="Arial" w:cs="Arial"/>
        </w:rPr>
      </w:pPr>
    </w:p>
    <w:p w14:paraId="6785D3F3" w14:textId="3CA295A5" w:rsidR="00406702" w:rsidRDefault="00DF75F8" w:rsidP="002A37BB">
      <w:pPr>
        <w:jc w:val="both"/>
        <w:rPr>
          <w:rFonts w:ascii="Arial" w:hAnsi="Arial" w:cs="Arial"/>
          <w:i/>
          <w:color w:val="7B7B7B" w:themeColor="accent3" w:themeShade="BF"/>
          <w:sz w:val="22"/>
          <w:szCs w:val="22"/>
          <w:lang w:val="en-GB"/>
        </w:rPr>
      </w:pPr>
      <w:r w:rsidRPr="002A37BB">
        <w:rPr>
          <w:rFonts w:ascii="Arial" w:hAnsi="Arial" w:cs="Arial"/>
          <w:color w:val="7B7B7B" w:themeColor="accent3" w:themeShade="BF"/>
          <w:sz w:val="22"/>
          <w:szCs w:val="22"/>
          <w:lang w:val="en-GB"/>
        </w:rPr>
        <w:lastRenderedPageBreak/>
        <w:t>[</w:t>
      </w:r>
      <w:r w:rsidR="00351B0E">
        <w:rPr>
          <w:rFonts w:ascii="Arial" w:hAnsi="Arial" w:cs="Arial"/>
          <w:color w:val="7B7B7B" w:themeColor="accent3" w:themeShade="BF"/>
          <w:sz w:val="22"/>
          <w:szCs w:val="22"/>
          <w:lang w:val="en-GB"/>
        </w:rPr>
        <w:t>An order is final for appeal purposes, when a decision has been entered that “ends the litigation on the merits and leaves nothing for the courts to do but to execute the judgement” (see C</w:t>
      </w:r>
      <w:r w:rsidR="00351B0E">
        <w:rPr>
          <w:rFonts w:ascii="Arial" w:hAnsi="Arial" w:cs="Arial"/>
          <w:i/>
          <w:color w:val="7B7B7B" w:themeColor="accent3" w:themeShade="BF"/>
          <w:sz w:val="22"/>
          <w:szCs w:val="22"/>
          <w:lang w:val="en-GB"/>
        </w:rPr>
        <w:t xml:space="preserve">oopers &amp; Lybrand Vs </w:t>
      </w:r>
      <w:proofErr w:type="spellStart"/>
      <w:r w:rsidR="00351B0E">
        <w:rPr>
          <w:rFonts w:ascii="Arial" w:hAnsi="Arial" w:cs="Arial"/>
          <w:i/>
          <w:color w:val="7B7B7B" w:themeColor="accent3" w:themeShade="BF"/>
          <w:sz w:val="22"/>
          <w:szCs w:val="22"/>
          <w:lang w:val="en-GB"/>
        </w:rPr>
        <w:t>Livesay</w:t>
      </w:r>
      <w:proofErr w:type="spellEnd"/>
      <w:r w:rsidR="00351B0E">
        <w:rPr>
          <w:rFonts w:ascii="Arial" w:hAnsi="Arial" w:cs="Arial"/>
          <w:i/>
          <w:color w:val="7B7B7B" w:themeColor="accent3" w:themeShade="BF"/>
          <w:sz w:val="22"/>
          <w:szCs w:val="22"/>
          <w:lang w:val="en-GB"/>
        </w:rPr>
        <w:t xml:space="preserve"> 437 U.S. 437, 467 (1978))</w:t>
      </w:r>
      <w:r w:rsidR="00406702">
        <w:rPr>
          <w:rFonts w:ascii="Arial" w:hAnsi="Arial" w:cs="Arial"/>
          <w:i/>
          <w:color w:val="7B7B7B" w:themeColor="accent3" w:themeShade="BF"/>
          <w:sz w:val="22"/>
          <w:szCs w:val="22"/>
          <w:lang w:val="en-GB"/>
        </w:rPr>
        <w:t xml:space="preserve">. </w:t>
      </w:r>
    </w:p>
    <w:p w14:paraId="1BC5BD4B" w14:textId="77777777" w:rsidR="00406702" w:rsidRDefault="00406702" w:rsidP="002A37BB">
      <w:pPr>
        <w:jc w:val="both"/>
        <w:rPr>
          <w:rFonts w:ascii="Arial" w:hAnsi="Arial" w:cs="Arial"/>
          <w:i/>
          <w:color w:val="7B7B7B" w:themeColor="accent3" w:themeShade="BF"/>
          <w:sz w:val="22"/>
          <w:szCs w:val="22"/>
          <w:lang w:val="en-GB"/>
        </w:rPr>
      </w:pPr>
    </w:p>
    <w:p w14:paraId="4FA55AF1" w14:textId="26022DD1" w:rsidR="00406702" w:rsidRPr="00FB5D20" w:rsidRDefault="00406702" w:rsidP="002A37BB">
      <w:pPr>
        <w:jc w:val="both"/>
        <w:rPr>
          <w:rFonts w:ascii="Arial" w:hAnsi="Arial" w:cs="Arial"/>
          <w:color w:val="7B7B7B" w:themeColor="accent3" w:themeShade="BF"/>
          <w:sz w:val="22"/>
          <w:szCs w:val="22"/>
          <w:lang w:val="en-GB"/>
        </w:rPr>
      </w:pPr>
      <w:r w:rsidRPr="00FB5D20">
        <w:rPr>
          <w:rFonts w:ascii="Arial" w:hAnsi="Arial" w:cs="Arial"/>
          <w:color w:val="7B7B7B" w:themeColor="accent3" w:themeShade="BF"/>
          <w:sz w:val="22"/>
          <w:szCs w:val="22"/>
          <w:lang w:val="en-GB"/>
        </w:rPr>
        <w:t xml:space="preserve">A distinction is </w:t>
      </w:r>
      <w:r w:rsidR="00FB5D20">
        <w:rPr>
          <w:rFonts w:ascii="Arial" w:hAnsi="Arial" w:cs="Arial"/>
          <w:color w:val="7B7B7B" w:themeColor="accent3" w:themeShade="BF"/>
          <w:sz w:val="22"/>
          <w:szCs w:val="22"/>
          <w:lang w:val="en-GB"/>
        </w:rPr>
        <w:t xml:space="preserve">often </w:t>
      </w:r>
      <w:r w:rsidRPr="00FB5D20">
        <w:rPr>
          <w:rFonts w:ascii="Arial" w:hAnsi="Arial" w:cs="Arial"/>
          <w:color w:val="7B7B7B" w:themeColor="accent3" w:themeShade="BF"/>
          <w:sz w:val="22"/>
          <w:szCs w:val="22"/>
          <w:lang w:val="en-GB"/>
        </w:rPr>
        <w:t>made between “core” and “non-core” matters. Bankruptcy judges are permitted to hear and determine only core proceedings. The Statute contains a non-exhaustive list of core proceedings in Section 157(b</w:t>
      </w:r>
      <w:proofErr w:type="gramStart"/>
      <w:r w:rsidRPr="00FB5D20">
        <w:rPr>
          <w:rFonts w:ascii="Arial" w:hAnsi="Arial" w:cs="Arial"/>
          <w:color w:val="7B7B7B" w:themeColor="accent3" w:themeShade="BF"/>
          <w:sz w:val="22"/>
          <w:szCs w:val="22"/>
          <w:lang w:val="en-GB"/>
        </w:rPr>
        <w:t>)(</w:t>
      </w:r>
      <w:proofErr w:type="gramEnd"/>
      <w:r w:rsidRPr="00FB5D20">
        <w:rPr>
          <w:rFonts w:ascii="Arial" w:hAnsi="Arial" w:cs="Arial"/>
          <w:color w:val="7B7B7B" w:themeColor="accent3" w:themeShade="BF"/>
          <w:sz w:val="22"/>
          <w:szCs w:val="22"/>
          <w:lang w:val="en-GB"/>
        </w:rPr>
        <w:t>2). The bankruptcy court can only make final orders on “core” matters. A bankruptcy court can only hear non-core proceedings that are sufficiently related to the bankruptcy proceedings, but cannot make a final determination on such matters</w:t>
      </w:r>
      <w:r w:rsidR="00F2475A" w:rsidRPr="00FB5D20">
        <w:rPr>
          <w:rFonts w:ascii="Arial" w:hAnsi="Arial" w:cs="Arial"/>
          <w:color w:val="7B7B7B" w:themeColor="accent3" w:themeShade="BF"/>
          <w:sz w:val="22"/>
          <w:szCs w:val="22"/>
          <w:lang w:val="en-GB"/>
        </w:rPr>
        <w:t>. Instead the bankruptcy court proposes findings of fact and conclusions of law to the district court for a final decision.</w:t>
      </w:r>
    </w:p>
    <w:p w14:paraId="26BB26E1" w14:textId="18CB8922" w:rsidR="00F2475A" w:rsidRDefault="00F2475A" w:rsidP="002A37BB">
      <w:pPr>
        <w:jc w:val="both"/>
        <w:rPr>
          <w:rFonts w:ascii="Arial" w:hAnsi="Arial" w:cs="Arial"/>
          <w:i/>
          <w:color w:val="7B7B7B" w:themeColor="accent3" w:themeShade="BF"/>
          <w:sz w:val="22"/>
          <w:szCs w:val="22"/>
          <w:lang w:val="en-GB"/>
        </w:rPr>
      </w:pPr>
    </w:p>
    <w:p w14:paraId="53589AF1" w14:textId="42163CF1" w:rsidR="00F2475A" w:rsidRPr="00F2475A" w:rsidRDefault="00F2475A" w:rsidP="002A37BB">
      <w:pPr>
        <w:jc w:val="both"/>
        <w:rPr>
          <w:rFonts w:ascii="Arial" w:hAnsi="Arial" w:cs="Arial"/>
          <w:color w:val="7B7B7B" w:themeColor="accent3" w:themeShade="BF"/>
          <w:sz w:val="22"/>
          <w:szCs w:val="22"/>
          <w:lang w:val="en-GB"/>
        </w:rPr>
      </w:pPr>
      <w:r w:rsidRPr="00F2475A">
        <w:rPr>
          <w:rFonts w:ascii="Arial" w:hAnsi="Arial" w:cs="Arial"/>
          <w:color w:val="7B7B7B" w:themeColor="accent3" w:themeShade="BF"/>
          <w:sz w:val="22"/>
          <w:szCs w:val="22"/>
          <w:lang w:val="en-GB"/>
        </w:rPr>
        <w:t xml:space="preserve">In </w:t>
      </w:r>
      <w:r>
        <w:rPr>
          <w:rFonts w:ascii="Arial" w:hAnsi="Arial" w:cs="Arial"/>
          <w:i/>
          <w:color w:val="7B7B7B" w:themeColor="accent3" w:themeShade="BF"/>
          <w:sz w:val="22"/>
          <w:szCs w:val="22"/>
          <w:lang w:val="en-GB"/>
        </w:rPr>
        <w:t xml:space="preserve">Stern Vs Marshall 564 US 462 (2011), </w:t>
      </w:r>
      <w:r w:rsidRPr="00F2475A">
        <w:rPr>
          <w:rFonts w:ascii="Arial" w:hAnsi="Arial" w:cs="Arial"/>
          <w:color w:val="7B7B7B" w:themeColor="accent3" w:themeShade="BF"/>
          <w:sz w:val="22"/>
          <w:szCs w:val="22"/>
          <w:lang w:val="en-GB"/>
        </w:rPr>
        <w:t>the Supreme Court held that even in core proceedings the bankruptcy court lacked the Article III clothing to make final decision</w:t>
      </w:r>
      <w:r w:rsidR="00FB5D20">
        <w:rPr>
          <w:rFonts w:ascii="Arial" w:hAnsi="Arial" w:cs="Arial"/>
          <w:color w:val="7B7B7B" w:themeColor="accent3" w:themeShade="BF"/>
          <w:sz w:val="22"/>
          <w:szCs w:val="22"/>
          <w:lang w:val="en-GB"/>
        </w:rPr>
        <w:t>s</w:t>
      </w:r>
      <w:r w:rsidRPr="00F2475A">
        <w:rPr>
          <w:rFonts w:ascii="Arial" w:hAnsi="Arial" w:cs="Arial"/>
          <w:color w:val="7B7B7B" w:themeColor="accent3" w:themeShade="BF"/>
          <w:sz w:val="22"/>
          <w:szCs w:val="22"/>
          <w:lang w:val="en-GB"/>
        </w:rPr>
        <w:t xml:space="preserve"> on bankruptcy</w:t>
      </w:r>
      <w:r w:rsidR="00FB5D20">
        <w:rPr>
          <w:rFonts w:ascii="Arial" w:hAnsi="Arial" w:cs="Arial"/>
          <w:color w:val="7B7B7B" w:themeColor="accent3" w:themeShade="BF"/>
          <w:sz w:val="22"/>
          <w:szCs w:val="22"/>
          <w:lang w:val="en-GB"/>
        </w:rPr>
        <w:t xml:space="preserve"> matters</w:t>
      </w:r>
      <w:r w:rsidRPr="00F2475A">
        <w:rPr>
          <w:rFonts w:ascii="Arial" w:hAnsi="Arial" w:cs="Arial"/>
          <w:color w:val="7B7B7B" w:themeColor="accent3" w:themeShade="BF"/>
          <w:sz w:val="22"/>
          <w:szCs w:val="22"/>
          <w:lang w:val="en-GB"/>
        </w:rPr>
        <w:t>.</w:t>
      </w:r>
    </w:p>
    <w:p w14:paraId="0ECAC4C2" w14:textId="1F78A2B3" w:rsidR="00F2475A" w:rsidRPr="00F2475A" w:rsidRDefault="00F2475A" w:rsidP="002A37BB">
      <w:pPr>
        <w:jc w:val="both"/>
        <w:rPr>
          <w:rFonts w:ascii="Arial" w:hAnsi="Arial" w:cs="Arial"/>
          <w:color w:val="7B7B7B" w:themeColor="accent3" w:themeShade="BF"/>
          <w:sz w:val="22"/>
          <w:szCs w:val="22"/>
          <w:lang w:val="en-GB"/>
        </w:rPr>
      </w:pPr>
    </w:p>
    <w:p w14:paraId="2BF3C298" w14:textId="72D96A2A" w:rsidR="00F2475A" w:rsidRDefault="00F2475A" w:rsidP="002A37BB">
      <w:pPr>
        <w:jc w:val="both"/>
        <w:rPr>
          <w:rFonts w:ascii="Arial" w:hAnsi="Arial" w:cs="Arial"/>
          <w:i/>
          <w:color w:val="7B7B7B" w:themeColor="accent3" w:themeShade="BF"/>
          <w:sz w:val="22"/>
          <w:szCs w:val="22"/>
          <w:lang w:val="en-GB"/>
        </w:rPr>
      </w:pPr>
      <w:r w:rsidRPr="00F2475A">
        <w:rPr>
          <w:rFonts w:ascii="Arial" w:hAnsi="Arial" w:cs="Arial"/>
          <w:color w:val="7B7B7B" w:themeColor="accent3" w:themeShade="BF"/>
          <w:sz w:val="22"/>
          <w:szCs w:val="22"/>
          <w:lang w:val="en-GB"/>
        </w:rPr>
        <w:t>The Supreme Court held that bankruptcy judges may determine a core proceeding over which they lack constitutional authority by issuing a report and recommendations for review by a district court, or may with the consent of the parties issue final orders</w:t>
      </w:r>
      <w:r>
        <w:rPr>
          <w:rFonts w:ascii="Arial" w:hAnsi="Arial" w:cs="Arial"/>
          <w:i/>
          <w:color w:val="7B7B7B" w:themeColor="accent3" w:themeShade="BF"/>
          <w:sz w:val="22"/>
          <w:szCs w:val="22"/>
          <w:lang w:val="en-GB"/>
        </w:rPr>
        <w:t xml:space="preserve"> (</w:t>
      </w:r>
      <w:r w:rsidRPr="00F2475A">
        <w:rPr>
          <w:rFonts w:ascii="Arial" w:hAnsi="Arial" w:cs="Arial"/>
          <w:color w:val="7B7B7B" w:themeColor="accent3" w:themeShade="BF"/>
          <w:sz w:val="22"/>
          <w:szCs w:val="22"/>
          <w:lang w:val="en-GB"/>
        </w:rPr>
        <w:t>see</w:t>
      </w:r>
      <w:r>
        <w:rPr>
          <w:rFonts w:ascii="Arial" w:hAnsi="Arial" w:cs="Arial"/>
          <w:i/>
          <w:color w:val="7B7B7B" w:themeColor="accent3" w:themeShade="BF"/>
          <w:sz w:val="22"/>
          <w:szCs w:val="22"/>
          <w:lang w:val="en-GB"/>
        </w:rPr>
        <w:t xml:space="preserve"> Wellness Int’l Network Ltd Vs Sharif 135 S Ct 1932 (2015).</w:t>
      </w:r>
    </w:p>
    <w:p w14:paraId="4F54BA01" w14:textId="77777777" w:rsidR="00F2475A" w:rsidRDefault="00F2475A" w:rsidP="002A37BB">
      <w:pPr>
        <w:jc w:val="both"/>
        <w:rPr>
          <w:rFonts w:ascii="Arial" w:hAnsi="Arial" w:cs="Arial"/>
          <w:i/>
          <w:color w:val="7B7B7B" w:themeColor="accent3" w:themeShade="BF"/>
          <w:sz w:val="22"/>
          <w:szCs w:val="22"/>
          <w:lang w:val="en-GB"/>
        </w:rPr>
      </w:pPr>
    </w:p>
    <w:p w14:paraId="7940D274" w14:textId="2EAAEA64" w:rsidR="00DF75F8" w:rsidRPr="00406702" w:rsidRDefault="00F2475A" w:rsidP="002A37BB">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The Bankruptcy Rules have implemented this by requiring litigants to state in their pleadings whether they conse</w:t>
      </w:r>
      <w:r w:rsidR="00FB5D20">
        <w:rPr>
          <w:rFonts w:ascii="Arial" w:hAnsi="Arial" w:cs="Arial"/>
          <w:color w:val="7B7B7B" w:themeColor="accent3" w:themeShade="BF"/>
          <w:sz w:val="22"/>
          <w:szCs w:val="22"/>
          <w:lang w:val="en-GB"/>
        </w:rPr>
        <w:t>nt to the entry of final orders</w:t>
      </w:r>
      <w:r>
        <w:rPr>
          <w:rFonts w:ascii="Arial" w:hAnsi="Arial" w:cs="Arial"/>
          <w:color w:val="7B7B7B" w:themeColor="accent3" w:themeShade="BF"/>
          <w:sz w:val="22"/>
          <w:szCs w:val="22"/>
          <w:lang w:val="en-GB"/>
        </w:rPr>
        <w:t xml:space="preserve"> or judgement by the bankruptcy court</w:t>
      </w:r>
      <w:r w:rsidR="00FB5D20">
        <w:rPr>
          <w:rFonts w:ascii="Arial" w:hAnsi="Arial" w:cs="Arial"/>
          <w:color w:val="7B7B7B" w:themeColor="accent3" w:themeShade="BF"/>
          <w:sz w:val="22"/>
          <w:szCs w:val="22"/>
          <w:lang w:val="en-GB"/>
        </w:rPr>
        <w:t>, by permitting a district court that determines that a bankruptcy court did not have jurisdiction to enter a final order by treating orders by the bankruptcy court as proposed findings of fact and conclusions of law.</w:t>
      </w:r>
      <w:r w:rsidR="00DF75F8" w:rsidRPr="002A37BB">
        <w:rPr>
          <w:rFonts w:ascii="Arial" w:hAnsi="Arial" w:cs="Arial"/>
          <w:color w:val="7B7B7B" w:themeColor="accent3" w:themeShade="BF"/>
          <w:sz w:val="22"/>
          <w:szCs w:val="22"/>
          <w:lang w:val="en-GB"/>
        </w:rPr>
        <w:t>]</w:t>
      </w:r>
      <w:r w:rsidR="00406702">
        <w:rPr>
          <w:rFonts w:ascii="Arial" w:hAnsi="Arial" w:cs="Arial"/>
          <w:color w:val="7B7B7B" w:themeColor="accent3" w:themeShade="BF"/>
          <w:sz w:val="22"/>
          <w:szCs w:val="22"/>
          <w:lang w:val="en-GB"/>
        </w:rPr>
        <w:t xml:space="preserve"> </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65581230" w14:textId="580B517C" w:rsidR="001712A7"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B54C1">
        <w:rPr>
          <w:rFonts w:ascii="Arial" w:hAnsi="Arial" w:cs="Arial"/>
          <w:color w:val="7B7B7B" w:themeColor="accent3" w:themeShade="BF"/>
          <w:sz w:val="22"/>
          <w:szCs w:val="22"/>
          <w:lang w:val="en-GB"/>
        </w:rPr>
        <w:t xml:space="preserve">A </w:t>
      </w:r>
      <w:r w:rsidR="001B54C1" w:rsidRPr="001712A7">
        <w:rPr>
          <w:rFonts w:ascii="Arial" w:hAnsi="Arial" w:cs="Arial"/>
          <w:b/>
          <w:color w:val="7B7B7B" w:themeColor="accent3" w:themeShade="BF"/>
          <w:sz w:val="22"/>
          <w:szCs w:val="22"/>
          <w:lang w:val="en-GB"/>
        </w:rPr>
        <w:t xml:space="preserve">preference </w:t>
      </w:r>
      <w:r w:rsidR="001B54C1">
        <w:rPr>
          <w:rFonts w:ascii="Arial" w:hAnsi="Arial" w:cs="Arial"/>
          <w:color w:val="7B7B7B" w:themeColor="accent3" w:themeShade="BF"/>
          <w:sz w:val="22"/>
          <w:szCs w:val="22"/>
          <w:lang w:val="en-GB"/>
        </w:rPr>
        <w:t>is a transfer of the debtor’s property made in a suspect period</w:t>
      </w:r>
      <w:r w:rsidR="001712A7">
        <w:rPr>
          <w:rFonts w:ascii="Arial" w:hAnsi="Arial" w:cs="Arial"/>
          <w:color w:val="7B7B7B" w:themeColor="accent3" w:themeShade="BF"/>
          <w:sz w:val="22"/>
          <w:szCs w:val="22"/>
          <w:lang w:val="en-GB"/>
        </w:rPr>
        <w:t xml:space="preserve"> (90 days)</w:t>
      </w:r>
      <w:r w:rsidR="001B54C1">
        <w:rPr>
          <w:rFonts w:ascii="Arial" w:hAnsi="Arial" w:cs="Arial"/>
          <w:color w:val="7B7B7B" w:themeColor="accent3" w:themeShade="BF"/>
          <w:sz w:val="22"/>
          <w:szCs w:val="22"/>
          <w:lang w:val="en-GB"/>
        </w:rPr>
        <w:t xml:space="preserve"> before the petition date. A preference must be returned to the estate if it exceeds the amount the recipient in a chapter 7 liquidation would have obtained had the transfer not been made. The avoidance of a preference is meant to equalise the treatment of similarly situated creditors and </w:t>
      </w:r>
      <w:proofErr w:type="spellStart"/>
      <w:r w:rsidR="001712A7">
        <w:rPr>
          <w:rFonts w:ascii="Arial" w:hAnsi="Arial" w:cs="Arial"/>
          <w:color w:val="7B7B7B" w:themeColor="accent3" w:themeShade="BF"/>
          <w:sz w:val="22"/>
          <w:szCs w:val="22"/>
          <w:lang w:val="en-GB"/>
        </w:rPr>
        <w:t>disincentivise</w:t>
      </w:r>
      <w:proofErr w:type="spellEnd"/>
      <w:r w:rsidR="001B54C1">
        <w:rPr>
          <w:rFonts w:ascii="Arial" w:hAnsi="Arial" w:cs="Arial"/>
          <w:color w:val="7B7B7B" w:themeColor="accent3" w:themeShade="BF"/>
          <w:sz w:val="22"/>
          <w:szCs w:val="22"/>
          <w:lang w:val="en-GB"/>
        </w:rPr>
        <w:t xml:space="preserve"> a race to collect for a distressed debtor. </w:t>
      </w:r>
      <w:r w:rsidR="001712A7">
        <w:rPr>
          <w:rFonts w:ascii="Arial" w:hAnsi="Arial" w:cs="Arial"/>
          <w:color w:val="7B7B7B" w:themeColor="accent3" w:themeShade="BF"/>
          <w:sz w:val="22"/>
          <w:szCs w:val="22"/>
          <w:lang w:val="en-GB"/>
        </w:rPr>
        <w:t>Preference avoidance is aimed at transactions immediately prior to the bankruptcy (except for insider cases where the suspect period is one year).</w:t>
      </w:r>
    </w:p>
    <w:p w14:paraId="2445EF96" w14:textId="77777777" w:rsidR="001712A7" w:rsidRDefault="001712A7" w:rsidP="002A37BB">
      <w:pPr>
        <w:jc w:val="both"/>
        <w:rPr>
          <w:rFonts w:ascii="Arial" w:hAnsi="Arial" w:cs="Arial"/>
          <w:color w:val="7B7B7B" w:themeColor="accent3" w:themeShade="BF"/>
          <w:sz w:val="22"/>
          <w:szCs w:val="22"/>
          <w:lang w:val="en-GB"/>
        </w:rPr>
      </w:pPr>
    </w:p>
    <w:p w14:paraId="4AB85D4F" w14:textId="7EA4478C" w:rsidR="001712A7" w:rsidRDefault="001712A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transactions within a two year period prior to the petition date may also be avoided if they constitute fraudulent conveyances</w:t>
      </w:r>
      <w:r w:rsidR="00345DEC">
        <w:rPr>
          <w:rFonts w:ascii="Arial" w:hAnsi="Arial" w:cs="Arial"/>
          <w:color w:val="7B7B7B" w:themeColor="accent3" w:themeShade="BF"/>
          <w:sz w:val="22"/>
          <w:szCs w:val="22"/>
          <w:lang w:val="en-GB"/>
        </w:rPr>
        <w:t xml:space="preserve"> (actual or constructive)</w:t>
      </w:r>
      <w:r>
        <w:rPr>
          <w:rFonts w:ascii="Arial" w:hAnsi="Arial" w:cs="Arial"/>
          <w:color w:val="7B7B7B" w:themeColor="accent3" w:themeShade="BF"/>
          <w:sz w:val="22"/>
          <w:szCs w:val="22"/>
          <w:lang w:val="en-GB"/>
        </w:rPr>
        <w:t>.</w:t>
      </w:r>
    </w:p>
    <w:p w14:paraId="55D00F9F" w14:textId="77777777" w:rsidR="001712A7" w:rsidRDefault="001712A7" w:rsidP="002A37BB">
      <w:pPr>
        <w:jc w:val="both"/>
        <w:rPr>
          <w:rFonts w:ascii="Arial" w:hAnsi="Arial" w:cs="Arial"/>
          <w:color w:val="7B7B7B" w:themeColor="accent3" w:themeShade="BF"/>
          <w:sz w:val="22"/>
          <w:szCs w:val="22"/>
          <w:lang w:val="en-GB"/>
        </w:rPr>
      </w:pPr>
    </w:p>
    <w:p w14:paraId="5149341F" w14:textId="4D1EA3D1" w:rsidR="0000440D" w:rsidRDefault="001712A7" w:rsidP="002A37BB">
      <w:pPr>
        <w:jc w:val="both"/>
        <w:rPr>
          <w:rFonts w:ascii="Arial" w:hAnsi="Arial" w:cs="Arial"/>
          <w:i/>
          <w:color w:val="7B7B7B" w:themeColor="accent3" w:themeShade="BF"/>
          <w:sz w:val="22"/>
          <w:szCs w:val="22"/>
          <w:lang w:val="en-GB"/>
        </w:rPr>
      </w:pPr>
      <w:r w:rsidRPr="00345DEC">
        <w:rPr>
          <w:rFonts w:ascii="Arial" w:hAnsi="Arial" w:cs="Arial"/>
          <w:b/>
          <w:color w:val="7B7B7B" w:themeColor="accent3" w:themeShade="BF"/>
          <w:sz w:val="22"/>
          <w:szCs w:val="22"/>
          <w:lang w:val="en-GB"/>
        </w:rPr>
        <w:t>Actual fraudulent conveyances</w:t>
      </w:r>
      <w:r w:rsidRPr="00345DEC">
        <w:rPr>
          <w:rFonts w:ascii="Arial" w:hAnsi="Arial" w:cs="Arial"/>
          <w:color w:val="7B7B7B" w:themeColor="accent3" w:themeShade="BF"/>
          <w:sz w:val="22"/>
          <w:szCs w:val="22"/>
          <w:lang w:val="en-GB"/>
        </w:rPr>
        <w:t xml:space="preserve"> </w:t>
      </w:r>
      <w:r w:rsidR="00345DEC">
        <w:rPr>
          <w:rFonts w:ascii="Arial" w:hAnsi="Arial" w:cs="Arial"/>
          <w:color w:val="7B7B7B" w:themeColor="accent3" w:themeShade="BF"/>
          <w:sz w:val="22"/>
          <w:szCs w:val="22"/>
          <w:lang w:val="en-GB"/>
        </w:rPr>
        <w:t xml:space="preserve">is proven by showing </w:t>
      </w:r>
      <w:r w:rsidR="00345DEC">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the debtor made a transfer or incurred an obligation “with actual intent to hinder, delay or defraud any entity to which the debtor was or became indebted”. I</w:t>
      </w:r>
      <w:r w:rsidR="00345DEC">
        <w:rPr>
          <w:rFonts w:ascii="Arial" w:hAnsi="Arial" w:cs="Arial"/>
          <w:color w:val="7B7B7B" w:themeColor="accent3" w:themeShade="BF"/>
          <w:sz w:val="22"/>
          <w:szCs w:val="22"/>
          <w:lang w:val="en-GB"/>
        </w:rPr>
        <w:t>ntent may be proven</w:t>
      </w:r>
      <w:r>
        <w:rPr>
          <w:rFonts w:ascii="Arial" w:hAnsi="Arial" w:cs="Arial"/>
          <w:color w:val="7B7B7B" w:themeColor="accent3" w:themeShade="BF"/>
          <w:sz w:val="22"/>
          <w:szCs w:val="22"/>
          <w:lang w:val="en-GB"/>
        </w:rPr>
        <w:t xml:space="preserve"> circumstantially by reference to the badges of fraud in State fraudulent transfer law (see </w:t>
      </w:r>
      <w:r w:rsidRPr="001712A7">
        <w:rPr>
          <w:rFonts w:ascii="Arial" w:hAnsi="Arial" w:cs="Arial"/>
          <w:i/>
          <w:color w:val="7B7B7B" w:themeColor="accent3" w:themeShade="BF"/>
          <w:sz w:val="22"/>
          <w:szCs w:val="22"/>
          <w:lang w:val="en-GB"/>
        </w:rPr>
        <w:t xml:space="preserve">Ritchie Capital Management LLC vs </w:t>
      </w:r>
      <w:proofErr w:type="spellStart"/>
      <w:r w:rsidRPr="001712A7">
        <w:rPr>
          <w:rFonts w:ascii="Arial" w:hAnsi="Arial" w:cs="Arial"/>
          <w:i/>
          <w:color w:val="7B7B7B" w:themeColor="accent3" w:themeShade="BF"/>
          <w:sz w:val="22"/>
          <w:szCs w:val="22"/>
          <w:lang w:val="en-GB"/>
        </w:rPr>
        <w:t>Stoebner</w:t>
      </w:r>
      <w:proofErr w:type="spellEnd"/>
      <w:r w:rsidRPr="001712A7">
        <w:rPr>
          <w:rFonts w:ascii="Arial" w:hAnsi="Arial" w:cs="Arial"/>
          <w:i/>
          <w:color w:val="7B7B7B" w:themeColor="accent3" w:themeShade="BF"/>
          <w:sz w:val="22"/>
          <w:szCs w:val="22"/>
          <w:lang w:val="en-GB"/>
        </w:rPr>
        <w:t xml:space="preserve"> 779 F.3d 857 (8</w:t>
      </w:r>
      <w:r w:rsidRPr="001712A7">
        <w:rPr>
          <w:rFonts w:ascii="Arial" w:hAnsi="Arial" w:cs="Arial"/>
          <w:i/>
          <w:color w:val="7B7B7B" w:themeColor="accent3" w:themeShade="BF"/>
          <w:sz w:val="22"/>
          <w:szCs w:val="22"/>
          <w:vertAlign w:val="superscript"/>
          <w:lang w:val="en-GB"/>
        </w:rPr>
        <w:t>th</w:t>
      </w:r>
      <w:r w:rsidRPr="001712A7">
        <w:rPr>
          <w:rFonts w:ascii="Arial" w:hAnsi="Arial" w:cs="Arial"/>
          <w:i/>
          <w:color w:val="7B7B7B" w:themeColor="accent3" w:themeShade="BF"/>
          <w:sz w:val="22"/>
          <w:szCs w:val="22"/>
          <w:lang w:val="en-GB"/>
        </w:rPr>
        <w:t xml:space="preserve"> Cir 2015)</w:t>
      </w:r>
      <w:r w:rsidR="0000440D">
        <w:rPr>
          <w:rFonts w:ascii="Arial" w:hAnsi="Arial" w:cs="Arial"/>
          <w:i/>
          <w:color w:val="7B7B7B" w:themeColor="accent3" w:themeShade="BF"/>
          <w:sz w:val="22"/>
          <w:szCs w:val="22"/>
          <w:lang w:val="en-GB"/>
        </w:rPr>
        <w:t>.</w:t>
      </w:r>
    </w:p>
    <w:p w14:paraId="1A8564FE" w14:textId="77777777" w:rsidR="0000440D" w:rsidRDefault="0000440D" w:rsidP="002A37BB">
      <w:pPr>
        <w:jc w:val="both"/>
        <w:rPr>
          <w:rFonts w:ascii="Arial" w:hAnsi="Arial" w:cs="Arial"/>
          <w:i/>
          <w:color w:val="7B7B7B" w:themeColor="accent3" w:themeShade="BF"/>
          <w:sz w:val="22"/>
          <w:szCs w:val="22"/>
          <w:lang w:val="en-GB"/>
        </w:rPr>
      </w:pPr>
    </w:p>
    <w:p w14:paraId="4E83D7AF" w14:textId="62BCE6CC" w:rsidR="00DF75F8" w:rsidRPr="001712A7" w:rsidRDefault="0000440D" w:rsidP="002A37BB">
      <w:pPr>
        <w:jc w:val="both"/>
        <w:rPr>
          <w:rFonts w:ascii="Arial" w:hAnsi="Arial" w:cs="Arial"/>
          <w:color w:val="7B7B7B" w:themeColor="accent3" w:themeShade="BF"/>
          <w:sz w:val="22"/>
          <w:szCs w:val="22"/>
          <w:lang w:val="en-GB"/>
        </w:rPr>
      </w:pPr>
      <w:r w:rsidRPr="00345DEC">
        <w:rPr>
          <w:rFonts w:ascii="Arial" w:hAnsi="Arial" w:cs="Arial"/>
          <w:b/>
          <w:color w:val="7B7B7B" w:themeColor="accent3" w:themeShade="BF"/>
          <w:sz w:val="22"/>
          <w:szCs w:val="22"/>
          <w:lang w:val="en-GB"/>
        </w:rPr>
        <w:t>A constructive fraudulent conve</w:t>
      </w:r>
      <w:r w:rsidR="00345DEC">
        <w:rPr>
          <w:rFonts w:ascii="Arial" w:hAnsi="Arial" w:cs="Arial"/>
          <w:b/>
          <w:color w:val="7B7B7B" w:themeColor="accent3" w:themeShade="BF"/>
          <w:sz w:val="22"/>
          <w:szCs w:val="22"/>
          <w:lang w:val="en-GB"/>
        </w:rPr>
        <w:t>yance</w:t>
      </w:r>
      <w:r w:rsidR="00345DEC">
        <w:rPr>
          <w:rFonts w:ascii="Arial" w:hAnsi="Arial" w:cs="Arial"/>
          <w:color w:val="7B7B7B" w:themeColor="accent3" w:themeShade="BF"/>
          <w:sz w:val="22"/>
          <w:szCs w:val="22"/>
          <w:lang w:val="en-GB"/>
        </w:rPr>
        <w:t xml:space="preserve"> is proven by showing that the debtor received less than reasonably equivalent value in exchange for a transfer or incurrence of obligation and one the following additional factors, that: (a) the debtor was insolvent at the time of or became insolvent as a result of the transaction; (b) the debtor was unreasonably undercapitalised for the business or transaction; (c) the debtor intended to incur debts beyond its ability to pay on </w:t>
      </w:r>
      <w:proofErr w:type="gramStart"/>
      <w:r w:rsidR="00345DEC">
        <w:rPr>
          <w:rFonts w:ascii="Arial" w:hAnsi="Arial" w:cs="Arial"/>
          <w:color w:val="7B7B7B" w:themeColor="accent3" w:themeShade="BF"/>
          <w:sz w:val="22"/>
          <w:szCs w:val="22"/>
          <w:lang w:val="en-GB"/>
        </w:rPr>
        <w:lastRenderedPageBreak/>
        <w:t>maturity</w:t>
      </w:r>
      <w:proofErr w:type="gramEnd"/>
      <w:r w:rsidR="00345DEC">
        <w:rPr>
          <w:rFonts w:ascii="Arial" w:hAnsi="Arial" w:cs="Arial"/>
          <w:color w:val="7B7B7B" w:themeColor="accent3" w:themeShade="BF"/>
          <w:sz w:val="22"/>
          <w:szCs w:val="22"/>
          <w:lang w:val="en-GB"/>
        </w:rPr>
        <w:t>; and (d) the transfer was made to or for the benefit of an insider outside the ordinary course of business.</w:t>
      </w:r>
      <w:r w:rsidR="00DF75F8" w:rsidRPr="002A37BB">
        <w:rPr>
          <w:rFonts w:ascii="Arial" w:hAnsi="Arial" w:cs="Arial"/>
          <w:color w:val="7B7B7B" w:themeColor="accent3" w:themeShade="BF"/>
          <w:sz w:val="22"/>
          <w:szCs w:val="22"/>
          <w:lang w:val="en-GB"/>
        </w:rPr>
        <w:t>]</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5D1A5843" w14:textId="6ED2AF14" w:rsidR="00B40228" w:rsidRDefault="005E6076" w:rsidP="005E6076">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40228">
        <w:rPr>
          <w:rFonts w:ascii="Arial" w:hAnsi="Arial" w:cs="Arial"/>
          <w:color w:val="7B7B7B" w:themeColor="accent3" w:themeShade="BF"/>
          <w:sz w:val="22"/>
          <w:szCs w:val="22"/>
          <w:lang w:val="en-GB"/>
        </w:rPr>
        <w:t>Under Chapter 15 a foreign proceeding should be recognised if: (a) the foreign proceeding is a foreign main or a foreign non-main proceeding; (b) the petition for the recognition was filed by a foreign representative; and (c) the petition satisfies certain procedural requirements. If all three criteria are met then the petition for recognition must be granted unless it is “manifestly contrary” to US public policy.</w:t>
      </w:r>
    </w:p>
    <w:p w14:paraId="2393783F" w14:textId="27896401" w:rsidR="005D7AC1" w:rsidRDefault="005D7AC1" w:rsidP="005E6076">
      <w:pPr>
        <w:jc w:val="both"/>
        <w:rPr>
          <w:rFonts w:ascii="Arial" w:hAnsi="Arial" w:cs="Arial"/>
          <w:color w:val="7B7B7B" w:themeColor="accent3" w:themeShade="BF"/>
          <w:sz w:val="22"/>
          <w:szCs w:val="22"/>
          <w:lang w:val="en-GB"/>
        </w:rPr>
      </w:pPr>
    </w:p>
    <w:p w14:paraId="5CCE4B5C" w14:textId="2E32206F" w:rsidR="005D7AC1" w:rsidRPr="005D7AC1" w:rsidRDefault="005D7AC1"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587CA8">
        <w:rPr>
          <w:rFonts w:ascii="Arial" w:hAnsi="Arial" w:cs="Arial"/>
          <w:color w:val="7B7B7B" w:themeColor="accent3" w:themeShade="BF"/>
          <w:sz w:val="22"/>
          <w:szCs w:val="22"/>
          <w:lang w:val="en-GB"/>
        </w:rPr>
        <w:t>characterisation</w:t>
      </w:r>
      <w:r>
        <w:rPr>
          <w:rFonts w:ascii="Arial" w:hAnsi="Arial" w:cs="Arial"/>
          <w:color w:val="7B7B7B" w:themeColor="accent3" w:themeShade="BF"/>
          <w:sz w:val="22"/>
          <w:szCs w:val="22"/>
          <w:lang w:val="en-GB"/>
        </w:rPr>
        <w:t xml:space="preserve"> of a foreign proceedings as </w:t>
      </w:r>
      <w:r w:rsidRPr="005D7AC1">
        <w:rPr>
          <w:rFonts w:ascii="Arial" w:hAnsi="Arial" w:cs="Arial"/>
          <w:i/>
          <w:color w:val="7B7B7B" w:themeColor="accent3" w:themeShade="BF"/>
          <w:sz w:val="22"/>
          <w:szCs w:val="22"/>
          <w:lang w:val="en-GB"/>
        </w:rPr>
        <w:t>foreign main</w:t>
      </w:r>
      <w:r>
        <w:rPr>
          <w:rFonts w:ascii="Arial" w:hAnsi="Arial" w:cs="Arial"/>
          <w:color w:val="7B7B7B" w:themeColor="accent3" w:themeShade="BF"/>
          <w:sz w:val="22"/>
          <w:szCs w:val="22"/>
          <w:lang w:val="en-GB"/>
        </w:rPr>
        <w:t xml:space="preserve"> or </w:t>
      </w:r>
      <w:r w:rsidRPr="005D7AC1">
        <w:rPr>
          <w:rFonts w:ascii="Arial" w:hAnsi="Arial" w:cs="Arial"/>
          <w:i/>
          <w:color w:val="7B7B7B" w:themeColor="accent3" w:themeShade="BF"/>
          <w:sz w:val="22"/>
          <w:szCs w:val="22"/>
          <w:lang w:val="en-GB"/>
        </w:rPr>
        <w:t>foreign non-main</w:t>
      </w:r>
      <w:r>
        <w:rPr>
          <w:rFonts w:ascii="Arial" w:hAnsi="Arial" w:cs="Arial"/>
          <w:color w:val="7B7B7B" w:themeColor="accent3" w:themeShade="BF"/>
          <w:sz w:val="22"/>
          <w:szCs w:val="22"/>
          <w:lang w:val="en-GB"/>
        </w:rPr>
        <w:t xml:space="preserve"> has important implications on the scope of relief available to the debtor following the recognition.</w:t>
      </w:r>
    </w:p>
    <w:p w14:paraId="432DA853" w14:textId="23FE3481" w:rsidR="00B40228" w:rsidRDefault="00B40228" w:rsidP="005E6076">
      <w:pPr>
        <w:jc w:val="both"/>
        <w:rPr>
          <w:rFonts w:ascii="Arial" w:hAnsi="Arial" w:cs="Arial"/>
          <w:color w:val="7B7B7B" w:themeColor="accent3" w:themeShade="BF"/>
          <w:sz w:val="22"/>
          <w:szCs w:val="22"/>
          <w:lang w:val="en-GB"/>
        </w:rPr>
      </w:pPr>
    </w:p>
    <w:p w14:paraId="6A30EF7C" w14:textId="103F51EB" w:rsidR="00B40228" w:rsidRDefault="00911B5E"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B74202">
        <w:rPr>
          <w:rFonts w:ascii="Arial" w:hAnsi="Arial" w:cs="Arial"/>
          <w:b/>
          <w:color w:val="7B7B7B" w:themeColor="accent3" w:themeShade="BF"/>
          <w:sz w:val="22"/>
          <w:szCs w:val="22"/>
          <w:lang w:val="en-GB"/>
        </w:rPr>
        <w:t>foreign main proceeding</w:t>
      </w:r>
      <w:r>
        <w:rPr>
          <w:rFonts w:ascii="Arial" w:hAnsi="Arial" w:cs="Arial"/>
          <w:color w:val="7B7B7B" w:themeColor="accent3" w:themeShade="BF"/>
          <w:sz w:val="22"/>
          <w:szCs w:val="22"/>
          <w:lang w:val="en-GB"/>
        </w:rPr>
        <w:t xml:space="preserve"> is a foreign proceeding pending in a country where the debtor has its centre of main interest or “COMI”. The location of the corporate debtor’s registered office is presumed to be its COMI. </w:t>
      </w:r>
      <w:r w:rsidR="003A7F42">
        <w:rPr>
          <w:rFonts w:ascii="Arial" w:hAnsi="Arial" w:cs="Arial"/>
          <w:color w:val="7B7B7B" w:themeColor="accent3" w:themeShade="BF"/>
          <w:sz w:val="22"/>
          <w:szCs w:val="22"/>
          <w:lang w:val="en-GB"/>
        </w:rPr>
        <w:t xml:space="preserve"> (</w:t>
      </w:r>
      <w:r w:rsidR="003A7F42" w:rsidRPr="00587CA8">
        <w:rPr>
          <w:rFonts w:ascii="Arial" w:hAnsi="Arial" w:cs="Arial"/>
          <w:i/>
          <w:color w:val="7B7B7B" w:themeColor="accent3" w:themeShade="BF"/>
          <w:sz w:val="22"/>
          <w:szCs w:val="22"/>
          <w:lang w:val="en-GB"/>
        </w:rPr>
        <w:t>see</w:t>
      </w:r>
      <w:r w:rsidR="003A7F42">
        <w:rPr>
          <w:rFonts w:ascii="Arial" w:hAnsi="Arial" w:cs="Arial"/>
          <w:color w:val="7B7B7B" w:themeColor="accent3" w:themeShade="BF"/>
          <w:sz w:val="22"/>
          <w:szCs w:val="22"/>
          <w:lang w:val="en-GB"/>
        </w:rPr>
        <w:t xml:space="preserve"> re </w:t>
      </w:r>
      <w:proofErr w:type="spellStart"/>
      <w:r w:rsidR="003A7F42" w:rsidRPr="005D7AC1">
        <w:rPr>
          <w:rFonts w:ascii="Arial" w:hAnsi="Arial" w:cs="Arial"/>
          <w:i/>
          <w:color w:val="7B7B7B" w:themeColor="accent3" w:themeShade="BF"/>
          <w:sz w:val="22"/>
          <w:szCs w:val="22"/>
          <w:lang w:val="en-GB"/>
        </w:rPr>
        <w:t>Oilinda</w:t>
      </w:r>
      <w:proofErr w:type="spellEnd"/>
      <w:r w:rsidR="003A7F42" w:rsidRPr="005D7AC1">
        <w:rPr>
          <w:rFonts w:ascii="Arial" w:hAnsi="Arial" w:cs="Arial"/>
          <w:i/>
          <w:color w:val="7B7B7B" w:themeColor="accent3" w:themeShade="BF"/>
          <w:sz w:val="22"/>
          <w:szCs w:val="22"/>
          <w:lang w:val="en-GB"/>
        </w:rPr>
        <w:t xml:space="preserve"> Stars Ltd 614 B.R. 28, 33 (</w:t>
      </w:r>
      <w:proofErr w:type="spellStart"/>
      <w:r w:rsidR="005D7AC1" w:rsidRPr="005D7AC1">
        <w:rPr>
          <w:rFonts w:ascii="Arial" w:hAnsi="Arial" w:cs="Arial"/>
          <w:i/>
          <w:color w:val="7B7B7B" w:themeColor="accent3" w:themeShade="BF"/>
          <w:sz w:val="22"/>
          <w:szCs w:val="22"/>
          <w:lang w:val="en-GB"/>
        </w:rPr>
        <w:t>bankr</w:t>
      </w:r>
      <w:proofErr w:type="spellEnd"/>
      <w:r w:rsidR="005D7AC1" w:rsidRPr="005D7AC1">
        <w:rPr>
          <w:rFonts w:ascii="Arial" w:hAnsi="Arial" w:cs="Arial"/>
          <w:i/>
          <w:color w:val="7B7B7B" w:themeColor="accent3" w:themeShade="BF"/>
          <w:sz w:val="22"/>
          <w:szCs w:val="22"/>
          <w:lang w:val="en-GB"/>
        </w:rPr>
        <w:t xml:space="preserve"> </w:t>
      </w:r>
      <w:r w:rsidR="003A7F42" w:rsidRPr="005D7AC1">
        <w:rPr>
          <w:rFonts w:ascii="Arial" w:hAnsi="Arial" w:cs="Arial"/>
          <w:i/>
          <w:color w:val="7B7B7B" w:themeColor="accent3" w:themeShade="BF"/>
          <w:sz w:val="22"/>
          <w:szCs w:val="22"/>
          <w:lang w:val="en-GB"/>
        </w:rPr>
        <w:t>SDNY</w:t>
      </w:r>
      <w:r w:rsidR="005D7AC1">
        <w:rPr>
          <w:rFonts w:ascii="Arial" w:hAnsi="Arial" w:cs="Arial"/>
          <w:i/>
          <w:color w:val="7B7B7B" w:themeColor="accent3" w:themeShade="BF"/>
          <w:sz w:val="22"/>
          <w:szCs w:val="22"/>
          <w:lang w:val="en-GB"/>
        </w:rPr>
        <w:t xml:space="preserve"> 2020)</w:t>
      </w:r>
      <w:r w:rsidR="005D7AC1">
        <w:rPr>
          <w:rFonts w:ascii="Arial" w:hAnsi="Arial" w:cs="Arial"/>
          <w:color w:val="7B7B7B" w:themeColor="accent3" w:themeShade="BF"/>
          <w:sz w:val="22"/>
          <w:szCs w:val="22"/>
          <w:lang w:val="en-GB"/>
        </w:rPr>
        <w:t>).</w:t>
      </w:r>
      <w:r w:rsidR="003A7F4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certain circumstances this presumption may be rebutted by other facts such as</w:t>
      </w:r>
      <w:r w:rsidR="005D7AC1">
        <w:rPr>
          <w:rFonts w:ascii="Arial" w:hAnsi="Arial" w:cs="Arial"/>
          <w:color w:val="7B7B7B" w:themeColor="accent3" w:themeShade="BF"/>
          <w:sz w:val="22"/>
          <w:szCs w:val="22"/>
          <w:lang w:val="en-GB"/>
        </w:rPr>
        <w:t xml:space="preserve">: (a) </w:t>
      </w:r>
      <w:r>
        <w:rPr>
          <w:rFonts w:ascii="Arial" w:hAnsi="Arial" w:cs="Arial"/>
          <w:color w:val="7B7B7B" w:themeColor="accent3" w:themeShade="BF"/>
          <w:sz w:val="22"/>
          <w:szCs w:val="22"/>
          <w:lang w:val="en-GB"/>
        </w:rPr>
        <w:t>the location of the debtor’</w:t>
      </w:r>
      <w:r w:rsidR="005D7AC1">
        <w:rPr>
          <w:rFonts w:ascii="Arial" w:hAnsi="Arial" w:cs="Arial"/>
          <w:color w:val="7B7B7B" w:themeColor="accent3" w:themeShade="BF"/>
          <w:sz w:val="22"/>
          <w:szCs w:val="22"/>
          <w:lang w:val="en-GB"/>
        </w:rPr>
        <w:t xml:space="preserve">s headquarters; (b) </w:t>
      </w:r>
      <w:r>
        <w:rPr>
          <w:rFonts w:ascii="Arial" w:hAnsi="Arial" w:cs="Arial"/>
          <w:color w:val="7B7B7B" w:themeColor="accent3" w:themeShade="BF"/>
          <w:sz w:val="22"/>
          <w:szCs w:val="22"/>
          <w:lang w:val="en-GB"/>
        </w:rPr>
        <w:t>the location of those who manage the debtor;</w:t>
      </w:r>
      <w:r w:rsidR="005D7AC1">
        <w:rPr>
          <w:rFonts w:ascii="Arial" w:hAnsi="Arial" w:cs="Arial"/>
          <w:color w:val="7B7B7B" w:themeColor="accent3" w:themeShade="BF"/>
          <w:sz w:val="22"/>
          <w:szCs w:val="22"/>
          <w:lang w:val="en-GB"/>
        </w:rPr>
        <w:t xml:space="preserve"> (c)</w:t>
      </w:r>
      <w:r>
        <w:rPr>
          <w:rFonts w:ascii="Arial" w:hAnsi="Arial" w:cs="Arial"/>
          <w:color w:val="7B7B7B" w:themeColor="accent3" w:themeShade="BF"/>
          <w:sz w:val="22"/>
          <w:szCs w:val="22"/>
          <w:lang w:val="en-GB"/>
        </w:rPr>
        <w:t xml:space="preserve"> the location of the debtor’s </w:t>
      </w:r>
      <w:r w:rsidR="005D7AC1">
        <w:rPr>
          <w:rFonts w:ascii="Arial" w:hAnsi="Arial" w:cs="Arial"/>
          <w:color w:val="7B7B7B" w:themeColor="accent3" w:themeShade="BF"/>
          <w:sz w:val="22"/>
          <w:szCs w:val="22"/>
          <w:lang w:val="en-GB"/>
        </w:rPr>
        <w:t xml:space="preserve">primary </w:t>
      </w:r>
      <w:r>
        <w:rPr>
          <w:rFonts w:ascii="Arial" w:hAnsi="Arial" w:cs="Arial"/>
          <w:color w:val="7B7B7B" w:themeColor="accent3" w:themeShade="BF"/>
          <w:sz w:val="22"/>
          <w:szCs w:val="22"/>
          <w:lang w:val="en-GB"/>
        </w:rPr>
        <w:t>assets</w:t>
      </w:r>
      <w:r w:rsidR="005D7AC1">
        <w:rPr>
          <w:rFonts w:ascii="Arial" w:hAnsi="Arial" w:cs="Arial"/>
          <w:color w:val="7B7B7B" w:themeColor="accent3" w:themeShade="BF"/>
          <w:sz w:val="22"/>
          <w:szCs w:val="22"/>
          <w:lang w:val="en-GB"/>
        </w:rPr>
        <w:t xml:space="preserve">; (d) the location of majority of the debtor’s creditors or a majority of the creditors that will be affected by the relief requested by the foreign representative; or (e) the </w:t>
      </w:r>
      <w:r w:rsidR="00587CA8">
        <w:rPr>
          <w:rFonts w:ascii="Arial" w:hAnsi="Arial" w:cs="Arial"/>
          <w:color w:val="7B7B7B" w:themeColor="accent3" w:themeShade="BF"/>
          <w:sz w:val="22"/>
          <w:szCs w:val="22"/>
          <w:lang w:val="en-GB"/>
        </w:rPr>
        <w:t>jurisdiction</w:t>
      </w:r>
      <w:r w:rsidR="005D7AC1">
        <w:rPr>
          <w:rFonts w:ascii="Arial" w:hAnsi="Arial" w:cs="Arial"/>
          <w:color w:val="7B7B7B" w:themeColor="accent3" w:themeShade="BF"/>
          <w:sz w:val="22"/>
          <w:szCs w:val="22"/>
          <w:lang w:val="en-GB"/>
        </w:rPr>
        <w:t xml:space="preserve"> whose law will apply to the most disputes (</w:t>
      </w:r>
      <w:r w:rsidR="005D7AC1">
        <w:rPr>
          <w:rFonts w:ascii="Arial" w:hAnsi="Arial" w:cs="Arial"/>
          <w:i/>
          <w:color w:val="7B7B7B" w:themeColor="accent3" w:themeShade="BF"/>
          <w:sz w:val="22"/>
          <w:szCs w:val="22"/>
          <w:lang w:val="en-GB"/>
        </w:rPr>
        <w:t>see</w:t>
      </w:r>
      <w:r w:rsidR="005D7AC1">
        <w:rPr>
          <w:rFonts w:ascii="Arial" w:hAnsi="Arial" w:cs="Arial"/>
          <w:i/>
          <w:color w:val="7B7B7B" w:themeColor="accent3" w:themeShade="BF"/>
          <w:sz w:val="22"/>
          <w:szCs w:val="22"/>
          <w:lang w:val="en-GB"/>
        </w:rPr>
        <w:t xml:space="preserve"> re </w:t>
      </w:r>
      <w:proofErr w:type="spellStart"/>
      <w:r w:rsidR="005D7AC1">
        <w:rPr>
          <w:rFonts w:ascii="Arial" w:hAnsi="Arial" w:cs="Arial"/>
          <w:i/>
          <w:color w:val="7B7B7B" w:themeColor="accent3" w:themeShade="BF"/>
          <w:sz w:val="22"/>
          <w:szCs w:val="22"/>
          <w:lang w:val="en-GB"/>
        </w:rPr>
        <w:t>SPhinX</w:t>
      </w:r>
      <w:proofErr w:type="spellEnd"/>
      <w:r w:rsidR="005D7AC1">
        <w:rPr>
          <w:rFonts w:ascii="Arial" w:hAnsi="Arial" w:cs="Arial"/>
          <w:i/>
          <w:color w:val="7B7B7B" w:themeColor="accent3" w:themeShade="BF"/>
          <w:sz w:val="22"/>
          <w:szCs w:val="22"/>
          <w:lang w:val="en-GB"/>
        </w:rPr>
        <w:t xml:space="preserve"> Ltd 351 BR 103, 117 (</w:t>
      </w:r>
      <w:proofErr w:type="spellStart"/>
      <w:r w:rsidR="005D7AC1">
        <w:rPr>
          <w:rFonts w:ascii="Arial" w:hAnsi="Arial" w:cs="Arial"/>
          <w:i/>
          <w:color w:val="7B7B7B" w:themeColor="accent3" w:themeShade="BF"/>
          <w:sz w:val="22"/>
          <w:szCs w:val="22"/>
          <w:lang w:val="en-GB"/>
        </w:rPr>
        <w:t>Bankr</w:t>
      </w:r>
      <w:proofErr w:type="spellEnd"/>
      <w:r w:rsidR="005D7AC1">
        <w:rPr>
          <w:rFonts w:ascii="Arial" w:hAnsi="Arial" w:cs="Arial"/>
          <w:i/>
          <w:color w:val="7B7B7B" w:themeColor="accent3" w:themeShade="BF"/>
          <w:sz w:val="22"/>
          <w:szCs w:val="22"/>
          <w:lang w:val="en-GB"/>
        </w:rPr>
        <w:t xml:space="preserve"> SDNY 2006)</w:t>
      </w:r>
      <w:r>
        <w:rPr>
          <w:rFonts w:ascii="Arial" w:hAnsi="Arial" w:cs="Arial"/>
          <w:color w:val="7B7B7B" w:themeColor="accent3" w:themeShade="BF"/>
          <w:sz w:val="22"/>
          <w:szCs w:val="22"/>
          <w:lang w:val="en-GB"/>
        </w:rPr>
        <w:t>.</w:t>
      </w:r>
      <w:r w:rsidR="00B74202">
        <w:rPr>
          <w:rFonts w:ascii="Arial" w:hAnsi="Arial" w:cs="Arial"/>
          <w:color w:val="7B7B7B" w:themeColor="accent3" w:themeShade="BF"/>
          <w:sz w:val="22"/>
          <w:szCs w:val="22"/>
          <w:lang w:val="en-GB"/>
        </w:rPr>
        <w:t xml:space="preserve"> </w:t>
      </w:r>
      <w:r w:rsidR="005D7AC1">
        <w:rPr>
          <w:rFonts w:ascii="Arial" w:hAnsi="Arial" w:cs="Arial"/>
          <w:color w:val="7B7B7B" w:themeColor="accent3" w:themeShade="BF"/>
          <w:sz w:val="22"/>
          <w:szCs w:val="22"/>
          <w:lang w:val="en-GB"/>
        </w:rPr>
        <w:t>A debtor’s COMI</w:t>
      </w:r>
      <w:r w:rsidR="00F205B6">
        <w:rPr>
          <w:rFonts w:ascii="Arial" w:hAnsi="Arial" w:cs="Arial"/>
          <w:color w:val="7B7B7B" w:themeColor="accent3" w:themeShade="BF"/>
          <w:sz w:val="22"/>
          <w:szCs w:val="22"/>
          <w:lang w:val="en-GB"/>
        </w:rPr>
        <w:t xml:space="preserve"> </w:t>
      </w:r>
      <w:r w:rsidR="005D7AC1">
        <w:rPr>
          <w:rFonts w:ascii="Arial" w:hAnsi="Arial" w:cs="Arial"/>
          <w:color w:val="7B7B7B" w:themeColor="accent3" w:themeShade="BF"/>
          <w:sz w:val="22"/>
          <w:szCs w:val="22"/>
          <w:lang w:val="en-GB"/>
        </w:rPr>
        <w:t xml:space="preserve">should be ascertainable by its creditors or third parties on the basis of objective evidence (see </w:t>
      </w:r>
      <w:r w:rsidR="005D7AC1" w:rsidRPr="00587CA8">
        <w:rPr>
          <w:rFonts w:ascii="Arial" w:hAnsi="Arial" w:cs="Arial"/>
          <w:i/>
          <w:color w:val="7B7B7B" w:themeColor="accent3" w:themeShade="BF"/>
          <w:sz w:val="22"/>
          <w:szCs w:val="22"/>
          <w:lang w:val="en-GB"/>
        </w:rPr>
        <w:t xml:space="preserve">Morning Mist Holdings Ltd Vs </w:t>
      </w:r>
      <w:proofErr w:type="spellStart"/>
      <w:r w:rsidR="005D7AC1" w:rsidRPr="00587CA8">
        <w:rPr>
          <w:rFonts w:ascii="Arial" w:hAnsi="Arial" w:cs="Arial"/>
          <w:i/>
          <w:color w:val="7B7B7B" w:themeColor="accent3" w:themeShade="BF"/>
          <w:sz w:val="22"/>
          <w:szCs w:val="22"/>
          <w:lang w:val="en-GB"/>
        </w:rPr>
        <w:t>Krys</w:t>
      </w:r>
      <w:proofErr w:type="spellEnd"/>
      <w:r w:rsidR="005D7AC1" w:rsidRPr="00587CA8">
        <w:rPr>
          <w:rFonts w:ascii="Arial" w:hAnsi="Arial" w:cs="Arial"/>
          <w:i/>
          <w:color w:val="7B7B7B" w:themeColor="accent3" w:themeShade="BF"/>
          <w:sz w:val="22"/>
          <w:szCs w:val="22"/>
          <w:lang w:val="en-GB"/>
        </w:rPr>
        <w:t xml:space="preserve"> (In re Fairfield Sentry Ltd) 714 F</w:t>
      </w:r>
      <w:r w:rsidR="00587CA8" w:rsidRPr="00587CA8">
        <w:rPr>
          <w:rFonts w:ascii="Arial" w:hAnsi="Arial" w:cs="Arial"/>
          <w:i/>
          <w:color w:val="7B7B7B" w:themeColor="accent3" w:themeShade="BF"/>
          <w:sz w:val="22"/>
          <w:szCs w:val="22"/>
          <w:lang w:val="en-GB"/>
        </w:rPr>
        <w:t>.3d 127, 133-34 (2d Cir 2013)</w:t>
      </w:r>
      <w:r w:rsidR="00587CA8">
        <w:rPr>
          <w:rFonts w:ascii="Arial" w:hAnsi="Arial" w:cs="Arial"/>
          <w:color w:val="7B7B7B" w:themeColor="accent3" w:themeShade="BF"/>
          <w:sz w:val="22"/>
          <w:szCs w:val="22"/>
          <w:lang w:val="en-GB"/>
        </w:rPr>
        <w:t>).</w:t>
      </w:r>
    </w:p>
    <w:p w14:paraId="581AFF43" w14:textId="77777777" w:rsidR="00B74202" w:rsidRDefault="00B74202" w:rsidP="005E6076">
      <w:pPr>
        <w:jc w:val="both"/>
        <w:rPr>
          <w:rFonts w:ascii="Arial" w:hAnsi="Arial" w:cs="Arial"/>
          <w:color w:val="7B7B7B" w:themeColor="accent3" w:themeShade="BF"/>
          <w:sz w:val="22"/>
          <w:szCs w:val="22"/>
          <w:lang w:val="en-GB"/>
        </w:rPr>
      </w:pPr>
    </w:p>
    <w:p w14:paraId="1022DA0F" w14:textId="53D96EFE" w:rsidR="005D7AC1" w:rsidRDefault="00B74202"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B74202">
        <w:rPr>
          <w:rFonts w:ascii="Arial" w:hAnsi="Arial" w:cs="Arial"/>
          <w:b/>
          <w:color w:val="7B7B7B" w:themeColor="accent3" w:themeShade="BF"/>
          <w:sz w:val="22"/>
          <w:szCs w:val="22"/>
          <w:lang w:val="en-GB"/>
        </w:rPr>
        <w:t>foreign non-main proceeding</w:t>
      </w:r>
      <w:r>
        <w:rPr>
          <w:rFonts w:ascii="Arial" w:hAnsi="Arial" w:cs="Arial"/>
          <w:b/>
          <w:color w:val="7B7B7B" w:themeColor="accent3" w:themeShade="BF"/>
          <w:sz w:val="22"/>
          <w:szCs w:val="22"/>
          <w:lang w:val="en-GB"/>
        </w:rPr>
        <w:t xml:space="preserve"> </w:t>
      </w:r>
      <w:r w:rsidRPr="00B74202">
        <w:rPr>
          <w:rFonts w:ascii="Arial" w:hAnsi="Arial" w:cs="Arial"/>
          <w:color w:val="7B7B7B" w:themeColor="accent3" w:themeShade="BF"/>
          <w:sz w:val="22"/>
          <w:szCs w:val="22"/>
          <w:lang w:val="en-GB"/>
        </w:rPr>
        <w:t>is a</w:t>
      </w:r>
      <w:r>
        <w:rPr>
          <w:rFonts w:ascii="Arial" w:hAnsi="Arial" w:cs="Arial"/>
          <w:b/>
          <w:color w:val="7B7B7B" w:themeColor="accent3" w:themeShade="BF"/>
          <w:sz w:val="22"/>
          <w:szCs w:val="22"/>
          <w:lang w:val="en-GB"/>
        </w:rPr>
        <w:t xml:space="preserve"> </w:t>
      </w:r>
      <w:r w:rsidRPr="00B74202">
        <w:rPr>
          <w:rFonts w:ascii="Arial" w:hAnsi="Arial" w:cs="Arial"/>
          <w:color w:val="7B7B7B" w:themeColor="accent3" w:themeShade="BF"/>
          <w:sz w:val="22"/>
          <w:szCs w:val="22"/>
          <w:lang w:val="en-GB"/>
        </w:rPr>
        <w:t>proc</w:t>
      </w:r>
      <w:r>
        <w:rPr>
          <w:rFonts w:ascii="Arial" w:hAnsi="Arial" w:cs="Arial"/>
          <w:color w:val="7B7B7B" w:themeColor="accent3" w:themeShade="BF"/>
          <w:sz w:val="22"/>
          <w:szCs w:val="22"/>
          <w:lang w:val="en-GB"/>
        </w:rPr>
        <w:t>e</w:t>
      </w:r>
      <w:r w:rsidRPr="00B74202">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ding pending where the debtor has an establishment, which is defined as “any place of operation where the debtor carries out “non-transitory economic activity”</w:t>
      </w:r>
      <w:r w:rsidR="005D7AC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F2785FA" w14:textId="77777777" w:rsidR="005D7AC1" w:rsidRDefault="005D7AC1" w:rsidP="005E6076">
      <w:pPr>
        <w:jc w:val="both"/>
        <w:rPr>
          <w:rFonts w:ascii="Arial" w:hAnsi="Arial" w:cs="Arial"/>
          <w:color w:val="7B7B7B" w:themeColor="accent3" w:themeShade="BF"/>
          <w:sz w:val="22"/>
          <w:szCs w:val="22"/>
          <w:lang w:val="en-GB"/>
        </w:rPr>
      </w:pPr>
    </w:p>
    <w:p w14:paraId="03481D9E" w14:textId="34936CE8" w:rsidR="005E6076" w:rsidRPr="002A37BB" w:rsidRDefault="00F205B6" w:rsidP="005E6076">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w:t>
      </w:r>
      <w:r>
        <w:rPr>
          <w:rFonts w:ascii="Arial" w:hAnsi="Arial" w:cs="Arial"/>
          <w:i/>
          <w:color w:val="7B7B7B" w:themeColor="accent3" w:themeShade="BF"/>
          <w:sz w:val="22"/>
          <w:szCs w:val="22"/>
          <w:lang w:val="en-GB"/>
        </w:rPr>
        <w:t>re Bear Stearns 374 BR 122 (</w:t>
      </w:r>
      <w:proofErr w:type="spellStart"/>
      <w:r>
        <w:rPr>
          <w:rFonts w:ascii="Arial" w:hAnsi="Arial" w:cs="Arial"/>
          <w:i/>
          <w:color w:val="7B7B7B" w:themeColor="accent3" w:themeShade="BF"/>
          <w:sz w:val="22"/>
          <w:szCs w:val="22"/>
          <w:lang w:val="en-GB"/>
        </w:rPr>
        <w:t>Bankr</w:t>
      </w:r>
      <w:proofErr w:type="spellEnd"/>
      <w:r>
        <w:rPr>
          <w:rFonts w:ascii="Arial" w:hAnsi="Arial" w:cs="Arial"/>
          <w:i/>
          <w:color w:val="7B7B7B" w:themeColor="accent3" w:themeShade="BF"/>
          <w:sz w:val="22"/>
          <w:szCs w:val="22"/>
          <w:lang w:val="en-GB"/>
        </w:rPr>
        <w:t xml:space="preserve"> SDNY 2007) </w:t>
      </w:r>
      <w:r w:rsidRPr="00F205B6">
        <w:rPr>
          <w:rFonts w:ascii="Arial" w:hAnsi="Arial" w:cs="Arial"/>
          <w:color w:val="7B7B7B" w:themeColor="accent3" w:themeShade="BF"/>
          <w:sz w:val="22"/>
          <w:szCs w:val="22"/>
          <w:lang w:val="en-GB"/>
        </w:rPr>
        <w:t>court held</w:t>
      </w:r>
      <w:r>
        <w:rPr>
          <w:rFonts w:ascii="Arial" w:hAnsi="Arial" w:cs="Arial"/>
          <w:color w:val="7B7B7B" w:themeColor="accent3" w:themeShade="BF"/>
          <w:sz w:val="22"/>
          <w:szCs w:val="22"/>
          <w:lang w:val="en-GB"/>
        </w:rPr>
        <w:t xml:space="preserve"> that the Caymans Island could not be COMI for a Cayman-incorporated hedge fund because the fund was an “exempt” company, licensed on the basis that it would not have operations on the Caymans Island. The Court also found that the Cayman liquidation could not be recognised as a non-main proceeding because the debtor had had no establishment there prior to its insolvency.</w:t>
      </w:r>
      <w:r w:rsidR="00224934">
        <w:rPr>
          <w:rFonts w:ascii="Arial" w:hAnsi="Arial" w:cs="Arial"/>
          <w:color w:val="7B7B7B" w:themeColor="accent3" w:themeShade="BF"/>
          <w:sz w:val="22"/>
          <w:szCs w:val="22"/>
          <w:lang w:val="en-GB"/>
        </w:rPr>
        <w:t xml:space="preserve"> As a result </w:t>
      </w:r>
      <w:r w:rsidR="00224934" w:rsidRPr="00224934">
        <w:rPr>
          <w:rFonts w:ascii="Arial" w:hAnsi="Arial" w:cs="Arial"/>
          <w:i/>
          <w:color w:val="7B7B7B" w:themeColor="accent3" w:themeShade="BF"/>
          <w:sz w:val="22"/>
          <w:szCs w:val="22"/>
          <w:lang w:val="en-GB"/>
        </w:rPr>
        <w:t>B</w:t>
      </w:r>
      <w:r w:rsidR="00224934">
        <w:rPr>
          <w:rFonts w:ascii="Arial" w:hAnsi="Arial" w:cs="Arial"/>
          <w:i/>
          <w:color w:val="7B7B7B" w:themeColor="accent3" w:themeShade="BF"/>
          <w:sz w:val="22"/>
          <w:szCs w:val="22"/>
          <w:lang w:val="en-GB"/>
        </w:rPr>
        <w:t xml:space="preserve">ear Stearns </w:t>
      </w:r>
      <w:r w:rsidR="00224934">
        <w:rPr>
          <w:rFonts w:ascii="Arial" w:hAnsi="Arial" w:cs="Arial"/>
          <w:color w:val="7B7B7B" w:themeColor="accent3" w:themeShade="BF"/>
          <w:sz w:val="22"/>
          <w:szCs w:val="22"/>
          <w:lang w:val="en-GB"/>
        </w:rPr>
        <w:t>case, most</w:t>
      </w:r>
      <w:r w:rsidR="00224934">
        <w:rPr>
          <w:rFonts w:ascii="Arial" w:hAnsi="Arial" w:cs="Arial"/>
          <w:color w:val="7B7B7B" w:themeColor="accent3" w:themeShade="BF"/>
          <w:sz w:val="22"/>
          <w:szCs w:val="22"/>
          <w:lang w:val="en-GB"/>
        </w:rPr>
        <w:t xml:space="preserve"> court</w:t>
      </w:r>
      <w:r w:rsidR="00224934">
        <w:rPr>
          <w:rFonts w:ascii="Arial" w:hAnsi="Arial" w:cs="Arial"/>
          <w:color w:val="7B7B7B" w:themeColor="accent3" w:themeShade="BF"/>
          <w:sz w:val="22"/>
          <w:szCs w:val="22"/>
          <w:lang w:val="en-GB"/>
        </w:rPr>
        <w:t>s</w:t>
      </w:r>
      <w:r w:rsidR="00224934">
        <w:rPr>
          <w:rFonts w:ascii="Arial" w:hAnsi="Arial" w:cs="Arial"/>
          <w:color w:val="7B7B7B" w:themeColor="accent3" w:themeShade="BF"/>
          <w:sz w:val="22"/>
          <w:szCs w:val="22"/>
          <w:lang w:val="en-GB"/>
        </w:rPr>
        <w:t xml:space="preserve"> will generally analyse a debtor’s COMI as at the date of filing the Chapter 15 petition</w:t>
      </w:r>
      <w:r w:rsidR="00224934">
        <w:rPr>
          <w:rFonts w:ascii="Arial" w:hAnsi="Arial" w:cs="Arial"/>
          <w:color w:val="7B7B7B" w:themeColor="accent3" w:themeShade="BF"/>
          <w:sz w:val="22"/>
          <w:szCs w:val="22"/>
          <w:lang w:val="en-GB"/>
        </w:rPr>
        <w:t xml:space="preserve"> and not on the commencement of the foreign proceeding</w:t>
      </w:r>
      <w:r w:rsidR="00224934">
        <w:rPr>
          <w:rFonts w:ascii="Arial" w:hAnsi="Arial" w:cs="Arial"/>
          <w:color w:val="7B7B7B" w:themeColor="accent3" w:themeShade="BF"/>
          <w:sz w:val="22"/>
          <w:szCs w:val="22"/>
          <w:lang w:val="en-GB"/>
        </w:rPr>
        <w:t>.</w:t>
      </w:r>
      <w:r w:rsidR="00224934">
        <w:rPr>
          <w:rFonts w:ascii="Arial" w:hAnsi="Arial" w:cs="Arial"/>
          <w:color w:val="7B7B7B" w:themeColor="accent3" w:themeShade="BF"/>
          <w:sz w:val="22"/>
          <w:szCs w:val="22"/>
          <w:lang w:val="en-GB"/>
        </w:rPr>
        <w:t xml:space="preserve"> This has led to an unintended practice of manipulation of a debtor’s COMI prior to filing of chapter 15 petitions.</w:t>
      </w:r>
      <w:r w:rsidR="005E6076" w:rsidRPr="002A37BB">
        <w:rPr>
          <w:rFonts w:ascii="Arial" w:hAnsi="Arial" w:cs="Arial"/>
          <w:color w:val="7B7B7B" w:themeColor="accent3" w:themeShade="BF"/>
          <w:sz w:val="22"/>
          <w:szCs w:val="22"/>
          <w:lang w:val="en-GB"/>
        </w:rPr>
        <w:t>]</w:t>
      </w:r>
      <w:r w:rsidR="00B74202">
        <w:rPr>
          <w:rFonts w:ascii="Arial" w:hAnsi="Arial" w:cs="Arial"/>
          <w:color w:val="7B7B7B" w:themeColor="accent3" w:themeShade="BF"/>
          <w:sz w:val="22"/>
          <w:szCs w:val="22"/>
          <w:lang w:val="en-GB"/>
        </w:rPr>
        <w:t xml:space="preserve"> </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1"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 xml:space="preserve">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w:t>
      </w:r>
      <w:r w:rsidRPr="00FC7AC7">
        <w:rPr>
          <w:rFonts w:ascii="Arial" w:hAnsi="Arial" w:cs="Arial"/>
        </w:rPr>
        <w:lastRenderedPageBreak/>
        <w:t>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765713C7" w14:textId="06FAF59B" w:rsidR="0007083C" w:rsidRDefault="002F75A3"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7083C">
        <w:rPr>
          <w:rFonts w:ascii="Arial" w:hAnsi="Arial" w:cs="Arial"/>
          <w:color w:val="7B7B7B" w:themeColor="accent3" w:themeShade="BF"/>
          <w:sz w:val="22"/>
          <w:szCs w:val="22"/>
          <w:lang w:val="en-GB"/>
        </w:rPr>
        <w:t>The filing of a chapter 11 petition immediately brings into force a worldwide automatic stay.</w:t>
      </w:r>
    </w:p>
    <w:p w14:paraId="285D264C" w14:textId="1CF7E4E5" w:rsidR="0007083C" w:rsidRDefault="0007083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stay is broad and operates to prohibit any act to obtain possession or control property of the estate; the enforcement of lien against property of the estate on account of pre-petition claim; or any attempt to collect on pre-petition claims</w:t>
      </w:r>
      <w:r w:rsidR="00405874">
        <w:rPr>
          <w:rFonts w:ascii="Arial" w:hAnsi="Arial" w:cs="Arial"/>
          <w:color w:val="7B7B7B" w:themeColor="accent3" w:themeShade="BF"/>
          <w:sz w:val="22"/>
          <w:szCs w:val="22"/>
          <w:lang w:val="en-GB"/>
        </w:rPr>
        <w:t xml:space="preserve"> </w:t>
      </w:r>
      <w:r w:rsidR="00405874">
        <w:rPr>
          <w:rFonts w:ascii="Arial" w:hAnsi="Arial" w:cs="Arial"/>
          <w:color w:val="7B7B7B" w:themeColor="accent3" w:themeShade="BF"/>
          <w:sz w:val="22"/>
          <w:szCs w:val="22"/>
          <w:lang w:val="en-GB"/>
        </w:rPr>
        <w:t>(11 USC Sec 362(</w:t>
      </w:r>
      <w:r w:rsidR="00405874">
        <w:rPr>
          <w:rFonts w:ascii="Arial" w:hAnsi="Arial" w:cs="Arial"/>
          <w:color w:val="7B7B7B" w:themeColor="accent3" w:themeShade="BF"/>
          <w:sz w:val="22"/>
          <w:szCs w:val="22"/>
          <w:lang w:val="en-GB"/>
        </w:rPr>
        <w:t>a</w:t>
      </w:r>
      <w:r w:rsidR="0040587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42606461" w14:textId="77777777" w:rsidR="0007083C" w:rsidRDefault="0007083C" w:rsidP="002A37BB">
      <w:pPr>
        <w:jc w:val="both"/>
        <w:rPr>
          <w:rFonts w:ascii="Arial" w:hAnsi="Arial" w:cs="Arial"/>
          <w:color w:val="7B7B7B" w:themeColor="accent3" w:themeShade="BF"/>
          <w:sz w:val="22"/>
          <w:szCs w:val="22"/>
          <w:lang w:val="en-GB"/>
        </w:rPr>
      </w:pPr>
    </w:p>
    <w:p w14:paraId="0FC3E353" w14:textId="77777777" w:rsidR="00405874" w:rsidRDefault="0007083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lessors of office space to Rental Corporation will be prohibited from taking any action on the delinquent leases. Because the automatic stay is an </w:t>
      </w:r>
      <w:r w:rsidR="00405874">
        <w:rPr>
          <w:rFonts w:ascii="Arial" w:hAnsi="Arial" w:cs="Arial"/>
          <w:color w:val="7B7B7B" w:themeColor="accent3" w:themeShade="BF"/>
          <w:sz w:val="22"/>
          <w:szCs w:val="22"/>
          <w:lang w:val="en-GB"/>
        </w:rPr>
        <w:t>injunction against creditor action, the grantors of the credit facility will similar be prohibited from taking any action against the debtor during the period of the stay.</w:t>
      </w:r>
    </w:p>
    <w:p w14:paraId="57883B9F" w14:textId="77777777" w:rsidR="00405874" w:rsidRDefault="00405874" w:rsidP="002A37BB">
      <w:pPr>
        <w:jc w:val="both"/>
        <w:rPr>
          <w:rFonts w:ascii="Arial" w:hAnsi="Arial" w:cs="Arial"/>
          <w:color w:val="7B7B7B" w:themeColor="accent3" w:themeShade="BF"/>
          <w:sz w:val="22"/>
          <w:szCs w:val="22"/>
          <w:lang w:val="en-GB"/>
        </w:rPr>
      </w:pPr>
    </w:p>
    <w:p w14:paraId="462C31C4" w14:textId="77777777" w:rsidR="00405874" w:rsidRDefault="004058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under the Bankruptcy Code is subject to statutory exceptions (11 USC Sec 362(b)) including criminal proceedings, regulatory investigations and exercise of rights under commodity, forward or security contract. </w:t>
      </w:r>
    </w:p>
    <w:p w14:paraId="4123BA60" w14:textId="77777777" w:rsidR="00405874" w:rsidRDefault="00405874" w:rsidP="002A37BB">
      <w:pPr>
        <w:jc w:val="both"/>
        <w:rPr>
          <w:rFonts w:ascii="Arial" w:hAnsi="Arial" w:cs="Arial"/>
          <w:color w:val="7B7B7B" w:themeColor="accent3" w:themeShade="BF"/>
          <w:sz w:val="22"/>
          <w:szCs w:val="22"/>
          <w:lang w:val="en-GB"/>
        </w:rPr>
      </w:pPr>
    </w:p>
    <w:p w14:paraId="0D37BBBB" w14:textId="7E7FD3B9" w:rsidR="002F75A3" w:rsidRPr="002A37BB" w:rsidRDefault="00405874" w:rsidP="002A37BB">
      <w:pPr>
        <w:jc w:val="both"/>
        <w:rPr>
          <w:rFonts w:ascii="Arial" w:hAnsi="Arial" w:cs="Arial"/>
          <w:sz w:val="22"/>
          <w:szCs w:val="22"/>
          <w:lang w:val="en-GB"/>
        </w:rPr>
      </w:pPr>
      <w:r>
        <w:rPr>
          <w:rFonts w:ascii="Arial" w:hAnsi="Arial" w:cs="Arial"/>
          <w:color w:val="7B7B7B" w:themeColor="accent3" w:themeShade="BF"/>
          <w:sz w:val="22"/>
          <w:szCs w:val="22"/>
          <w:lang w:val="en-GB"/>
        </w:rPr>
        <w:t>Therefore the automatic stay would not affect the DOJ investigation or the securities class action litigation.</w:t>
      </w:r>
      <w:r w:rsidR="002F75A3" w:rsidRPr="002A37BB">
        <w:rPr>
          <w:rFonts w:ascii="Arial" w:hAnsi="Arial" w:cs="Arial"/>
          <w:color w:val="7B7B7B" w:themeColor="accent3" w:themeShade="BF"/>
          <w:sz w:val="22"/>
          <w:szCs w:val="22"/>
          <w:lang w:val="en-GB"/>
        </w:rPr>
        <w: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3046DF72" w14:textId="6423987F" w:rsidR="00730973" w:rsidRDefault="0012224B" w:rsidP="00730973">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30973">
        <w:rPr>
          <w:rFonts w:ascii="Arial" w:hAnsi="Arial" w:cs="Arial"/>
          <w:color w:val="7B7B7B" w:themeColor="accent3" w:themeShade="BF"/>
          <w:sz w:val="22"/>
          <w:szCs w:val="22"/>
          <w:lang w:val="en-GB"/>
        </w:rPr>
        <w:t>Prior to filing the chapter 11 petition, Rental Corporation had failed to pay rent on some of its office space leases.</w:t>
      </w:r>
    </w:p>
    <w:p w14:paraId="449E28F6" w14:textId="594482E9" w:rsidR="00730973" w:rsidRDefault="00730973" w:rsidP="00730973">
      <w:pPr>
        <w:jc w:val="both"/>
        <w:rPr>
          <w:rFonts w:ascii="Arial" w:hAnsi="Arial" w:cs="Arial"/>
          <w:color w:val="7B7B7B" w:themeColor="accent3" w:themeShade="BF"/>
          <w:sz w:val="22"/>
          <w:szCs w:val="22"/>
          <w:lang w:val="en-GB"/>
        </w:rPr>
      </w:pPr>
    </w:p>
    <w:p w14:paraId="345F1AF5" w14:textId="545EA66C" w:rsidR="00730973" w:rsidRPr="002A37BB" w:rsidRDefault="00730973" w:rsidP="007309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Absent relief from automatic stay, the lessors may not take any action to collect, assess or recover on a claim under a commercial lease that arose before the bankruptcy case, including commencing or continuing an eviction action or attempting to collect pre-petition rent.</w:t>
      </w:r>
    </w:p>
    <w:p w14:paraId="56E62F33" w14:textId="77777777" w:rsidR="001B6445" w:rsidRDefault="001B6445" w:rsidP="0012224B">
      <w:pPr>
        <w:jc w:val="both"/>
        <w:rPr>
          <w:rFonts w:ascii="Arial" w:hAnsi="Arial" w:cs="Arial"/>
          <w:color w:val="7B7B7B" w:themeColor="accent3" w:themeShade="BF"/>
          <w:sz w:val="22"/>
          <w:szCs w:val="22"/>
          <w:lang w:val="en-GB"/>
        </w:rPr>
      </w:pPr>
    </w:p>
    <w:p w14:paraId="1F122A5A" w14:textId="5EB80A24" w:rsidR="0012224B" w:rsidRPr="002A37BB" w:rsidRDefault="001B6445" w:rsidP="0012224B">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connection with the </w:t>
      </w:r>
      <w:r w:rsidR="00396462">
        <w:rPr>
          <w:rFonts w:ascii="Arial" w:hAnsi="Arial" w:cs="Arial"/>
          <w:color w:val="7B7B7B" w:themeColor="accent3" w:themeShade="BF"/>
          <w:sz w:val="22"/>
          <w:szCs w:val="22"/>
          <w:lang w:val="en-GB"/>
        </w:rPr>
        <w:t>bankruptcy case</w:t>
      </w:r>
      <w:r>
        <w:rPr>
          <w:rFonts w:ascii="Arial" w:hAnsi="Arial" w:cs="Arial"/>
          <w:color w:val="7B7B7B" w:themeColor="accent3" w:themeShade="BF"/>
          <w:sz w:val="22"/>
          <w:szCs w:val="22"/>
          <w:lang w:val="en-GB"/>
        </w:rPr>
        <w:t xml:space="preserve"> Rental Corporation can make one of three elections</w:t>
      </w:r>
      <w:r w:rsidR="0039646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connection with the unexpired leases, subject to the approval of the bankruptcy court and so long as the </w:t>
      </w:r>
      <w:r>
        <w:rPr>
          <w:rFonts w:ascii="Arial" w:hAnsi="Arial" w:cs="Arial"/>
          <w:color w:val="7B7B7B" w:themeColor="accent3" w:themeShade="BF"/>
          <w:sz w:val="22"/>
          <w:szCs w:val="22"/>
          <w:lang w:val="en-GB"/>
        </w:rPr>
        <w:t xml:space="preserve">Rental Corporation </w:t>
      </w:r>
      <w:r>
        <w:rPr>
          <w:rFonts w:ascii="Arial" w:hAnsi="Arial" w:cs="Arial"/>
          <w:color w:val="7B7B7B" w:themeColor="accent3" w:themeShade="BF"/>
          <w:sz w:val="22"/>
          <w:szCs w:val="22"/>
          <w:lang w:val="en-GB"/>
        </w:rPr>
        <w:t xml:space="preserve">satisfies certain applicable requirements under the Bankruptcy Code. </w:t>
      </w:r>
      <w:r>
        <w:rPr>
          <w:rFonts w:ascii="Arial" w:hAnsi="Arial" w:cs="Arial"/>
          <w:color w:val="7B7B7B" w:themeColor="accent3" w:themeShade="BF"/>
          <w:sz w:val="22"/>
          <w:szCs w:val="22"/>
          <w:lang w:val="en-GB"/>
        </w:rPr>
        <w:t>Rental Corporation</w:t>
      </w:r>
      <w:r>
        <w:rPr>
          <w:rFonts w:ascii="Arial" w:hAnsi="Arial" w:cs="Arial"/>
          <w:color w:val="7B7B7B" w:themeColor="accent3" w:themeShade="BF"/>
          <w:sz w:val="22"/>
          <w:szCs w:val="22"/>
          <w:lang w:val="en-GB"/>
        </w:rPr>
        <w:t xml:space="preserve"> can: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assume the lease in accordance with sections 365(a) and (b); (ii) assume and  assign the lease  to a third party in accordance with section 365(f); or reject the lease. </w:t>
      </w:r>
    </w:p>
    <w:p w14:paraId="5C7C0778" w14:textId="398A94FA" w:rsidR="00BD4A58" w:rsidRDefault="00BD4A58" w:rsidP="00BD4A58">
      <w:pPr>
        <w:pStyle w:val="AODocTxt"/>
        <w:spacing w:before="0"/>
        <w:rPr>
          <w:rFonts w:ascii="Arial" w:hAnsi="Arial" w:cs="Arial"/>
          <w:color w:val="808080" w:themeColor="background1" w:themeShade="80"/>
        </w:rPr>
      </w:pPr>
    </w:p>
    <w:p w14:paraId="7C0DCD61" w14:textId="58E19CAB" w:rsidR="00396462" w:rsidRDefault="00AD1AB6"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The protection available to lessors </w:t>
      </w:r>
      <w:r w:rsidR="00396462">
        <w:rPr>
          <w:rFonts w:ascii="Arial" w:hAnsi="Arial" w:cs="Arial"/>
          <w:color w:val="808080" w:themeColor="background1" w:themeShade="80"/>
        </w:rPr>
        <w:t xml:space="preserve">once Rental Corporation has made an election to assume or assume and assign </w:t>
      </w:r>
      <w:r>
        <w:rPr>
          <w:rFonts w:ascii="Arial" w:hAnsi="Arial" w:cs="Arial"/>
          <w:color w:val="808080" w:themeColor="background1" w:themeShade="80"/>
        </w:rPr>
        <w:t xml:space="preserve">are: </w:t>
      </w:r>
    </w:p>
    <w:p w14:paraId="32632DCB" w14:textId="77777777" w:rsidR="00396462" w:rsidRDefault="00AD1AB6"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xml:space="preserve">) to file a motion for relief from automatic stay so as to evict Rental Corporation for an uncured default before the bankruptcy case, that led to lease being expired by its terms or by operation of law; </w:t>
      </w:r>
    </w:p>
    <w:p w14:paraId="6331CD42" w14:textId="4F549B77" w:rsidR="00396462" w:rsidRDefault="00AD1AB6"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(ii) </w:t>
      </w:r>
      <w:proofErr w:type="gramStart"/>
      <w:r w:rsidR="00396462">
        <w:rPr>
          <w:rFonts w:ascii="Arial" w:hAnsi="Arial" w:cs="Arial"/>
          <w:color w:val="808080" w:themeColor="background1" w:themeShade="80"/>
        </w:rPr>
        <w:t>demand</w:t>
      </w:r>
      <w:proofErr w:type="gramEnd"/>
      <w:r w:rsidR="00396462">
        <w:rPr>
          <w:rFonts w:ascii="Arial" w:hAnsi="Arial" w:cs="Arial"/>
          <w:color w:val="808080" w:themeColor="background1" w:themeShade="80"/>
        </w:rPr>
        <w:t xml:space="preserve"> that Rental Corporation or its assignee cures the default by making payments and curing all pre-bankruptcy defaults, and also give the lessor assurance of future performance under the lease. The lessors will usually file a motion for adequate protection in these circumstances; and </w:t>
      </w:r>
    </w:p>
    <w:p w14:paraId="6DEE7CDC" w14:textId="77777777" w:rsidR="00396462" w:rsidRDefault="00396462"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t xml:space="preserve">(iii) </w:t>
      </w:r>
      <w:proofErr w:type="gramStart"/>
      <w:r>
        <w:rPr>
          <w:rFonts w:ascii="Arial" w:hAnsi="Arial" w:cs="Arial"/>
          <w:color w:val="808080" w:themeColor="background1" w:themeShade="80"/>
        </w:rPr>
        <w:t>file</w:t>
      </w:r>
      <w:proofErr w:type="gramEnd"/>
      <w:r>
        <w:rPr>
          <w:rFonts w:ascii="Arial" w:hAnsi="Arial" w:cs="Arial"/>
          <w:color w:val="808080" w:themeColor="background1" w:themeShade="80"/>
        </w:rPr>
        <w:t xml:space="preserve"> a written proof of claim (like all other creditors) within 90 days after the first date of meeting of creditors.</w:t>
      </w:r>
    </w:p>
    <w:p w14:paraId="2665C5C5" w14:textId="77777777" w:rsidR="00396462" w:rsidRDefault="00396462" w:rsidP="00BD4A58">
      <w:pPr>
        <w:pStyle w:val="AODocTxt"/>
        <w:spacing w:before="0"/>
        <w:rPr>
          <w:rFonts w:ascii="Arial" w:hAnsi="Arial" w:cs="Arial"/>
          <w:color w:val="808080" w:themeColor="background1" w:themeShade="80"/>
        </w:rPr>
      </w:pPr>
    </w:p>
    <w:p w14:paraId="7EF5D2C8" w14:textId="5A601E0C" w:rsidR="00E653A0" w:rsidRDefault="00396462" w:rsidP="00BD4A58">
      <w:pPr>
        <w:pStyle w:val="AODocTxt"/>
        <w:spacing w:before="0"/>
        <w:rPr>
          <w:rFonts w:ascii="Arial" w:hAnsi="Arial" w:cs="Arial"/>
          <w:color w:val="808080" w:themeColor="background1" w:themeShade="80"/>
        </w:rPr>
      </w:pPr>
      <w:r>
        <w:rPr>
          <w:rFonts w:ascii="Arial" w:hAnsi="Arial" w:cs="Arial"/>
          <w:color w:val="808080" w:themeColor="background1" w:themeShade="80"/>
        </w:rPr>
        <w:lastRenderedPageBreak/>
        <w:t xml:space="preserve">Where Rental Corporation rejects the lease then </w:t>
      </w:r>
      <w:r w:rsidR="00EE3415">
        <w:rPr>
          <w:rFonts w:ascii="Arial" w:hAnsi="Arial" w:cs="Arial"/>
          <w:color w:val="808080" w:themeColor="background1" w:themeShade="80"/>
        </w:rPr>
        <w:t>the debtor is deemed to have breached the lease immediately before the petition date, giving the lessors an unsecured pre-petition claim in damages (sec 365(g)(1). Upon rejecting the lease, Rental Corporation must vacate the office space.</w:t>
      </w:r>
      <w:r>
        <w:rPr>
          <w:rFonts w:ascii="Arial" w:hAnsi="Arial" w:cs="Arial"/>
          <w:color w:val="808080" w:themeColor="background1" w:themeShade="80"/>
        </w:rPr>
        <w:t>]</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2DBD2B23" w14:textId="4D85E5DD" w:rsidR="00397575" w:rsidRDefault="002D3473" w:rsidP="002A37BB">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97575">
        <w:rPr>
          <w:rFonts w:ascii="Arial" w:hAnsi="Arial" w:cs="Arial"/>
          <w:color w:val="7B7B7B" w:themeColor="accent3" w:themeShade="BF"/>
          <w:sz w:val="22"/>
          <w:szCs w:val="22"/>
          <w:lang w:val="en-GB"/>
        </w:rPr>
        <w:t>Pursuant to section 363</w:t>
      </w:r>
      <w:r w:rsidR="00443BAC">
        <w:rPr>
          <w:rFonts w:ascii="Arial" w:hAnsi="Arial" w:cs="Arial"/>
          <w:color w:val="7B7B7B" w:themeColor="accent3" w:themeShade="BF"/>
          <w:sz w:val="22"/>
          <w:szCs w:val="22"/>
          <w:lang w:val="en-GB"/>
        </w:rPr>
        <w:t xml:space="preserve"> </w:t>
      </w:r>
      <w:r w:rsidR="00397575">
        <w:rPr>
          <w:rFonts w:ascii="Arial" w:hAnsi="Arial" w:cs="Arial"/>
          <w:color w:val="7B7B7B" w:themeColor="accent3" w:themeShade="BF"/>
          <w:sz w:val="22"/>
          <w:szCs w:val="22"/>
          <w:lang w:val="en-GB"/>
        </w:rPr>
        <w:t>an asset may</w:t>
      </w:r>
      <w:r w:rsidR="00443BAC">
        <w:rPr>
          <w:rFonts w:ascii="Arial" w:hAnsi="Arial" w:cs="Arial"/>
          <w:color w:val="7B7B7B" w:themeColor="accent3" w:themeShade="BF"/>
          <w:sz w:val="22"/>
          <w:szCs w:val="22"/>
          <w:lang w:val="en-GB"/>
        </w:rPr>
        <w:t>,</w:t>
      </w:r>
      <w:r w:rsidR="00397575">
        <w:rPr>
          <w:rFonts w:ascii="Arial" w:hAnsi="Arial" w:cs="Arial"/>
          <w:color w:val="7B7B7B" w:themeColor="accent3" w:themeShade="BF"/>
          <w:sz w:val="22"/>
          <w:szCs w:val="22"/>
          <w:lang w:val="en-GB"/>
        </w:rPr>
        <w:t xml:space="preserve"> </w:t>
      </w:r>
      <w:r w:rsidR="00443BAC">
        <w:rPr>
          <w:rFonts w:ascii="Arial" w:hAnsi="Arial" w:cs="Arial"/>
          <w:color w:val="7B7B7B" w:themeColor="accent3" w:themeShade="BF"/>
          <w:sz w:val="22"/>
          <w:szCs w:val="22"/>
          <w:lang w:val="en-GB"/>
        </w:rPr>
        <w:t>with court approval,</w:t>
      </w:r>
      <w:r w:rsidR="00397575">
        <w:rPr>
          <w:rFonts w:ascii="Arial" w:hAnsi="Arial" w:cs="Arial"/>
          <w:color w:val="7B7B7B" w:themeColor="accent3" w:themeShade="BF"/>
          <w:sz w:val="22"/>
          <w:szCs w:val="22"/>
          <w:lang w:val="en-GB"/>
        </w:rPr>
        <w:t xml:space="preserve"> </w:t>
      </w:r>
      <w:r w:rsidR="00443BAC">
        <w:rPr>
          <w:rFonts w:ascii="Arial" w:hAnsi="Arial" w:cs="Arial"/>
          <w:color w:val="7B7B7B" w:themeColor="accent3" w:themeShade="BF"/>
          <w:sz w:val="22"/>
          <w:szCs w:val="22"/>
          <w:lang w:val="en-GB"/>
        </w:rPr>
        <w:t xml:space="preserve">be </w:t>
      </w:r>
      <w:r w:rsidR="00397575">
        <w:rPr>
          <w:rFonts w:ascii="Arial" w:hAnsi="Arial" w:cs="Arial"/>
          <w:color w:val="7B7B7B" w:themeColor="accent3" w:themeShade="BF"/>
          <w:sz w:val="22"/>
          <w:szCs w:val="22"/>
          <w:lang w:val="en-GB"/>
        </w:rPr>
        <w:t xml:space="preserve">sold free and clear </w:t>
      </w:r>
      <w:r w:rsidR="00443BAC">
        <w:rPr>
          <w:rFonts w:ascii="Arial" w:hAnsi="Arial" w:cs="Arial"/>
          <w:color w:val="7B7B7B" w:themeColor="accent3" w:themeShade="BF"/>
          <w:sz w:val="22"/>
          <w:szCs w:val="22"/>
          <w:lang w:val="en-GB"/>
        </w:rPr>
        <w:t xml:space="preserve">of </w:t>
      </w:r>
      <w:r w:rsidR="00397575">
        <w:rPr>
          <w:rFonts w:ascii="Arial" w:hAnsi="Arial" w:cs="Arial"/>
          <w:color w:val="7B7B7B" w:themeColor="accent3" w:themeShade="BF"/>
          <w:sz w:val="22"/>
          <w:szCs w:val="22"/>
          <w:lang w:val="en-GB"/>
        </w:rPr>
        <w:t xml:space="preserve">creditor </w:t>
      </w:r>
      <w:r w:rsidR="00443BAC">
        <w:rPr>
          <w:rFonts w:ascii="Arial" w:hAnsi="Arial" w:cs="Arial"/>
          <w:color w:val="7B7B7B" w:themeColor="accent3" w:themeShade="BF"/>
          <w:sz w:val="22"/>
          <w:szCs w:val="22"/>
          <w:lang w:val="en-GB"/>
        </w:rPr>
        <w:t>interest. Home Corporation</w:t>
      </w:r>
      <w:r w:rsidR="00326039">
        <w:rPr>
          <w:rFonts w:ascii="Arial" w:hAnsi="Arial" w:cs="Arial"/>
          <w:color w:val="7B7B7B" w:themeColor="accent3" w:themeShade="BF"/>
          <w:sz w:val="22"/>
          <w:szCs w:val="22"/>
          <w:lang w:val="en-GB"/>
        </w:rPr>
        <w:t>,</w:t>
      </w:r>
      <w:r w:rsidR="00443BAC">
        <w:rPr>
          <w:rFonts w:ascii="Arial" w:hAnsi="Arial" w:cs="Arial"/>
          <w:color w:val="7B7B7B" w:themeColor="accent3" w:themeShade="BF"/>
          <w:sz w:val="22"/>
          <w:szCs w:val="22"/>
          <w:lang w:val="en-GB"/>
        </w:rPr>
        <w:t xml:space="preserve"> as a debtor in possession</w:t>
      </w:r>
      <w:r w:rsidR="00326039">
        <w:rPr>
          <w:rFonts w:ascii="Arial" w:hAnsi="Arial" w:cs="Arial"/>
          <w:color w:val="7B7B7B" w:themeColor="accent3" w:themeShade="BF"/>
          <w:sz w:val="22"/>
          <w:szCs w:val="22"/>
          <w:lang w:val="en-GB"/>
        </w:rPr>
        <w:t>,</w:t>
      </w:r>
      <w:r w:rsidR="00443BAC">
        <w:rPr>
          <w:rFonts w:ascii="Arial" w:hAnsi="Arial" w:cs="Arial"/>
          <w:color w:val="7B7B7B" w:themeColor="accent3" w:themeShade="BF"/>
          <w:sz w:val="22"/>
          <w:szCs w:val="22"/>
          <w:lang w:val="en-GB"/>
        </w:rPr>
        <w:t xml:space="preserve"> can mostly deal with its property in the ordinary course of business without court or </w:t>
      </w:r>
      <w:r w:rsidR="00326039">
        <w:rPr>
          <w:rFonts w:ascii="Arial" w:hAnsi="Arial" w:cs="Arial"/>
          <w:color w:val="7B7B7B" w:themeColor="accent3" w:themeShade="BF"/>
          <w:sz w:val="22"/>
          <w:szCs w:val="22"/>
          <w:lang w:val="en-GB"/>
        </w:rPr>
        <w:t>creditor interference in a 363 sale.</w:t>
      </w:r>
    </w:p>
    <w:p w14:paraId="2000C2F9" w14:textId="77777777" w:rsidR="00397575" w:rsidRDefault="00397575" w:rsidP="002A37BB">
      <w:pPr>
        <w:autoSpaceDE w:val="0"/>
        <w:autoSpaceDN w:val="0"/>
        <w:adjustRightInd w:val="0"/>
        <w:jc w:val="both"/>
        <w:rPr>
          <w:rFonts w:ascii="Arial" w:hAnsi="Arial" w:cs="Arial"/>
          <w:color w:val="7B7B7B" w:themeColor="accent3" w:themeShade="BF"/>
          <w:sz w:val="22"/>
          <w:szCs w:val="22"/>
          <w:lang w:val="en-GB"/>
        </w:rPr>
      </w:pPr>
    </w:p>
    <w:p w14:paraId="45356851" w14:textId="77777777" w:rsidR="00FC058C" w:rsidRDefault="00FC058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sale under section 363 can protect Paint Corporation in a number of ways:</w:t>
      </w:r>
    </w:p>
    <w:p w14:paraId="0E8289E4" w14:textId="5FC94316" w:rsidR="00FC058C" w:rsidRDefault="00FC058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It insulates </w:t>
      </w:r>
      <w:r>
        <w:rPr>
          <w:rFonts w:ascii="Arial" w:hAnsi="Arial" w:cs="Arial"/>
          <w:color w:val="7B7B7B" w:themeColor="accent3" w:themeShade="BF"/>
          <w:sz w:val="22"/>
          <w:szCs w:val="22"/>
          <w:lang w:val="en-GB"/>
        </w:rPr>
        <w:t xml:space="preserve">Paint Corporation </w:t>
      </w:r>
      <w:r>
        <w:rPr>
          <w:rFonts w:ascii="Arial" w:hAnsi="Arial" w:cs="Arial"/>
          <w:color w:val="7B7B7B" w:themeColor="accent3" w:themeShade="BF"/>
          <w:sz w:val="22"/>
          <w:szCs w:val="22"/>
          <w:lang w:val="en-GB"/>
        </w:rPr>
        <w:t>from fraudulent transfer risks that may be asserted by creditors;</w:t>
      </w:r>
    </w:p>
    <w:p w14:paraId="4C515462" w14:textId="50269371" w:rsidR="00FC058C" w:rsidRDefault="00FC058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Paint Corporation</w:t>
      </w:r>
      <w:r>
        <w:rPr>
          <w:rFonts w:ascii="Arial" w:hAnsi="Arial" w:cs="Arial"/>
          <w:color w:val="7B7B7B" w:themeColor="accent3" w:themeShade="BF"/>
          <w:sz w:val="22"/>
          <w:szCs w:val="22"/>
          <w:lang w:val="en-GB"/>
        </w:rPr>
        <w:t xml:space="preserve"> can select assets it wants and specifically delineate the potentially contaminated property that is the subject of EPA investigation</w:t>
      </w:r>
      <w:r w:rsidR="00326039">
        <w:rPr>
          <w:rFonts w:ascii="Arial" w:hAnsi="Arial" w:cs="Arial"/>
          <w:color w:val="7B7B7B" w:themeColor="accent3" w:themeShade="BF"/>
          <w:sz w:val="22"/>
          <w:szCs w:val="22"/>
          <w:lang w:val="en-GB"/>
        </w:rPr>
        <w:t xml:space="preserve">. In this way </w:t>
      </w:r>
      <w:r w:rsidR="00326039">
        <w:rPr>
          <w:rFonts w:ascii="Arial" w:hAnsi="Arial" w:cs="Arial"/>
          <w:color w:val="7B7B7B" w:themeColor="accent3" w:themeShade="BF"/>
          <w:sz w:val="22"/>
          <w:szCs w:val="22"/>
          <w:lang w:val="en-GB"/>
        </w:rPr>
        <w:t>Paint Corporation</w:t>
      </w:r>
      <w:r w:rsidR="00861063">
        <w:rPr>
          <w:rFonts w:ascii="Arial" w:hAnsi="Arial" w:cs="Arial"/>
          <w:color w:val="7B7B7B" w:themeColor="accent3" w:themeShade="BF"/>
          <w:sz w:val="22"/>
          <w:szCs w:val="22"/>
          <w:lang w:val="en-GB"/>
        </w:rPr>
        <w:t xml:space="preserve"> </w:t>
      </w:r>
      <w:r w:rsidR="00326039">
        <w:rPr>
          <w:rFonts w:ascii="Arial" w:hAnsi="Arial" w:cs="Arial"/>
          <w:color w:val="7B7B7B" w:themeColor="accent3" w:themeShade="BF"/>
          <w:sz w:val="22"/>
          <w:szCs w:val="22"/>
          <w:lang w:val="en-GB"/>
        </w:rPr>
        <w:t xml:space="preserve">would acquire only the part of the business that it is interested in </w:t>
      </w:r>
      <w:r w:rsidR="00861063">
        <w:rPr>
          <w:rFonts w:ascii="Arial" w:hAnsi="Arial" w:cs="Arial"/>
          <w:color w:val="7B7B7B" w:themeColor="accent3" w:themeShade="BF"/>
          <w:sz w:val="22"/>
          <w:szCs w:val="22"/>
          <w:lang w:val="en-GB"/>
        </w:rPr>
        <w:t xml:space="preserve">(see </w:t>
      </w:r>
      <w:r w:rsidR="00861063" w:rsidRPr="00861063">
        <w:rPr>
          <w:rFonts w:ascii="Arial" w:hAnsi="Arial" w:cs="Arial"/>
          <w:i/>
          <w:color w:val="7B7B7B" w:themeColor="accent3" w:themeShade="BF"/>
          <w:sz w:val="22"/>
          <w:szCs w:val="22"/>
          <w:lang w:val="en-GB"/>
        </w:rPr>
        <w:t>Ninth Ave Remedial Group Vs Allis Chalmers Corp 195 B.R 716 (N</w:t>
      </w:r>
      <w:r w:rsidR="00861063">
        <w:rPr>
          <w:rFonts w:ascii="Arial" w:hAnsi="Arial" w:cs="Arial"/>
          <w:i/>
          <w:color w:val="7B7B7B" w:themeColor="accent3" w:themeShade="BF"/>
          <w:sz w:val="22"/>
          <w:szCs w:val="22"/>
          <w:lang w:val="en-GB"/>
        </w:rPr>
        <w:t>.</w:t>
      </w:r>
      <w:r w:rsidR="00861063" w:rsidRPr="00861063">
        <w:rPr>
          <w:rFonts w:ascii="Arial" w:hAnsi="Arial" w:cs="Arial"/>
          <w:i/>
          <w:color w:val="7B7B7B" w:themeColor="accent3" w:themeShade="BF"/>
          <w:sz w:val="22"/>
          <w:szCs w:val="22"/>
          <w:lang w:val="en-GB"/>
        </w:rPr>
        <w:t>D</w:t>
      </w:r>
      <w:r w:rsidR="00861063">
        <w:rPr>
          <w:rFonts w:ascii="Arial" w:hAnsi="Arial" w:cs="Arial"/>
          <w:i/>
          <w:color w:val="7B7B7B" w:themeColor="accent3" w:themeShade="BF"/>
          <w:sz w:val="22"/>
          <w:szCs w:val="22"/>
          <w:lang w:val="en-GB"/>
        </w:rPr>
        <w:t>.</w:t>
      </w:r>
      <w:r w:rsidR="00861063" w:rsidRPr="00861063">
        <w:rPr>
          <w:rFonts w:ascii="Arial" w:hAnsi="Arial" w:cs="Arial"/>
          <w:i/>
          <w:color w:val="7B7B7B" w:themeColor="accent3" w:themeShade="BF"/>
          <w:sz w:val="22"/>
          <w:szCs w:val="22"/>
          <w:lang w:val="en-GB"/>
        </w:rPr>
        <w:t xml:space="preserve"> </w:t>
      </w:r>
      <w:proofErr w:type="spellStart"/>
      <w:r w:rsidR="00861063" w:rsidRPr="00861063">
        <w:rPr>
          <w:rFonts w:ascii="Arial" w:hAnsi="Arial" w:cs="Arial"/>
          <w:i/>
          <w:color w:val="7B7B7B" w:themeColor="accent3" w:themeShade="BF"/>
          <w:sz w:val="22"/>
          <w:szCs w:val="22"/>
          <w:lang w:val="en-GB"/>
        </w:rPr>
        <w:t>Ind</w:t>
      </w:r>
      <w:proofErr w:type="spellEnd"/>
      <w:r w:rsidR="00861063" w:rsidRPr="00861063">
        <w:rPr>
          <w:rFonts w:ascii="Arial" w:hAnsi="Arial" w:cs="Arial"/>
          <w:i/>
          <w:color w:val="7B7B7B" w:themeColor="accent3" w:themeShade="BF"/>
          <w:sz w:val="22"/>
          <w:szCs w:val="22"/>
          <w:lang w:val="en-GB"/>
        </w:rPr>
        <w:t xml:space="preserve"> 1996</w:t>
      </w:r>
      <w:r w:rsidR="00326039">
        <w:rPr>
          <w:rFonts w:ascii="Arial" w:hAnsi="Arial" w:cs="Arial"/>
          <w:i/>
          <w:color w:val="7B7B7B" w:themeColor="accent3" w:themeShade="BF"/>
          <w:sz w:val="22"/>
          <w:szCs w:val="22"/>
          <w:lang w:val="en-GB"/>
        </w:rPr>
        <w:t xml:space="preserve"> on environmental claims</w:t>
      </w:r>
      <w:r w:rsidR="00861063" w:rsidRPr="00861063">
        <w:rPr>
          <w:rFonts w:ascii="Arial" w:hAnsi="Arial" w:cs="Arial"/>
          <w:i/>
          <w:color w:val="7B7B7B" w:themeColor="accent3" w:themeShade="BF"/>
          <w:sz w:val="22"/>
          <w:szCs w:val="22"/>
          <w:lang w:val="en-GB"/>
        </w:rPr>
        <w:t>)</w:t>
      </w:r>
      <w:r>
        <w:rPr>
          <w:rFonts w:ascii="Arial" w:hAnsi="Arial" w:cs="Arial"/>
          <w:color w:val="7B7B7B" w:themeColor="accent3" w:themeShade="BF"/>
          <w:sz w:val="22"/>
          <w:szCs w:val="22"/>
          <w:lang w:val="en-GB"/>
        </w:rPr>
        <w:t>;</w:t>
      </w:r>
    </w:p>
    <w:p w14:paraId="52524836" w14:textId="0CEF464C" w:rsidR="00FC058C" w:rsidRDefault="00FC058C"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The assets acquired by </w:t>
      </w:r>
      <w:r>
        <w:rPr>
          <w:rFonts w:ascii="Arial" w:hAnsi="Arial" w:cs="Arial"/>
          <w:color w:val="7B7B7B" w:themeColor="accent3" w:themeShade="BF"/>
          <w:sz w:val="22"/>
          <w:szCs w:val="22"/>
          <w:lang w:val="en-GB"/>
        </w:rPr>
        <w:t>Paint Corporation</w:t>
      </w:r>
      <w:r>
        <w:rPr>
          <w:rFonts w:ascii="Arial" w:hAnsi="Arial" w:cs="Arial"/>
          <w:color w:val="7B7B7B" w:themeColor="accent3" w:themeShade="BF"/>
          <w:sz w:val="22"/>
          <w:szCs w:val="22"/>
          <w:lang w:val="en-GB"/>
        </w:rPr>
        <w:t xml:space="preserve"> will be free and clear of all liens. </w:t>
      </w:r>
      <w:r>
        <w:rPr>
          <w:rFonts w:ascii="Arial" w:hAnsi="Arial" w:cs="Arial"/>
          <w:color w:val="7B7B7B" w:themeColor="accent3" w:themeShade="BF"/>
          <w:sz w:val="22"/>
          <w:szCs w:val="22"/>
          <w:lang w:val="en-GB"/>
        </w:rPr>
        <w:t>Paint Corporation</w:t>
      </w:r>
      <w:r>
        <w:rPr>
          <w:rFonts w:ascii="Arial" w:hAnsi="Arial" w:cs="Arial"/>
          <w:color w:val="7B7B7B" w:themeColor="accent3" w:themeShade="BF"/>
          <w:sz w:val="22"/>
          <w:szCs w:val="22"/>
          <w:lang w:val="en-GB"/>
        </w:rPr>
        <w:t xml:space="preserve"> would generally not need to worry about negotiating with secured creditors about satisfaction of their claims;</w:t>
      </w:r>
    </w:p>
    <w:p w14:paraId="626FA5C6" w14:textId="5A3BE78D" w:rsidR="002D3473" w:rsidRPr="002A37BB" w:rsidRDefault="00FC058C"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(d) </w:t>
      </w:r>
      <w:r w:rsidR="00D379FD">
        <w:rPr>
          <w:rFonts w:ascii="Arial" w:hAnsi="Arial" w:cs="Arial"/>
          <w:color w:val="7B7B7B" w:themeColor="accent3" w:themeShade="BF"/>
          <w:sz w:val="22"/>
          <w:szCs w:val="22"/>
          <w:lang w:val="en-GB"/>
        </w:rPr>
        <w:t xml:space="preserve">Executory contracts would generally be assigned to </w:t>
      </w:r>
      <w:r w:rsidR="00D379FD">
        <w:rPr>
          <w:rFonts w:ascii="Arial" w:hAnsi="Arial" w:cs="Arial"/>
          <w:color w:val="7B7B7B" w:themeColor="accent3" w:themeShade="BF"/>
          <w:sz w:val="22"/>
          <w:szCs w:val="22"/>
          <w:lang w:val="en-GB"/>
        </w:rPr>
        <w:t>Paint Corporation</w:t>
      </w:r>
      <w:r w:rsidR="00D379FD">
        <w:rPr>
          <w:rFonts w:ascii="Arial" w:hAnsi="Arial" w:cs="Arial"/>
          <w:color w:val="7B7B7B" w:themeColor="accent3" w:themeShade="BF"/>
          <w:sz w:val="22"/>
          <w:szCs w:val="22"/>
          <w:lang w:val="en-GB"/>
        </w:rPr>
        <w:t xml:space="preserve"> notwithstanding any anti-assignment language</w:t>
      </w:r>
      <w:r w:rsidR="00861063">
        <w:rPr>
          <w:rFonts w:ascii="Arial" w:hAnsi="Arial" w:cs="Arial"/>
          <w:color w:val="7B7B7B" w:themeColor="accent3" w:themeShade="BF"/>
          <w:sz w:val="22"/>
          <w:szCs w:val="22"/>
          <w:lang w:val="en-GB"/>
        </w:rPr>
        <w:t xml:space="preserve"> in the contracts</w:t>
      </w:r>
      <w:r w:rsidR="00326039">
        <w:rPr>
          <w:rFonts w:ascii="Arial" w:hAnsi="Arial" w:cs="Arial"/>
          <w:color w:val="7B7B7B" w:themeColor="accent3" w:themeShade="BF"/>
          <w:sz w:val="22"/>
          <w:szCs w:val="22"/>
          <w:lang w:val="en-GB"/>
        </w:rPr>
        <w:t>,</w:t>
      </w:r>
      <w:r w:rsidR="00861063">
        <w:rPr>
          <w:rFonts w:ascii="Arial" w:hAnsi="Arial" w:cs="Arial"/>
          <w:color w:val="7B7B7B" w:themeColor="accent3" w:themeShade="BF"/>
          <w:sz w:val="22"/>
          <w:szCs w:val="22"/>
          <w:lang w:val="en-GB"/>
        </w:rPr>
        <w:t xml:space="preserve"> provided outstanding defaults are cured. As such</w:t>
      </w:r>
      <w:r w:rsidR="00326039">
        <w:rPr>
          <w:rFonts w:ascii="Arial" w:hAnsi="Arial" w:cs="Arial"/>
          <w:color w:val="7B7B7B" w:themeColor="accent3" w:themeShade="BF"/>
          <w:sz w:val="22"/>
          <w:szCs w:val="22"/>
          <w:lang w:val="en-GB"/>
        </w:rPr>
        <w:t>,</w:t>
      </w:r>
      <w:r w:rsidR="00861063">
        <w:rPr>
          <w:rFonts w:ascii="Arial" w:hAnsi="Arial" w:cs="Arial"/>
          <w:color w:val="7B7B7B" w:themeColor="accent3" w:themeShade="BF"/>
          <w:sz w:val="22"/>
          <w:szCs w:val="22"/>
          <w:lang w:val="en-GB"/>
        </w:rPr>
        <w:t xml:space="preserve"> </w:t>
      </w:r>
      <w:r w:rsidR="00861063">
        <w:rPr>
          <w:rFonts w:ascii="Arial" w:hAnsi="Arial" w:cs="Arial"/>
          <w:color w:val="7B7B7B" w:themeColor="accent3" w:themeShade="BF"/>
          <w:sz w:val="22"/>
          <w:szCs w:val="22"/>
          <w:lang w:val="en-GB"/>
        </w:rPr>
        <w:t>Paint Corporation</w:t>
      </w:r>
      <w:r w:rsidR="00861063">
        <w:rPr>
          <w:rFonts w:ascii="Arial" w:hAnsi="Arial" w:cs="Arial"/>
          <w:color w:val="7B7B7B" w:themeColor="accent3" w:themeShade="BF"/>
          <w:sz w:val="22"/>
          <w:szCs w:val="22"/>
          <w:lang w:val="en-GB"/>
        </w:rPr>
        <w:t xml:space="preserve"> would not need to obtain consent from all the home improvement stores for the assignment of the distribution contracts.</w:t>
      </w:r>
      <w:r w:rsidR="002D3473" w:rsidRPr="002A37BB">
        <w:rPr>
          <w:rFonts w:ascii="Arial" w:hAnsi="Arial" w:cs="Arial"/>
          <w:color w:val="7B7B7B" w:themeColor="accent3" w:themeShade="BF"/>
          <w:sz w:val="22"/>
          <w:szCs w:val="22"/>
          <w:lang w:val="en-GB"/>
        </w:rPr>
        <w:t>]</w:t>
      </w:r>
      <w:r w:rsidR="00397575">
        <w:rPr>
          <w:rFonts w:ascii="Arial" w:hAnsi="Arial" w:cs="Arial"/>
          <w:color w:val="7B7B7B" w:themeColor="accent3" w:themeShade="BF"/>
          <w:sz w:val="22"/>
          <w:szCs w:val="22"/>
          <w:lang w:val="en-GB"/>
        </w:rPr>
        <w:t xml:space="preserve"> </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1777" w14:textId="77777777" w:rsidR="003261ED" w:rsidRDefault="003261ED" w:rsidP="00241B44">
      <w:r>
        <w:separator/>
      </w:r>
    </w:p>
  </w:endnote>
  <w:endnote w:type="continuationSeparator" w:id="0">
    <w:p w14:paraId="28E351DB" w14:textId="77777777" w:rsidR="003261ED" w:rsidRDefault="003261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B5D20" w:rsidRPr="00FC7B47" w:rsidRDefault="00FB5D2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B5D20" w:rsidRPr="00FC7B47" w:rsidRDefault="00FB5D20"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1CDE1655" w:rsidR="00FB5D20" w:rsidRPr="009B4976" w:rsidRDefault="00FB5D20" w:rsidP="00FB5D20">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326039">
          <w:rPr>
            <w:rStyle w:val="PageNumber"/>
            <w:rFonts w:ascii="Arial" w:hAnsi="Arial" w:cs="Arial"/>
            <w:noProof/>
            <w:sz w:val="18"/>
            <w:szCs w:val="18"/>
          </w:rPr>
          <w:t>11</w:t>
        </w:r>
        <w:r w:rsidRPr="009B4976">
          <w:rPr>
            <w:rStyle w:val="PageNumber"/>
            <w:rFonts w:ascii="Arial" w:hAnsi="Arial" w:cs="Arial"/>
            <w:sz w:val="18"/>
            <w:szCs w:val="18"/>
          </w:rPr>
          <w:fldChar w:fldCharType="end"/>
        </w:r>
      </w:p>
    </w:sdtContent>
  </w:sdt>
  <w:p w14:paraId="30F05E79" w14:textId="2BAB4F4D" w:rsidR="00FB5D20" w:rsidRPr="009B4976" w:rsidRDefault="00FB5D20" w:rsidP="009B4976">
    <w:pPr>
      <w:pStyle w:val="Footer"/>
      <w:ind w:right="360"/>
      <w:rPr>
        <w:rFonts w:ascii="Arial" w:hAnsi="Arial" w:cs="Arial"/>
        <w:sz w:val="18"/>
        <w:szCs w:val="18"/>
        <w:lang w:val="en-GB"/>
      </w:rPr>
    </w:pPr>
    <w:r w:rsidRPr="004C1148">
      <w:rPr>
        <w:rFonts w:ascii="Arial" w:hAnsi="Arial" w:cs="Arial"/>
        <w:sz w:val="18"/>
        <w:szCs w:val="18"/>
        <w:lang w:val="en-GB"/>
      </w:rPr>
      <w:t>202021IFU-212</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9CF3" w14:textId="77777777" w:rsidR="003261ED" w:rsidRDefault="003261ED" w:rsidP="00241B44">
      <w:r>
        <w:separator/>
      </w:r>
    </w:p>
  </w:footnote>
  <w:footnote w:type="continuationSeparator" w:id="0">
    <w:p w14:paraId="4D76AAEF" w14:textId="77777777" w:rsidR="003261ED" w:rsidRDefault="003261E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40D"/>
    <w:rsid w:val="00010BA0"/>
    <w:rsid w:val="00020557"/>
    <w:rsid w:val="00021FC2"/>
    <w:rsid w:val="00022E00"/>
    <w:rsid w:val="000250C7"/>
    <w:rsid w:val="0002534D"/>
    <w:rsid w:val="00026F16"/>
    <w:rsid w:val="00037621"/>
    <w:rsid w:val="00037671"/>
    <w:rsid w:val="00044D46"/>
    <w:rsid w:val="00045088"/>
    <w:rsid w:val="00045904"/>
    <w:rsid w:val="000502FD"/>
    <w:rsid w:val="000521DF"/>
    <w:rsid w:val="00065166"/>
    <w:rsid w:val="0007083C"/>
    <w:rsid w:val="00082609"/>
    <w:rsid w:val="000851CC"/>
    <w:rsid w:val="00093BE8"/>
    <w:rsid w:val="00097B45"/>
    <w:rsid w:val="000A407B"/>
    <w:rsid w:val="000A636A"/>
    <w:rsid w:val="000A68ED"/>
    <w:rsid w:val="000B5FF1"/>
    <w:rsid w:val="000B609F"/>
    <w:rsid w:val="000C4C5B"/>
    <w:rsid w:val="000D049F"/>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712A7"/>
    <w:rsid w:val="00180548"/>
    <w:rsid w:val="00180AC4"/>
    <w:rsid w:val="00180CCE"/>
    <w:rsid w:val="0018267A"/>
    <w:rsid w:val="00182779"/>
    <w:rsid w:val="001830DF"/>
    <w:rsid w:val="001966D9"/>
    <w:rsid w:val="001A210C"/>
    <w:rsid w:val="001A7E9A"/>
    <w:rsid w:val="001B0F70"/>
    <w:rsid w:val="001B5016"/>
    <w:rsid w:val="001B54C1"/>
    <w:rsid w:val="001B6445"/>
    <w:rsid w:val="001C45FC"/>
    <w:rsid w:val="001D0469"/>
    <w:rsid w:val="001D4862"/>
    <w:rsid w:val="001E25B9"/>
    <w:rsid w:val="001E49E0"/>
    <w:rsid w:val="001E7B5A"/>
    <w:rsid w:val="001F7412"/>
    <w:rsid w:val="00202DFE"/>
    <w:rsid w:val="0020725B"/>
    <w:rsid w:val="002110F1"/>
    <w:rsid w:val="00223917"/>
    <w:rsid w:val="00224934"/>
    <w:rsid w:val="0024116D"/>
    <w:rsid w:val="00241B44"/>
    <w:rsid w:val="00241FA3"/>
    <w:rsid w:val="00245EFB"/>
    <w:rsid w:val="0025386E"/>
    <w:rsid w:val="00256B74"/>
    <w:rsid w:val="002638B0"/>
    <w:rsid w:val="0026647A"/>
    <w:rsid w:val="002668D3"/>
    <w:rsid w:val="0027299F"/>
    <w:rsid w:val="00284EBE"/>
    <w:rsid w:val="002874CB"/>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66A"/>
    <w:rsid w:val="002F1956"/>
    <w:rsid w:val="002F3440"/>
    <w:rsid w:val="002F75A3"/>
    <w:rsid w:val="00301D2B"/>
    <w:rsid w:val="00303C2F"/>
    <w:rsid w:val="00306F3B"/>
    <w:rsid w:val="003144EF"/>
    <w:rsid w:val="00326039"/>
    <w:rsid w:val="003261ED"/>
    <w:rsid w:val="00326292"/>
    <w:rsid w:val="00326415"/>
    <w:rsid w:val="00330937"/>
    <w:rsid w:val="00330F31"/>
    <w:rsid w:val="00331593"/>
    <w:rsid w:val="00334648"/>
    <w:rsid w:val="0033768C"/>
    <w:rsid w:val="00337938"/>
    <w:rsid w:val="003401DE"/>
    <w:rsid w:val="00340769"/>
    <w:rsid w:val="00341AA6"/>
    <w:rsid w:val="00345DEC"/>
    <w:rsid w:val="003502EB"/>
    <w:rsid w:val="00351B0E"/>
    <w:rsid w:val="00361A0A"/>
    <w:rsid w:val="00364836"/>
    <w:rsid w:val="0036565C"/>
    <w:rsid w:val="0036625E"/>
    <w:rsid w:val="0037465A"/>
    <w:rsid w:val="00382C98"/>
    <w:rsid w:val="0038533C"/>
    <w:rsid w:val="00386568"/>
    <w:rsid w:val="00390B57"/>
    <w:rsid w:val="003948D5"/>
    <w:rsid w:val="00396462"/>
    <w:rsid w:val="00396821"/>
    <w:rsid w:val="00397575"/>
    <w:rsid w:val="00397D3A"/>
    <w:rsid w:val="003A051E"/>
    <w:rsid w:val="003A7F42"/>
    <w:rsid w:val="003B170F"/>
    <w:rsid w:val="003B3C5F"/>
    <w:rsid w:val="003C4471"/>
    <w:rsid w:val="003C53FE"/>
    <w:rsid w:val="003D0A6D"/>
    <w:rsid w:val="003D6926"/>
    <w:rsid w:val="003E0B16"/>
    <w:rsid w:val="003E108A"/>
    <w:rsid w:val="003E67D1"/>
    <w:rsid w:val="00404329"/>
    <w:rsid w:val="00405874"/>
    <w:rsid w:val="00405DC1"/>
    <w:rsid w:val="00406702"/>
    <w:rsid w:val="00415F1F"/>
    <w:rsid w:val="0042108F"/>
    <w:rsid w:val="004248F6"/>
    <w:rsid w:val="004273B0"/>
    <w:rsid w:val="00430FED"/>
    <w:rsid w:val="00434A8C"/>
    <w:rsid w:val="0043571E"/>
    <w:rsid w:val="00437297"/>
    <w:rsid w:val="00443BAC"/>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1148"/>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176F"/>
    <w:rsid w:val="00544127"/>
    <w:rsid w:val="005463A9"/>
    <w:rsid w:val="00553EB2"/>
    <w:rsid w:val="00560534"/>
    <w:rsid w:val="0056391B"/>
    <w:rsid w:val="005650E2"/>
    <w:rsid w:val="00567AD7"/>
    <w:rsid w:val="00575B2D"/>
    <w:rsid w:val="00576640"/>
    <w:rsid w:val="005833D0"/>
    <w:rsid w:val="00583D8E"/>
    <w:rsid w:val="005846F3"/>
    <w:rsid w:val="0058622F"/>
    <w:rsid w:val="00587019"/>
    <w:rsid w:val="00587CA8"/>
    <w:rsid w:val="00592F82"/>
    <w:rsid w:val="005A0CCA"/>
    <w:rsid w:val="005A6FF2"/>
    <w:rsid w:val="005A726D"/>
    <w:rsid w:val="005B67AC"/>
    <w:rsid w:val="005B79F4"/>
    <w:rsid w:val="005D1293"/>
    <w:rsid w:val="005D43E0"/>
    <w:rsid w:val="005D58A3"/>
    <w:rsid w:val="005D6642"/>
    <w:rsid w:val="005D7AC1"/>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3756"/>
    <w:rsid w:val="006D6BD5"/>
    <w:rsid w:val="006E481A"/>
    <w:rsid w:val="006E5298"/>
    <w:rsid w:val="006F4A78"/>
    <w:rsid w:val="006F734A"/>
    <w:rsid w:val="00700D83"/>
    <w:rsid w:val="00704852"/>
    <w:rsid w:val="007074E9"/>
    <w:rsid w:val="00713DA4"/>
    <w:rsid w:val="00714BF1"/>
    <w:rsid w:val="00717C2C"/>
    <w:rsid w:val="00721383"/>
    <w:rsid w:val="00730973"/>
    <w:rsid w:val="0073158B"/>
    <w:rsid w:val="007326FF"/>
    <w:rsid w:val="007333CC"/>
    <w:rsid w:val="0073399A"/>
    <w:rsid w:val="007603F5"/>
    <w:rsid w:val="00764DB0"/>
    <w:rsid w:val="0076764D"/>
    <w:rsid w:val="00767E2C"/>
    <w:rsid w:val="0077498C"/>
    <w:rsid w:val="00777C53"/>
    <w:rsid w:val="007809BC"/>
    <w:rsid w:val="00784128"/>
    <w:rsid w:val="00787BCC"/>
    <w:rsid w:val="00793173"/>
    <w:rsid w:val="007A2A33"/>
    <w:rsid w:val="007B0242"/>
    <w:rsid w:val="007B5C89"/>
    <w:rsid w:val="007C1FCC"/>
    <w:rsid w:val="007C6201"/>
    <w:rsid w:val="007C747B"/>
    <w:rsid w:val="007D7C92"/>
    <w:rsid w:val="007E1154"/>
    <w:rsid w:val="007E6BA4"/>
    <w:rsid w:val="007F12AB"/>
    <w:rsid w:val="007F41F8"/>
    <w:rsid w:val="007F659B"/>
    <w:rsid w:val="0080454E"/>
    <w:rsid w:val="00804C32"/>
    <w:rsid w:val="00805305"/>
    <w:rsid w:val="00806302"/>
    <w:rsid w:val="00807119"/>
    <w:rsid w:val="0082483F"/>
    <w:rsid w:val="008279C0"/>
    <w:rsid w:val="00861063"/>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1B5E"/>
    <w:rsid w:val="00912C79"/>
    <w:rsid w:val="00921B8C"/>
    <w:rsid w:val="0092565E"/>
    <w:rsid w:val="0093467C"/>
    <w:rsid w:val="00942123"/>
    <w:rsid w:val="0095207B"/>
    <w:rsid w:val="00962045"/>
    <w:rsid w:val="00980E61"/>
    <w:rsid w:val="00991428"/>
    <w:rsid w:val="00992676"/>
    <w:rsid w:val="009954B2"/>
    <w:rsid w:val="00996691"/>
    <w:rsid w:val="009A2A85"/>
    <w:rsid w:val="009B0723"/>
    <w:rsid w:val="009B07AD"/>
    <w:rsid w:val="009B0883"/>
    <w:rsid w:val="009B15E2"/>
    <w:rsid w:val="009B4976"/>
    <w:rsid w:val="009C0B8E"/>
    <w:rsid w:val="009C1BC8"/>
    <w:rsid w:val="009C2442"/>
    <w:rsid w:val="009C33B3"/>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1AB6"/>
    <w:rsid w:val="00AD4BE8"/>
    <w:rsid w:val="00AF228E"/>
    <w:rsid w:val="00AF3B95"/>
    <w:rsid w:val="00B016A8"/>
    <w:rsid w:val="00B10961"/>
    <w:rsid w:val="00B12612"/>
    <w:rsid w:val="00B14819"/>
    <w:rsid w:val="00B15E2F"/>
    <w:rsid w:val="00B17AA9"/>
    <w:rsid w:val="00B27E6E"/>
    <w:rsid w:val="00B40228"/>
    <w:rsid w:val="00B44713"/>
    <w:rsid w:val="00B56103"/>
    <w:rsid w:val="00B64929"/>
    <w:rsid w:val="00B736DF"/>
    <w:rsid w:val="00B74202"/>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C71B1"/>
    <w:rsid w:val="00CD4998"/>
    <w:rsid w:val="00CE1035"/>
    <w:rsid w:val="00CE6E50"/>
    <w:rsid w:val="00CF2819"/>
    <w:rsid w:val="00CF4F9D"/>
    <w:rsid w:val="00CF70DC"/>
    <w:rsid w:val="00D041E0"/>
    <w:rsid w:val="00D14336"/>
    <w:rsid w:val="00D148DC"/>
    <w:rsid w:val="00D17FDC"/>
    <w:rsid w:val="00D21021"/>
    <w:rsid w:val="00D21D8C"/>
    <w:rsid w:val="00D316F2"/>
    <w:rsid w:val="00D379FD"/>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1718D"/>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3415"/>
    <w:rsid w:val="00EE4971"/>
    <w:rsid w:val="00EF090E"/>
    <w:rsid w:val="00EF5572"/>
    <w:rsid w:val="00F033DA"/>
    <w:rsid w:val="00F13691"/>
    <w:rsid w:val="00F13FB1"/>
    <w:rsid w:val="00F205B6"/>
    <w:rsid w:val="00F2475A"/>
    <w:rsid w:val="00F27CD8"/>
    <w:rsid w:val="00F30351"/>
    <w:rsid w:val="00F3323E"/>
    <w:rsid w:val="00F341F4"/>
    <w:rsid w:val="00F34F9D"/>
    <w:rsid w:val="00F35CCE"/>
    <w:rsid w:val="00F5524B"/>
    <w:rsid w:val="00F60538"/>
    <w:rsid w:val="00F61DD2"/>
    <w:rsid w:val="00F66AFF"/>
    <w:rsid w:val="00F71433"/>
    <w:rsid w:val="00F97C5B"/>
    <w:rsid w:val="00FA3D50"/>
    <w:rsid w:val="00FB5D20"/>
    <w:rsid w:val="00FB7FBD"/>
    <w:rsid w:val="00FC058C"/>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667C-37FB-4A98-A548-92729564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Omona</cp:lastModifiedBy>
  <cp:revision>28</cp:revision>
  <cp:lastPrinted>2019-08-27T05:42:00Z</cp:lastPrinted>
  <dcterms:created xsi:type="dcterms:W3CDTF">2020-08-30T16:04:00Z</dcterms:created>
  <dcterms:modified xsi:type="dcterms:W3CDTF">2021-07-11T10:56:00Z</dcterms:modified>
</cp:coreProperties>
</file>