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6180A9E"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076A9F">
        <w:rPr>
          <w:rFonts w:ascii="Arial" w:hAnsi="Arial" w:cs="Arial"/>
          <w:b/>
          <w:color w:val="000000" w:themeColor="text1"/>
          <w:sz w:val="28"/>
          <w:szCs w:val="28"/>
          <w:lang w:val="en-GB"/>
        </w:rPr>
        <w:t>9</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264D05" w:rsidRDefault="002460B1" w:rsidP="00841D99">
      <w:pPr>
        <w:pStyle w:val="ListParagraph"/>
        <w:numPr>
          <w:ilvl w:val="0"/>
          <w:numId w:val="10"/>
        </w:numPr>
        <w:ind w:left="426"/>
        <w:jc w:val="both"/>
        <w:rPr>
          <w:rFonts w:ascii="Arial" w:hAnsi="Arial" w:cs="Arial"/>
          <w:sz w:val="22"/>
          <w:szCs w:val="22"/>
          <w:highlight w:val="yellow"/>
        </w:rPr>
      </w:pPr>
      <w:r w:rsidRPr="00264D05">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264D05" w:rsidRDefault="00A37300" w:rsidP="00BA7E39">
      <w:pPr>
        <w:pStyle w:val="ListParagraph"/>
        <w:numPr>
          <w:ilvl w:val="0"/>
          <w:numId w:val="11"/>
        </w:numPr>
        <w:ind w:left="426"/>
        <w:jc w:val="both"/>
        <w:rPr>
          <w:rFonts w:ascii="Arial" w:hAnsi="Arial" w:cs="Arial"/>
          <w:sz w:val="22"/>
          <w:szCs w:val="22"/>
          <w:highlight w:val="yellow"/>
        </w:rPr>
      </w:pPr>
      <w:r w:rsidRPr="00264D05">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566661" w:rsidRDefault="003A29B7" w:rsidP="00403FEE">
      <w:pPr>
        <w:pStyle w:val="ListParagraph"/>
        <w:numPr>
          <w:ilvl w:val="0"/>
          <w:numId w:val="12"/>
        </w:numPr>
        <w:ind w:left="426"/>
        <w:jc w:val="both"/>
        <w:rPr>
          <w:rFonts w:ascii="Arial" w:hAnsi="Arial" w:cs="Arial"/>
          <w:sz w:val="22"/>
          <w:szCs w:val="22"/>
          <w:highlight w:val="yellow"/>
        </w:rPr>
      </w:pPr>
      <w:r w:rsidRPr="00566661">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Pr="00DB52B8" w:rsidRDefault="00076A9F" w:rsidP="00403FEE">
      <w:pPr>
        <w:pStyle w:val="ListParagraph"/>
        <w:numPr>
          <w:ilvl w:val="0"/>
          <w:numId w:val="13"/>
        </w:numPr>
        <w:ind w:left="426"/>
        <w:jc w:val="both"/>
        <w:rPr>
          <w:rFonts w:ascii="Arial" w:hAnsi="Arial" w:cs="Arial"/>
          <w:sz w:val="22"/>
          <w:szCs w:val="22"/>
          <w:highlight w:val="yellow"/>
        </w:rPr>
      </w:pPr>
      <w:r w:rsidRPr="00DB52B8">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Pr="004051A2" w:rsidRDefault="00F01639" w:rsidP="00F01639">
      <w:pPr>
        <w:pStyle w:val="ListParagraph"/>
        <w:numPr>
          <w:ilvl w:val="0"/>
          <w:numId w:val="14"/>
        </w:numPr>
        <w:ind w:left="426"/>
        <w:jc w:val="both"/>
        <w:rPr>
          <w:rFonts w:ascii="Arial" w:hAnsi="Arial" w:cs="Arial"/>
          <w:sz w:val="22"/>
          <w:szCs w:val="22"/>
          <w:highlight w:val="yellow"/>
        </w:rPr>
      </w:pPr>
      <w:r w:rsidRPr="004051A2">
        <w:rPr>
          <w:rFonts w:ascii="Arial" w:hAnsi="Arial" w:cs="Arial"/>
          <w:sz w:val="22"/>
          <w:szCs w:val="22"/>
          <w:highlight w:val="yellow"/>
        </w:rPr>
        <w:t>a</w:t>
      </w:r>
      <w:r w:rsidR="007425B0" w:rsidRPr="004051A2">
        <w:rPr>
          <w:rFonts w:ascii="Arial" w:hAnsi="Arial" w:cs="Arial"/>
          <w:sz w:val="22"/>
          <w:szCs w:val="22"/>
          <w:highlight w:val="yellow"/>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393F29"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393F29">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Pr="002577C4">
        <w:rPr>
          <w:rFonts w:ascii="Arial" w:eastAsiaTheme="minorHAnsi" w:hAnsi="Arial" w:cs="Arial"/>
          <w:i/>
          <w:iCs/>
          <w:sz w:val="22"/>
          <w:szCs w:val="22"/>
          <w:lang w:val="en-GB"/>
        </w:rPr>
        <w:t>curriculum vitae</w:t>
      </w:r>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393F29"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393F29">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he is employed. In his new role he has to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352C34"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352C34">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Pr="00352C34" w:rsidRDefault="00F83703" w:rsidP="00047A13">
      <w:pPr>
        <w:pStyle w:val="ListParagraph"/>
        <w:numPr>
          <w:ilvl w:val="0"/>
          <w:numId w:val="19"/>
        </w:numPr>
        <w:ind w:left="426"/>
        <w:jc w:val="both"/>
        <w:rPr>
          <w:rFonts w:ascii="Arial" w:hAnsi="Arial" w:cs="Arial"/>
          <w:sz w:val="22"/>
          <w:szCs w:val="22"/>
          <w:highlight w:val="yellow"/>
        </w:rPr>
      </w:pPr>
      <w:r w:rsidRPr="00352C34">
        <w:rPr>
          <w:rFonts w:ascii="Arial" w:hAnsi="Arial" w:cs="Arial"/>
          <w:sz w:val="22"/>
          <w:szCs w:val="22"/>
          <w:highlight w:val="yellow"/>
        </w:rPr>
        <w:t xml:space="preserve">This statement is false since the practitioner might have carried out </w:t>
      </w:r>
      <w:r w:rsidR="00BC285B" w:rsidRPr="00352C34">
        <w:rPr>
          <w:rFonts w:ascii="Arial" w:hAnsi="Arial" w:cs="Arial"/>
          <w:sz w:val="22"/>
          <w:szCs w:val="22"/>
          <w:highlight w:val="yellow"/>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digitise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Pr="004375E1" w:rsidRDefault="006A1258" w:rsidP="006A1258">
      <w:pPr>
        <w:pStyle w:val="ListParagraph"/>
        <w:numPr>
          <w:ilvl w:val="0"/>
          <w:numId w:val="20"/>
        </w:numPr>
        <w:ind w:left="426"/>
        <w:jc w:val="both"/>
        <w:rPr>
          <w:rFonts w:ascii="Arial" w:hAnsi="Arial" w:cs="Arial"/>
          <w:sz w:val="22"/>
          <w:szCs w:val="22"/>
          <w:highlight w:val="yellow"/>
        </w:rPr>
      </w:pPr>
      <w:r w:rsidRPr="004375E1">
        <w:rPr>
          <w:rFonts w:ascii="Arial" w:hAnsi="Arial" w:cs="Arial"/>
          <w:sz w:val="22"/>
          <w:szCs w:val="22"/>
          <w:highlight w:val="yellow"/>
        </w:rPr>
        <w:t>r</w:t>
      </w:r>
      <w:r w:rsidR="00701CCC" w:rsidRPr="004375E1">
        <w:rPr>
          <w:rFonts w:ascii="Arial" w:hAnsi="Arial" w:cs="Arial"/>
          <w:sz w:val="22"/>
          <w:szCs w:val="22"/>
          <w:highlight w:val="yellow"/>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ListParagraph"/>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218BED06" w:rsidR="009B07AD" w:rsidRPr="002A37BB" w:rsidRDefault="00426BB0"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 main fiduciary duties of an insolvency professional are: (i) t</w:t>
      </w:r>
      <w:r w:rsidR="00D51660">
        <w:rPr>
          <w:rFonts w:ascii="Arial" w:hAnsi="Arial" w:cs="Arial"/>
          <w:color w:val="7B7B7B" w:themeColor="accent3" w:themeShade="BF"/>
          <w:sz w:val="22"/>
          <w:szCs w:val="22"/>
          <w:lang w:val="en-GB"/>
        </w:rPr>
        <w:t>he duty to act in good faith which implies acting with honesty and fair dealing</w:t>
      </w:r>
      <w:r w:rsidR="00A9112D">
        <w:rPr>
          <w:rFonts w:ascii="Arial" w:hAnsi="Arial" w:cs="Arial"/>
          <w:color w:val="7B7B7B" w:themeColor="accent3" w:themeShade="BF"/>
          <w:sz w:val="22"/>
          <w:szCs w:val="22"/>
          <w:lang w:val="en-GB"/>
        </w:rPr>
        <w:t>; (ii) the duty to act in the best interests of the beneficiary of the fiduciary duties</w:t>
      </w:r>
      <w:r w:rsidR="00037BA9">
        <w:rPr>
          <w:rFonts w:ascii="Arial" w:hAnsi="Arial" w:cs="Arial"/>
          <w:color w:val="7B7B7B" w:themeColor="accent3" w:themeShade="BF"/>
          <w:sz w:val="22"/>
          <w:szCs w:val="22"/>
          <w:lang w:val="en-GB"/>
        </w:rPr>
        <w:t>; and (iii) the duty to exercise the power</w:t>
      </w:r>
      <w:r w:rsidR="00844EC0">
        <w:rPr>
          <w:rFonts w:ascii="Arial" w:hAnsi="Arial" w:cs="Arial"/>
          <w:color w:val="7B7B7B" w:themeColor="accent3" w:themeShade="BF"/>
          <w:sz w:val="22"/>
          <w:szCs w:val="22"/>
          <w:lang w:val="en-GB"/>
        </w:rPr>
        <w:t>s of the office in an independent and impartial manner. This duty includes avoiding conflicts of interest</w:t>
      </w:r>
      <w:r w:rsidR="00F1604F">
        <w:rPr>
          <w:rFonts w:ascii="Arial" w:hAnsi="Arial" w:cs="Arial"/>
          <w:color w:val="7B7B7B" w:themeColor="accent3" w:themeShade="BF"/>
          <w:sz w:val="22"/>
          <w:szCs w:val="22"/>
          <w:lang w:val="en-GB"/>
        </w:rPr>
        <w:t>. T</w:t>
      </w:r>
      <w:r w:rsidR="0029160A">
        <w:rPr>
          <w:rFonts w:ascii="Arial" w:hAnsi="Arial" w:cs="Arial"/>
          <w:color w:val="7B7B7B" w:themeColor="accent3" w:themeShade="BF"/>
          <w:sz w:val="22"/>
          <w:szCs w:val="22"/>
          <w:lang w:val="en-GB"/>
        </w:rPr>
        <w:t>he other duty, which is not fiduciary related but is associated with the insolvency practitioner is the duty act with care, skill and diligence.</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1501F9D8" w14:textId="77777777" w:rsidR="00D021F0" w:rsidRDefault="00683A5A"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duty to act with independence and impartiality means that the insolvency practitioner</w:t>
      </w:r>
      <w:r w:rsidR="00585E8F">
        <w:rPr>
          <w:rFonts w:ascii="Arial" w:hAnsi="Arial" w:cs="Arial"/>
          <w:color w:val="7B7B7B" w:themeColor="accent3" w:themeShade="BF"/>
          <w:sz w:val="22"/>
          <w:szCs w:val="22"/>
        </w:rPr>
        <w:t xml:space="preserve"> exhibits these traits when he exercises his powers and duties.</w:t>
      </w:r>
      <w:r w:rsidR="006134B2">
        <w:rPr>
          <w:rFonts w:ascii="Arial" w:hAnsi="Arial" w:cs="Arial"/>
          <w:color w:val="7B7B7B" w:themeColor="accent3" w:themeShade="BF"/>
          <w:sz w:val="22"/>
          <w:szCs w:val="22"/>
        </w:rPr>
        <w:t xml:space="preserve"> The practitioner is required to avoid circumstances likely to result in a conflict of interest.</w:t>
      </w:r>
      <w:r w:rsidR="00F63AD0">
        <w:rPr>
          <w:rFonts w:ascii="Arial" w:hAnsi="Arial" w:cs="Arial"/>
          <w:color w:val="7B7B7B" w:themeColor="accent3" w:themeShade="BF"/>
          <w:sz w:val="22"/>
          <w:szCs w:val="22"/>
        </w:rPr>
        <w:t xml:space="preserve"> Independence by the practitioner needs to be as of fact and </w:t>
      </w:r>
      <w:r w:rsidR="000E5741">
        <w:rPr>
          <w:rFonts w:ascii="Arial" w:hAnsi="Arial" w:cs="Arial"/>
          <w:color w:val="7B7B7B" w:themeColor="accent3" w:themeShade="BF"/>
          <w:sz w:val="22"/>
          <w:szCs w:val="22"/>
        </w:rPr>
        <w:t xml:space="preserve">from the perspective of an informed observer and practitioners can be guided by </w:t>
      </w:r>
      <w:r w:rsidR="00B457CB">
        <w:rPr>
          <w:rFonts w:ascii="Arial" w:hAnsi="Arial" w:cs="Arial"/>
          <w:color w:val="7B7B7B" w:themeColor="accent3" w:themeShade="BF"/>
          <w:sz w:val="22"/>
          <w:szCs w:val="22"/>
        </w:rPr>
        <w:t xml:space="preserve">legislative or professional guidance given on the subject.  The objective of the practitioner in being independent is to ensure </w:t>
      </w:r>
      <w:r w:rsidR="005973BC">
        <w:rPr>
          <w:rFonts w:ascii="Arial" w:hAnsi="Arial" w:cs="Arial"/>
          <w:color w:val="7B7B7B" w:themeColor="accent3" w:themeShade="BF"/>
          <w:sz w:val="22"/>
          <w:szCs w:val="22"/>
        </w:rPr>
        <w:t>that his conduct is and is seen to be</w:t>
      </w:r>
      <w:r w:rsidR="00CE386E">
        <w:rPr>
          <w:rFonts w:ascii="Arial" w:hAnsi="Arial" w:cs="Arial"/>
          <w:color w:val="7B7B7B" w:themeColor="accent3" w:themeShade="BF"/>
          <w:sz w:val="22"/>
          <w:szCs w:val="22"/>
        </w:rPr>
        <w:t xml:space="preserve"> not unfairly or improperly biased</w:t>
      </w:r>
      <w:r w:rsidR="002957AB">
        <w:rPr>
          <w:rFonts w:ascii="Arial" w:hAnsi="Arial" w:cs="Arial"/>
          <w:color w:val="7B7B7B" w:themeColor="accent3" w:themeShade="BF"/>
          <w:sz w:val="22"/>
          <w:szCs w:val="22"/>
        </w:rPr>
        <w:t xml:space="preserve"> towards any party or associates. A</w:t>
      </w:r>
      <w:r w:rsidR="00E37E99">
        <w:rPr>
          <w:rFonts w:ascii="Arial" w:hAnsi="Arial" w:cs="Arial"/>
          <w:color w:val="7B7B7B" w:themeColor="accent3" w:themeShade="BF"/>
          <w:sz w:val="22"/>
          <w:szCs w:val="22"/>
        </w:rPr>
        <w:t>n insolvency practitioner for example should not accept an appointment to an estate if his relationship with the directors</w:t>
      </w:r>
      <w:r w:rsidR="00D021F0">
        <w:rPr>
          <w:rFonts w:ascii="Arial" w:hAnsi="Arial" w:cs="Arial"/>
          <w:color w:val="7B7B7B" w:themeColor="accent3" w:themeShade="BF"/>
          <w:sz w:val="22"/>
          <w:szCs w:val="22"/>
        </w:rPr>
        <w:t xml:space="preserve"> of the company or any stakeholders would</w:t>
      </w:r>
      <w:r>
        <w:rPr>
          <w:rFonts w:ascii="Arial" w:hAnsi="Arial" w:cs="Arial"/>
          <w:color w:val="7B7B7B" w:themeColor="accent3" w:themeShade="BF"/>
          <w:sz w:val="22"/>
          <w:szCs w:val="22"/>
        </w:rPr>
        <w:t xml:space="preserve"> </w:t>
      </w:r>
      <w:r w:rsidR="00D021F0">
        <w:rPr>
          <w:rFonts w:ascii="Arial" w:hAnsi="Arial" w:cs="Arial"/>
          <w:color w:val="7B7B7B" w:themeColor="accent3" w:themeShade="BF"/>
          <w:sz w:val="22"/>
          <w:szCs w:val="22"/>
        </w:rPr>
        <w:t>give rise to a possible or perceived lack of independence.</w:t>
      </w:r>
    </w:p>
    <w:p w14:paraId="2F57801B" w14:textId="3CB43F45" w:rsidR="009B07AD" w:rsidRPr="002A37BB" w:rsidRDefault="00D021F0" w:rsidP="002A37BB">
      <w:pPr>
        <w:ind w:left="720" w:hanging="720"/>
        <w:jc w:val="both"/>
        <w:rPr>
          <w:rFonts w:ascii="Arial" w:hAnsi="Arial" w:cs="Arial"/>
          <w:sz w:val="22"/>
          <w:szCs w:val="22"/>
        </w:rPr>
      </w:pPr>
      <w:r>
        <w:rPr>
          <w:rFonts w:ascii="Arial" w:hAnsi="Arial" w:cs="Arial"/>
          <w:color w:val="7B7B7B" w:themeColor="accent3" w:themeShade="BF"/>
          <w:sz w:val="22"/>
          <w:szCs w:val="22"/>
        </w:rPr>
        <w:t xml:space="preserve">This leads into the duty to act impartially. Perceived lack of independence will lead to </w:t>
      </w:r>
      <w:r w:rsidR="000E2ED4">
        <w:rPr>
          <w:rFonts w:ascii="Arial" w:hAnsi="Arial" w:cs="Arial"/>
          <w:color w:val="7B7B7B" w:themeColor="accent3" w:themeShade="BF"/>
          <w:sz w:val="22"/>
          <w:szCs w:val="22"/>
        </w:rPr>
        <w:t>a threat to impartiality. Threats to independence and impartiality includes self-interest, self-review</w:t>
      </w:r>
      <w:r w:rsidR="00D37E47">
        <w:rPr>
          <w:rFonts w:ascii="Arial" w:hAnsi="Arial" w:cs="Arial"/>
          <w:color w:val="7B7B7B" w:themeColor="accent3" w:themeShade="BF"/>
          <w:sz w:val="22"/>
          <w:szCs w:val="22"/>
        </w:rPr>
        <w:t>, advocacy; familiarity and intimi</w:t>
      </w:r>
      <w:r w:rsidR="00F0080E">
        <w:rPr>
          <w:rFonts w:ascii="Arial" w:hAnsi="Arial" w:cs="Arial"/>
          <w:color w:val="7B7B7B" w:themeColor="accent3" w:themeShade="BF"/>
          <w:sz w:val="22"/>
          <w:szCs w:val="22"/>
        </w:rPr>
        <w:t>d</w:t>
      </w:r>
      <w:r w:rsidR="00D37E47">
        <w:rPr>
          <w:rFonts w:ascii="Arial" w:hAnsi="Arial" w:cs="Arial"/>
          <w:color w:val="7B7B7B" w:themeColor="accent3" w:themeShade="BF"/>
          <w:sz w:val="22"/>
          <w:szCs w:val="22"/>
        </w:rPr>
        <w:t>ation.</w:t>
      </w:r>
      <w:r w:rsidR="00F0080E">
        <w:rPr>
          <w:rFonts w:ascii="Arial" w:hAnsi="Arial" w:cs="Arial"/>
          <w:color w:val="7B7B7B" w:themeColor="accent3" w:themeShade="BF"/>
          <w:sz w:val="22"/>
          <w:szCs w:val="22"/>
        </w:rPr>
        <w:t xml:space="preserve"> The two-pronged nature of independence and impartiality </w:t>
      </w:r>
      <w:r w:rsidR="00104182">
        <w:rPr>
          <w:rFonts w:ascii="Arial" w:hAnsi="Arial" w:cs="Arial"/>
          <w:color w:val="7B7B7B" w:themeColor="accent3" w:themeShade="BF"/>
          <w:sz w:val="22"/>
          <w:szCs w:val="22"/>
        </w:rPr>
        <w:t xml:space="preserve">therefore </w:t>
      </w:r>
      <w:r w:rsidR="00F0080E">
        <w:rPr>
          <w:rFonts w:ascii="Arial" w:hAnsi="Arial" w:cs="Arial"/>
          <w:color w:val="7B7B7B" w:themeColor="accent3" w:themeShade="BF"/>
          <w:sz w:val="22"/>
          <w:szCs w:val="22"/>
        </w:rPr>
        <w:t xml:space="preserve">means </w:t>
      </w:r>
      <w:r w:rsidR="00592DFB">
        <w:rPr>
          <w:rFonts w:ascii="Arial" w:hAnsi="Arial" w:cs="Arial"/>
          <w:color w:val="7B7B7B" w:themeColor="accent3" w:themeShade="BF"/>
          <w:sz w:val="22"/>
          <w:szCs w:val="22"/>
        </w:rPr>
        <w:t xml:space="preserve">that the insolvency practitioner does not allow bias, a conflicting interest or the undue influence </w:t>
      </w:r>
      <w:r w:rsidR="00B43245">
        <w:rPr>
          <w:rFonts w:ascii="Arial" w:hAnsi="Arial" w:cs="Arial"/>
          <w:color w:val="7B7B7B" w:themeColor="accent3" w:themeShade="BF"/>
          <w:sz w:val="22"/>
          <w:szCs w:val="22"/>
        </w:rPr>
        <w:t>of others to override his professional  or business judgment  in the execution of his duties</w:t>
      </w:r>
      <w:r w:rsidR="00985102">
        <w:rPr>
          <w:rFonts w:ascii="Arial" w:hAnsi="Arial" w:cs="Arial"/>
          <w:color w:val="7B7B7B" w:themeColor="accent3" w:themeShade="BF"/>
          <w:sz w:val="22"/>
          <w:szCs w:val="22"/>
        </w:rPr>
        <w:t>.</w:t>
      </w:r>
      <w:r w:rsidR="00461A0E">
        <w:rPr>
          <w:rFonts w:ascii="Arial" w:hAnsi="Arial" w:cs="Arial"/>
          <w:color w:val="7B7B7B" w:themeColor="accent3" w:themeShade="BF"/>
          <w:sz w:val="22"/>
          <w:szCs w:val="22"/>
        </w:rPr>
        <w:t xml:space="preserve"> </w:t>
      </w:r>
      <w:r w:rsidR="00581EAD">
        <w:rPr>
          <w:rFonts w:ascii="Arial" w:hAnsi="Arial" w:cs="Arial"/>
          <w:color w:val="7B7B7B" w:themeColor="accent3" w:themeShade="BF"/>
          <w:sz w:val="22"/>
          <w:szCs w:val="22"/>
        </w:rPr>
        <w:t xml:space="preserve">Where there is a preexisting relationship with stakeholders or directors of a company by the insolvency practitioner, he should not accept the appointment so </w:t>
      </w:r>
      <w:r w:rsidR="00A8633F">
        <w:rPr>
          <w:rFonts w:ascii="Arial" w:hAnsi="Arial" w:cs="Arial"/>
          <w:color w:val="7B7B7B" w:themeColor="accent3" w:themeShade="BF"/>
          <w:sz w:val="22"/>
          <w:szCs w:val="22"/>
        </w:rPr>
        <w:t>that he avoids his independence and impartiality being called into question.</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5E98D616" w:rsidR="00C72848" w:rsidRPr="002A37BB" w:rsidRDefault="00CD78F1"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preferred method of calculation for insolvency practitioner remuneration is </w:t>
      </w:r>
      <w:r w:rsidR="007A2F41">
        <w:rPr>
          <w:rFonts w:ascii="Arial" w:hAnsi="Arial" w:cs="Arial"/>
          <w:color w:val="7B7B7B" w:themeColor="accent3" w:themeShade="BF"/>
          <w:sz w:val="22"/>
          <w:szCs w:val="22"/>
          <w:lang w:val="en-GB"/>
        </w:rPr>
        <w:t>time</w:t>
      </w:r>
      <w:r w:rsidR="00720C88">
        <w:rPr>
          <w:rFonts w:ascii="Arial" w:hAnsi="Arial" w:cs="Arial"/>
          <w:color w:val="7B7B7B" w:themeColor="accent3" w:themeShade="BF"/>
          <w:sz w:val="22"/>
          <w:szCs w:val="22"/>
          <w:lang w:val="en-GB"/>
        </w:rPr>
        <w:t>-</w:t>
      </w:r>
      <w:r w:rsidR="007A2F41">
        <w:rPr>
          <w:rFonts w:ascii="Arial" w:hAnsi="Arial" w:cs="Arial"/>
          <w:color w:val="7B7B7B" w:themeColor="accent3" w:themeShade="BF"/>
          <w:sz w:val="22"/>
          <w:szCs w:val="22"/>
          <w:lang w:val="en-GB"/>
        </w:rPr>
        <w:t>based fees</w:t>
      </w:r>
      <w:r w:rsidR="006E426F">
        <w:rPr>
          <w:rFonts w:ascii="Arial" w:hAnsi="Arial" w:cs="Arial"/>
          <w:color w:val="7B7B7B" w:themeColor="accent3" w:themeShade="BF"/>
          <w:sz w:val="22"/>
          <w:szCs w:val="22"/>
          <w:lang w:val="en-GB"/>
        </w:rPr>
        <w:t xml:space="preserve"> where fees are incurred according to the time spent</w:t>
      </w:r>
      <w:r w:rsidR="00AC50A8">
        <w:rPr>
          <w:rFonts w:ascii="Arial" w:hAnsi="Arial" w:cs="Arial"/>
          <w:color w:val="7B7B7B" w:themeColor="accent3" w:themeShade="BF"/>
          <w:sz w:val="22"/>
          <w:szCs w:val="22"/>
          <w:lang w:val="en-GB"/>
        </w:rPr>
        <w:t xml:space="preserve"> on attending to the case. The </w:t>
      </w:r>
      <w:r w:rsidR="00FA6A83">
        <w:rPr>
          <w:rFonts w:ascii="Arial" w:hAnsi="Arial" w:cs="Arial"/>
          <w:color w:val="7B7B7B" w:themeColor="accent3" w:themeShade="BF"/>
          <w:sz w:val="22"/>
          <w:szCs w:val="22"/>
          <w:lang w:val="en-GB"/>
        </w:rPr>
        <w:t xml:space="preserve">main ethical issue is the fact that the insolvency practitioner spend time on the </w:t>
      </w:r>
      <w:r w:rsidR="00FA6A83">
        <w:rPr>
          <w:rFonts w:ascii="Arial" w:hAnsi="Arial" w:cs="Arial"/>
          <w:color w:val="7B7B7B" w:themeColor="accent3" w:themeShade="BF"/>
          <w:sz w:val="22"/>
          <w:szCs w:val="22"/>
          <w:lang w:val="en-GB"/>
        </w:rPr>
        <w:lastRenderedPageBreak/>
        <w:t>administration of the estate without achieving any outcome</w:t>
      </w:r>
      <w:r w:rsidR="009B7597">
        <w:rPr>
          <w:rFonts w:ascii="Arial" w:hAnsi="Arial" w:cs="Arial"/>
          <w:color w:val="7B7B7B" w:themeColor="accent3" w:themeShade="BF"/>
          <w:sz w:val="22"/>
          <w:szCs w:val="22"/>
          <w:lang w:val="en-GB"/>
        </w:rPr>
        <w:t xml:space="preserve">. The task is generally to assess the value of the </w:t>
      </w:r>
      <w:r w:rsidR="00C43467">
        <w:rPr>
          <w:rFonts w:ascii="Arial" w:hAnsi="Arial" w:cs="Arial"/>
          <w:color w:val="7B7B7B" w:themeColor="accent3" w:themeShade="BF"/>
          <w:sz w:val="22"/>
          <w:szCs w:val="22"/>
          <w:lang w:val="en-GB"/>
        </w:rPr>
        <w:t xml:space="preserve">practitioner’s </w:t>
      </w:r>
      <w:r w:rsidR="009B7597">
        <w:rPr>
          <w:rFonts w:ascii="Arial" w:hAnsi="Arial" w:cs="Arial"/>
          <w:color w:val="7B7B7B" w:themeColor="accent3" w:themeShade="BF"/>
          <w:sz w:val="22"/>
          <w:szCs w:val="22"/>
          <w:lang w:val="en-GB"/>
        </w:rPr>
        <w:t>work not the cost</w:t>
      </w:r>
      <w:r w:rsidR="00C43467">
        <w:rPr>
          <w:rFonts w:ascii="Arial" w:hAnsi="Arial" w:cs="Arial"/>
          <w:color w:val="7B7B7B" w:themeColor="accent3" w:themeShade="BF"/>
          <w:sz w:val="22"/>
          <w:szCs w:val="22"/>
          <w:lang w:val="en-GB"/>
        </w:rPr>
        <w:t>.</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20E5BCD2" w14:textId="430B1537" w:rsidR="006F3C06" w:rsidRDefault="005C155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elements of insolvency proceedings especially prone to creating or giving rise to threats to independence and impartiality </w:t>
      </w:r>
      <w:r w:rsidR="001471A8">
        <w:rPr>
          <w:rFonts w:ascii="Arial" w:hAnsi="Arial" w:cs="Arial"/>
          <w:color w:val="7B7B7B" w:themeColor="accent3" w:themeShade="BF"/>
          <w:sz w:val="22"/>
          <w:szCs w:val="22"/>
          <w:lang w:val="en-GB"/>
        </w:rPr>
        <w:t xml:space="preserve">are in relation to </w:t>
      </w:r>
      <w:r w:rsidR="002D6817">
        <w:rPr>
          <w:rFonts w:ascii="Arial" w:hAnsi="Arial" w:cs="Arial"/>
          <w:color w:val="7B7B7B" w:themeColor="accent3" w:themeShade="BF"/>
          <w:sz w:val="22"/>
          <w:szCs w:val="22"/>
          <w:lang w:val="en-GB"/>
        </w:rPr>
        <w:t xml:space="preserve">appointment, pre-commencement appointment </w:t>
      </w:r>
      <w:r w:rsidR="006F0969">
        <w:rPr>
          <w:rFonts w:ascii="Arial" w:hAnsi="Arial" w:cs="Arial"/>
          <w:color w:val="7B7B7B" w:themeColor="accent3" w:themeShade="BF"/>
          <w:sz w:val="22"/>
          <w:szCs w:val="22"/>
          <w:lang w:val="en-GB"/>
        </w:rPr>
        <w:t>and involvement</w:t>
      </w:r>
      <w:r w:rsidR="003B0660">
        <w:rPr>
          <w:rFonts w:ascii="Arial" w:hAnsi="Arial" w:cs="Arial"/>
          <w:color w:val="7B7B7B" w:themeColor="accent3" w:themeShade="BF"/>
          <w:sz w:val="22"/>
          <w:szCs w:val="22"/>
          <w:lang w:val="en-GB"/>
        </w:rPr>
        <w:t xml:space="preserve"> which affects the </w:t>
      </w:r>
      <w:r w:rsidR="00125C5E">
        <w:rPr>
          <w:rFonts w:ascii="Arial" w:hAnsi="Arial" w:cs="Arial"/>
          <w:color w:val="7B7B7B" w:themeColor="accent3" w:themeShade="BF"/>
          <w:sz w:val="22"/>
          <w:szCs w:val="22"/>
          <w:lang w:val="en-GB"/>
        </w:rPr>
        <w:t>practitioner’s ability to carry out investigations objectively</w:t>
      </w:r>
      <w:r w:rsidR="00FB28A4">
        <w:rPr>
          <w:rFonts w:ascii="Arial" w:hAnsi="Arial" w:cs="Arial"/>
          <w:color w:val="7B7B7B" w:themeColor="accent3" w:themeShade="BF"/>
          <w:sz w:val="22"/>
          <w:szCs w:val="22"/>
          <w:lang w:val="en-GB"/>
        </w:rPr>
        <w:t xml:space="preserve">. There are likely be threats to independence at the remuneration stage of the insolvency </w:t>
      </w:r>
      <w:r w:rsidR="008112F0">
        <w:rPr>
          <w:rFonts w:ascii="Arial" w:hAnsi="Arial" w:cs="Arial"/>
          <w:color w:val="7B7B7B" w:themeColor="accent3" w:themeShade="BF"/>
          <w:sz w:val="22"/>
          <w:szCs w:val="22"/>
          <w:lang w:val="en-GB"/>
        </w:rPr>
        <w:t>proceedings.</w:t>
      </w:r>
      <w:r w:rsidR="00195787">
        <w:rPr>
          <w:rFonts w:ascii="Arial" w:hAnsi="Arial" w:cs="Arial"/>
          <w:color w:val="7B7B7B" w:themeColor="accent3" w:themeShade="BF"/>
          <w:sz w:val="22"/>
          <w:szCs w:val="22"/>
          <w:lang w:val="en-GB"/>
        </w:rPr>
        <w:t xml:space="preserve"> For </w:t>
      </w:r>
      <w:r w:rsidR="000A295C">
        <w:rPr>
          <w:rFonts w:ascii="Arial" w:hAnsi="Arial" w:cs="Arial"/>
          <w:color w:val="7B7B7B" w:themeColor="accent3" w:themeShade="BF"/>
          <w:sz w:val="22"/>
          <w:szCs w:val="22"/>
          <w:lang w:val="en-GB"/>
        </w:rPr>
        <w:t xml:space="preserve">the </w:t>
      </w:r>
      <w:r w:rsidR="007178F5">
        <w:rPr>
          <w:rFonts w:ascii="Arial" w:hAnsi="Arial" w:cs="Arial"/>
          <w:color w:val="7B7B7B" w:themeColor="accent3" w:themeShade="BF"/>
          <w:sz w:val="22"/>
          <w:szCs w:val="22"/>
          <w:lang w:val="en-GB"/>
        </w:rPr>
        <w:t>appointment stage,</w:t>
      </w:r>
      <w:r w:rsidR="00323ECF">
        <w:rPr>
          <w:rFonts w:ascii="Arial" w:hAnsi="Arial" w:cs="Arial"/>
          <w:color w:val="7B7B7B" w:themeColor="accent3" w:themeShade="BF"/>
          <w:sz w:val="22"/>
          <w:szCs w:val="22"/>
          <w:lang w:val="en-GB"/>
        </w:rPr>
        <w:t xml:space="preserve"> the duty of independence requires that the practitioner scrutinise the situation before he accepts the appointment</w:t>
      </w:r>
      <w:r w:rsidR="000079C4">
        <w:rPr>
          <w:rFonts w:ascii="Arial" w:hAnsi="Arial" w:cs="Arial"/>
          <w:color w:val="7B7B7B" w:themeColor="accent3" w:themeShade="BF"/>
          <w:sz w:val="22"/>
          <w:szCs w:val="22"/>
          <w:lang w:val="en-GB"/>
        </w:rPr>
        <w:t xml:space="preserve"> to ensure he has n</w:t>
      </w:r>
      <w:r w:rsidR="00E14BDC">
        <w:rPr>
          <w:rFonts w:ascii="Arial" w:hAnsi="Arial" w:cs="Arial"/>
          <w:color w:val="7B7B7B" w:themeColor="accent3" w:themeShade="BF"/>
          <w:sz w:val="22"/>
          <w:szCs w:val="22"/>
          <w:lang w:val="en-GB"/>
        </w:rPr>
        <w:t>o association or conflict of interest with any stakeholder</w:t>
      </w:r>
      <w:r w:rsidR="00323ECF">
        <w:rPr>
          <w:rFonts w:ascii="Arial" w:hAnsi="Arial" w:cs="Arial"/>
          <w:color w:val="7B7B7B" w:themeColor="accent3" w:themeShade="BF"/>
          <w:sz w:val="22"/>
          <w:szCs w:val="22"/>
          <w:lang w:val="en-GB"/>
        </w:rPr>
        <w:t>.</w:t>
      </w:r>
      <w:r w:rsidR="00E14BDC">
        <w:rPr>
          <w:rFonts w:ascii="Arial" w:hAnsi="Arial" w:cs="Arial"/>
          <w:color w:val="7B7B7B" w:themeColor="accent3" w:themeShade="BF"/>
          <w:sz w:val="22"/>
          <w:szCs w:val="22"/>
          <w:lang w:val="en-GB"/>
        </w:rPr>
        <w:t xml:space="preserve"> In subsequent appointments, an insolvency practitioner may</w:t>
      </w:r>
      <w:r w:rsidR="00050DDD">
        <w:rPr>
          <w:rFonts w:ascii="Arial" w:hAnsi="Arial" w:cs="Arial"/>
          <w:color w:val="7B7B7B" w:themeColor="accent3" w:themeShade="BF"/>
          <w:sz w:val="22"/>
          <w:szCs w:val="22"/>
          <w:lang w:val="en-GB"/>
        </w:rPr>
        <w:t xml:space="preserve"> act in a different insolvency capacity in relation to the same debtor</w:t>
      </w:r>
      <w:r w:rsidR="00E27191">
        <w:rPr>
          <w:rFonts w:ascii="Arial" w:hAnsi="Arial" w:cs="Arial"/>
          <w:color w:val="7B7B7B" w:themeColor="accent3" w:themeShade="BF"/>
          <w:sz w:val="22"/>
          <w:szCs w:val="22"/>
          <w:lang w:val="en-GB"/>
        </w:rPr>
        <w:t xml:space="preserve">. The threat to independence and impartiality in this situation arises </w:t>
      </w:r>
      <w:r w:rsidR="00995B1D">
        <w:rPr>
          <w:rFonts w:ascii="Arial" w:hAnsi="Arial" w:cs="Arial"/>
          <w:color w:val="7B7B7B" w:themeColor="accent3" w:themeShade="BF"/>
          <w:sz w:val="22"/>
          <w:szCs w:val="22"/>
          <w:lang w:val="en-GB"/>
        </w:rPr>
        <w:t>due to the self-review and self-interest threat</w:t>
      </w:r>
      <w:r w:rsidR="00BA6BD5">
        <w:rPr>
          <w:rFonts w:ascii="Arial" w:hAnsi="Arial" w:cs="Arial"/>
          <w:color w:val="7B7B7B" w:themeColor="accent3" w:themeShade="BF"/>
          <w:sz w:val="22"/>
          <w:szCs w:val="22"/>
          <w:lang w:val="en-GB"/>
        </w:rPr>
        <w:t xml:space="preserve"> created. The self</w:t>
      </w:r>
      <w:r w:rsidR="006F3C06">
        <w:rPr>
          <w:rFonts w:ascii="Arial" w:hAnsi="Arial" w:cs="Arial"/>
          <w:color w:val="7B7B7B" w:themeColor="accent3" w:themeShade="BF"/>
          <w:sz w:val="22"/>
          <w:szCs w:val="22"/>
          <w:lang w:val="en-GB"/>
        </w:rPr>
        <w:t>-</w:t>
      </w:r>
      <w:r w:rsidR="00BA6BD5">
        <w:rPr>
          <w:rFonts w:ascii="Arial" w:hAnsi="Arial" w:cs="Arial"/>
          <w:color w:val="7B7B7B" w:themeColor="accent3" w:themeShade="BF"/>
          <w:sz w:val="22"/>
          <w:szCs w:val="22"/>
          <w:lang w:val="en-GB"/>
        </w:rPr>
        <w:t>review threat occurs where the practitioner, due to being involved in prior decision making will not be able to appropriately evaluate results or previous judgments made</w:t>
      </w:r>
      <w:r w:rsidR="007F297C">
        <w:rPr>
          <w:rFonts w:ascii="Arial" w:hAnsi="Arial" w:cs="Arial"/>
          <w:color w:val="7B7B7B" w:themeColor="accent3" w:themeShade="BF"/>
          <w:sz w:val="22"/>
          <w:szCs w:val="22"/>
          <w:lang w:val="en-GB"/>
        </w:rPr>
        <w:t xml:space="preserve"> or services rendered.</w:t>
      </w:r>
      <w:r w:rsidR="007178F5">
        <w:rPr>
          <w:rFonts w:ascii="Arial" w:hAnsi="Arial" w:cs="Arial"/>
          <w:color w:val="7B7B7B" w:themeColor="accent3" w:themeShade="BF"/>
          <w:sz w:val="22"/>
          <w:szCs w:val="22"/>
          <w:lang w:val="en-GB"/>
        </w:rPr>
        <w:t xml:space="preserve"> </w:t>
      </w:r>
      <w:r w:rsidR="006F3C06">
        <w:rPr>
          <w:rFonts w:ascii="Arial" w:hAnsi="Arial" w:cs="Arial"/>
          <w:color w:val="7B7B7B" w:themeColor="accent3" w:themeShade="BF"/>
          <w:sz w:val="22"/>
          <w:szCs w:val="22"/>
          <w:lang w:val="en-GB"/>
        </w:rPr>
        <w:t xml:space="preserve">For example, </w:t>
      </w:r>
      <w:r w:rsidR="00A639E5">
        <w:rPr>
          <w:rFonts w:ascii="Arial" w:hAnsi="Arial" w:cs="Arial"/>
          <w:color w:val="7B7B7B" w:themeColor="accent3" w:themeShade="BF"/>
          <w:sz w:val="22"/>
          <w:szCs w:val="22"/>
          <w:lang w:val="en-GB"/>
        </w:rPr>
        <w:t xml:space="preserve">a company may engage an insolvency practitioner prior to any insolvency </w:t>
      </w:r>
      <w:r w:rsidR="007D397C">
        <w:rPr>
          <w:rFonts w:ascii="Arial" w:hAnsi="Arial" w:cs="Arial"/>
          <w:color w:val="7B7B7B" w:themeColor="accent3" w:themeShade="BF"/>
          <w:sz w:val="22"/>
          <w:szCs w:val="22"/>
          <w:lang w:val="en-GB"/>
        </w:rPr>
        <w:t xml:space="preserve">to provide consultancy advice. </w:t>
      </w:r>
      <w:r w:rsidR="00EE15DA">
        <w:rPr>
          <w:rFonts w:ascii="Arial" w:hAnsi="Arial" w:cs="Arial"/>
          <w:color w:val="7B7B7B" w:themeColor="accent3" w:themeShade="BF"/>
          <w:sz w:val="22"/>
          <w:szCs w:val="22"/>
          <w:lang w:val="en-GB"/>
        </w:rPr>
        <w:t xml:space="preserve">These prior appointments may create the impression of lack of independence and impartiality. </w:t>
      </w:r>
      <w:r w:rsidR="00207349">
        <w:rPr>
          <w:rFonts w:ascii="Arial" w:hAnsi="Arial" w:cs="Arial"/>
          <w:color w:val="7B7B7B" w:themeColor="accent3" w:themeShade="BF"/>
          <w:sz w:val="22"/>
          <w:szCs w:val="22"/>
          <w:lang w:val="en-GB"/>
        </w:rPr>
        <w:t xml:space="preserve">There should therefore be limits to </w:t>
      </w:r>
      <w:r w:rsidR="00993311">
        <w:rPr>
          <w:rFonts w:ascii="Arial" w:hAnsi="Arial" w:cs="Arial"/>
          <w:color w:val="7B7B7B" w:themeColor="accent3" w:themeShade="BF"/>
          <w:sz w:val="22"/>
          <w:szCs w:val="22"/>
          <w:lang w:val="en-GB"/>
        </w:rPr>
        <w:t>what is deemed acceptable engagement during such consultations</w:t>
      </w:r>
      <w:r w:rsidR="006F3C06">
        <w:rPr>
          <w:rFonts w:ascii="Arial" w:hAnsi="Arial" w:cs="Arial"/>
          <w:color w:val="7B7B7B" w:themeColor="accent3" w:themeShade="BF"/>
          <w:sz w:val="22"/>
          <w:szCs w:val="22"/>
          <w:lang w:val="en-GB"/>
        </w:rPr>
        <w:t>.</w:t>
      </w:r>
      <w:r w:rsidR="007113AA">
        <w:rPr>
          <w:rFonts w:ascii="Arial" w:hAnsi="Arial" w:cs="Arial"/>
          <w:color w:val="7B7B7B" w:themeColor="accent3" w:themeShade="BF"/>
          <w:sz w:val="22"/>
          <w:szCs w:val="22"/>
          <w:lang w:val="en-GB"/>
        </w:rPr>
        <w:t xml:space="preserve"> The advice provided in the prior consultation should be </w:t>
      </w:r>
      <w:r w:rsidR="000F5F97">
        <w:rPr>
          <w:rFonts w:ascii="Arial" w:hAnsi="Arial" w:cs="Arial"/>
          <w:color w:val="7B7B7B" w:themeColor="accent3" w:themeShade="BF"/>
          <w:sz w:val="22"/>
          <w:szCs w:val="22"/>
          <w:lang w:val="en-GB"/>
        </w:rPr>
        <w:t>limited to the company’s financial position, the company’s solvency</w:t>
      </w:r>
      <w:r w:rsidR="005704FC">
        <w:rPr>
          <w:rFonts w:ascii="Arial" w:hAnsi="Arial" w:cs="Arial"/>
          <w:color w:val="7B7B7B" w:themeColor="accent3" w:themeShade="BF"/>
          <w:sz w:val="22"/>
          <w:szCs w:val="22"/>
          <w:lang w:val="en-GB"/>
        </w:rPr>
        <w:t>, the effects of the potential insolvency and any alternatives to insolvency.</w:t>
      </w:r>
      <w:r w:rsidR="00C26529">
        <w:rPr>
          <w:rFonts w:ascii="Arial" w:hAnsi="Arial" w:cs="Arial"/>
          <w:color w:val="7B7B7B" w:themeColor="accent3" w:themeShade="BF"/>
          <w:sz w:val="22"/>
          <w:szCs w:val="22"/>
          <w:lang w:val="en-GB"/>
        </w:rPr>
        <w:t xml:space="preserve"> If a practitioner has a prior involvement with a company and is subsequently appointed under insolvency, to assist with transparency, he should </w:t>
      </w:r>
      <w:r w:rsidR="008829B5">
        <w:rPr>
          <w:rFonts w:ascii="Arial" w:hAnsi="Arial" w:cs="Arial"/>
          <w:color w:val="7B7B7B" w:themeColor="accent3" w:themeShade="BF"/>
          <w:sz w:val="22"/>
          <w:szCs w:val="22"/>
          <w:lang w:val="en-GB"/>
        </w:rPr>
        <w:t>disclose the nature and extent of prior consultations in a disclosure statement.</w:t>
      </w:r>
    </w:p>
    <w:p w14:paraId="4024A332" w14:textId="60833A83" w:rsidR="00544127" w:rsidRPr="002A37BB" w:rsidRDefault="006F3C06" w:rsidP="002A37BB">
      <w:pPr>
        <w:jc w:val="both"/>
        <w:rPr>
          <w:rFonts w:ascii="Arial" w:hAnsi="Arial" w:cs="Arial"/>
          <w:sz w:val="22"/>
          <w:szCs w:val="22"/>
        </w:rPr>
      </w:pPr>
      <w:r>
        <w:rPr>
          <w:rFonts w:ascii="Arial" w:hAnsi="Arial" w:cs="Arial"/>
          <w:color w:val="7B7B7B" w:themeColor="accent3" w:themeShade="BF"/>
          <w:sz w:val="22"/>
          <w:szCs w:val="22"/>
          <w:lang w:val="en-GB"/>
        </w:rPr>
        <w:t>The self</w:t>
      </w:r>
      <w:r w:rsidR="003B48A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in</w:t>
      </w:r>
      <w:r w:rsidR="003B48AD">
        <w:rPr>
          <w:rFonts w:ascii="Arial" w:hAnsi="Arial" w:cs="Arial"/>
          <w:color w:val="7B7B7B" w:themeColor="accent3" w:themeShade="BF"/>
          <w:sz w:val="22"/>
          <w:szCs w:val="22"/>
          <w:lang w:val="en-GB"/>
        </w:rPr>
        <w:t xml:space="preserve">terest threat relates to the issue of remuneration of the practitioner. The </w:t>
      </w:r>
      <w:r w:rsidR="00C8042A">
        <w:rPr>
          <w:rFonts w:ascii="Arial" w:hAnsi="Arial" w:cs="Arial"/>
          <w:color w:val="7B7B7B" w:themeColor="accent3" w:themeShade="BF"/>
          <w:sz w:val="22"/>
          <w:szCs w:val="22"/>
          <w:lang w:val="en-GB"/>
        </w:rPr>
        <w:t xml:space="preserve">subsequent appointment of a practitioner means he will be remunerated twice for </w:t>
      </w:r>
      <w:r w:rsidR="002A7B9F">
        <w:rPr>
          <w:rFonts w:ascii="Arial" w:hAnsi="Arial" w:cs="Arial"/>
          <w:color w:val="7B7B7B" w:themeColor="accent3" w:themeShade="BF"/>
          <w:sz w:val="22"/>
          <w:szCs w:val="22"/>
          <w:lang w:val="en-GB"/>
        </w:rPr>
        <w:t>work done in relation to the same company</w:t>
      </w:r>
      <w:r w:rsidR="009D0341">
        <w:rPr>
          <w:rFonts w:ascii="Arial" w:hAnsi="Arial" w:cs="Arial"/>
          <w:color w:val="7B7B7B" w:themeColor="accent3" w:themeShade="BF"/>
          <w:sz w:val="22"/>
          <w:szCs w:val="22"/>
          <w:lang w:val="en-GB"/>
        </w:rPr>
        <w:t xml:space="preserve"> </w:t>
      </w:r>
      <w:r w:rsidR="002C2C02">
        <w:rPr>
          <w:rFonts w:ascii="Arial" w:hAnsi="Arial" w:cs="Arial"/>
          <w:color w:val="7B7B7B" w:themeColor="accent3" w:themeShade="BF"/>
          <w:sz w:val="22"/>
          <w:szCs w:val="22"/>
          <w:lang w:val="en-GB"/>
        </w:rPr>
        <w:t>at the</w:t>
      </w:r>
      <w:r w:rsidR="007178F5">
        <w:rPr>
          <w:rFonts w:ascii="Arial" w:hAnsi="Arial" w:cs="Arial"/>
          <w:color w:val="7B7B7B" w:themeColor="accent3" w:themeShade="BF"/>
          <w:sz w:val="22"/>
          <w:szCs w:val="22"/>
          <w:lang w:val="en-GB"/>
        </w:rPr>
        <w:t xml:space="preserve"> pre-commencement appointment stage</w:t>
      </w:r>
      <w:r w:rsidR="00F97564">
        <w:rPr>
          <w:rFonts w:ascii="Arial" w:hAnsi="Arial" w:cs="Arial"/>
          <w:color w:val="7B7B7B" w:themeColor="accent3" w:themeShade="BF"/>
          <w:sz w:val="22"/>
          <w:szCs w:val="22"/>
          <w:lang w:val="en-GB"/>
        </w:rPr>
        <w:t xml:space="preserve"> and then as an insolvency practitioner</w:t>
      </w:r>
      <w:r w:rsidR="009D0341">
        <w:rPr>
          <w:rFonts w:ascii="Arial" w:hAnsi="Arial" w:cs="Arial"/>
          <w:color w:val="7B7B7B" w:themeColor="accent3" w:themeShade="BF"/>
          <w:sz w:val="22"/>
          <w:szCs w:val="22"/>
          <w:lang w:val="en-GB"/>
        </w:rPr>
        <w:t xml:space="preserve">. </w:t>
      </w:r>
      <w:r w:rsidR="00A632C1">
        <w:rPr>
          <w:rFonts w:ascii="Arial" w:hAnsi="Arial" w:cs="Arial"/>
          <w:color w:val="7B7B7B" w:themeColor="accent3" w:themeShade="BF"/>
          <w:sz w:val="22"/>
          <w:szCs w:val="22"/>
          <w:lang w:val="en-GB"/>
        </w:rPr>
        <w:t>For example where a practitioner is recruited pre</w:t>
      </w:r>
      <w:r w:rsidR="00B83011">
        <w:rPr>
          <w:rFonts w:ascii="Arial" w:hAnsi="Arial" w:cs="Arial"/>
          <w:color w:val="7B7B7B" w:themeColor="accent3" w:themeShade="BF"/>
          <w:sz w:val="22"/>
          <w:szCs w:val="22"/>
          <w:lang w:val="en-GB"/>
        </w:rPr>
        <w:t xml:space="preserve"> </w:t>
      </w:r>
      <w:r w:rsidR="00A632C1">
        <w:rPr>
          <w:rFonts w:ascii="Arial" w:hAnsi="Arial" w:cs="Arial"/>
          <w:color w:val="7B7B7B" w:themeColor="accent3" w:themeShade="BF"/>
          <w:sz w:val="22"/>
          <w:szCs w:val="22"/>
          <w:lang w:val="en-GB"/>
        </w:rPr>
        <w:t xml:space="preserve">insolvency to work on a restructuring, he may not be incentivised to </w:t>
      </w:r>
      <w:r w:rsidR="00B83011">
        <w:rPr>
          <w:rFonts w:ascii="Arial" w:hAnsi="Arial" w:cs="Arial"/>
          <w:color w:val="7B7B7B" w:themeColor="accent3" w:themeShade="BF"/>
          <w:sz w:val="22"/>
          <w:szCs w:val="22"/>
          <w:lang w:val="en-GB"/>
        </w:rPr>
        <w:t xml:space="preserve">work towards successful turnaround </w:t>
      </w:r>
      <w:r w:rsidR="00195787">
        <w:rPr>
          <w:rFonts w:ascii="Arial" w:hAnsi="Arial" w:cs="Arial"/>
          <w:color w:val="7B7B7B" w:themeColor="accent3" w:themeShade="BF"/>
          <w:sz w:val="22"/>
          <w:szCs w:val="22"/>
          <w:lang w:val="en-GB"/>
        </w:rPr>
        <w:t xml:space="preserve"> </w:t>
      </w:r>
      <w:r w:rsidR="00B83011">
        <w:rPr>
          <w:rFonts w:ascii="Arial" w:hAnsi="Arial" w:cs="Arial"/>
          <w:color w:val="7B7B7B" w:themeColor="accent3" w:themeShade="BF"/>
          <w:sz w:val="22"/>
          <w:szCs w:val="22"/>
          <w:lang w:val="en-GB"/>
        </w:rPr>
        <w:t>since an insolvency would result in his appointment and therefore remuneration for his consultancy role and for his liquidation role.</w:t>
      </w:r>
      <w:r w:rsidR="00C43CCB">
        <w:rPr>
          <w:rFonts w:ascii="Arial" w:hAnsi="Arial" w:cs="Arial"/>
          <w:color w:val="7B7B7B" w:themeColor="accent3" w:themeShade="BF"/>
          <w:sz w:val="22"/>
          <w:szCs w:val="22"/>
          <w:lang w:val="en-GB"/>
        </w:rPr>
        <w:t xml:space="preserve"> Substantial involvement with a company </w:t>
      </w:r>
      <w:r w:rsidR="002B23EA">
        <w:rPr>
          <w:rFonts w:ascii="Arial" w:hAnsi="Arial" w:cs="Arial"/>
          <w:color w:val="7B7B7B" w:themeColor="accent3" w:themeShade="BF"/>
          <w:sz w:val="22"/>
          <w:szCs w:val="22"/>
          <w:lang w:val="en-GB"/>
        </w:rPr>
        <w:t xml:space="preserve">prior to its insolvency </w:t>
      </w:r>
      <w:r w:rsidR="00C43CCB">
        <w:rPr>
          <w:rFonts w:ascii="Arial" w:hAnsi="Arial" w:cs="Arial"/>
          <w:color w:val="7B7B7B" w:themeColor="accent3" w:themeShade="BF"/>
          <w:sz w:val="22"/>
          <w:szCs w:val="22"/>
          <w:lang w:val="en-GB"/>
        </w:rPr>
        <w:t>c</w:t>
      </w:r>
      <w:r w:rsidR="00CE25B9">
        <w:rPr>
          <w:rFonts w:ascii="Arial" w:hAnsi="Arial" w:cs="Arial"/>
          <w:color w:val="7B7B7B" w:themeColor="accent3" w:themeShade="BF"/>
          <w:sz w:val="22"/>
          <w:szCs w:val="22"/>
          <w:lang w:val="en-GB"/>
        </w:rPr>
        <w:t>an detract from a person’s ability to act fairly and impartially during liquidation and create the advocacy and self review threats.</w:t>
      </w:r>
      <w:r w:rsidR="0036396D">
        <w:rPr>
          <w:rFonts w:ascii="Arial" w:hAnsi="Arial" w:cs="Arial"/>
          <w:color w:val="7B7B7B" w:themeColor="accent3" w:themeShade="BF"/>
          <w:sz w:val="22"/>
          <w:szCs w:val="22"/>
          <w:lang w:val="en-GB"/>
        </w:rPr>
        <w:t xml:space="preserve"> There are circumstances based on the facts where a full disclosure will be sufficient but there are circumstances where it will disclosure statements will not cure any threats to impartiality and independence. In </w:t>
      </w:r>
      <w:r w:rsidR="00FB779E">
        <w:rPr>
          <w:rFonts w:ascii="Arial" w:hAnsi="Arial" w:cs="Arial"/>
          <w:color w:val="7B7B7B" w:themeColor="accent3" w:themeShade="BF"/>
          <w:sz w:val="22"/>
          <w:szCs w:val="22"/>
          <w:lang w:val="en-GB"/>
        </w:rPr>
        <w:t xml:space="preserve">those </w:t>
      </w:r>
      <w:r w:rsidR="0036396D">
        <w:rPr>
          <w:rFonts w:ascii="Arial" w:hAnsi="Arial" w:cs="Arial"/>
          <w:color w:val="7B7B7B" w:themeColor="accent3" w:themeShade="BF"/>
          <w:sz w:val="22"/>
          <w:szCs w:val="22"/>
          <w:lang w:val="en-GB"/>
        </w:rPr>
        <w:t>circumstances</w:t>
      </w:r>
      <w:r w:rsidR="00FB779E">
        <w:rPr>
          <w:rFonts w:ascii="Arial" w:hAnsi="Arial" w:cs="Arial"/>
          <w:color w:val="7B7B7B" w:themeColor="accent3" w:themeShade="BF"/>
          <w:sz w:val="22"/>
          <w:szCs w:val="22"/>
          <w:lang w:val="en-GB"/>
        </w:rPr>
        <w:t>, the practitioner should decline appointment.</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04754276" w14:textId="2970631E" w:rsidR="005620B5" w:rsidRDefault="00E42AA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6B04C1">
        <w:rPr>
          <w:rFonts w:ascii="Arial" w:hAnsi="Arial" w:cs="Arial"/>
          <w:color w:val="7B7B7B" w:themeColor="accent3" w:themeShade="BF"/>
          <w:sz w:val="22"/>
          <w:szCs w:val="22"/>
          <w:lang w:val="en-GB"/>
        </w:rPr>
        <w:t xml:space="preserve"> insolvency practitioner</w:t>
      </w:r>
      <w:r w:rsidR="00DD2598">
        <w:rPr>
          <w:rFonts w:ascii="Arial" w:hAnsi="Arial" w:cs="Arial"/>
          <w:color w:val="7B7B7B" w:themeColor="accent3" w:themeShade="BF"/>
          <w:sz w:val="22"/>
          <w:szCs w:val="22"/>
          <w:lang w:val="en-GB"/>
        </w:rPr>
        <w:t xml:space="preserve"> has an ethical obligation to ensure that before incurring the </w:t>
      </w:r>
      <w:r>
        <w:rPr>
          <w:rFonts w:ascii="Arial" w:hAnsi="Arial" w:cs="Arial"/>
          <w:color w:val="7B7B7B" w:themeColor="accent3" w:themeShade="BF"/>
          <w:sz w:val="22"/>
          <w:szCs w:val="22"/>
          <w:lang w:val="en-GB"/>
        </w:rPr>
        <w:t>fees of legal professionals</w:t>
      </w:r>
      <w:r w:rsidR="00DD2598">
        <w:rPr>
          <w:rFonts w:ascii="Arial" w:hAnsi="Arial" w:cs="Arial"/>
          <w:color w:val="7B7B7B" w:themeColor="accent3" w:themeShade="BF"/>
          <w:sz w:val="22"/>
          <w:szCs w:val="22"/>
          <w:lang w:val="en-GB"/>
        </w:rPr>
        <w:t xml:space="preserve">, </w:t>
      </w:r>
      <w:r w:rsidR="00B55D96">
        <w:rPr>
          <w:rFonts w:ascii="Arial" w:hAnsi="Arial" w:cs="Arial"/>
          <w:color w:val="7B7B7B" w:themeColor="accent3" w:themeShade="BF"/>
          <w:sz w:val="22"/>
          <w:szCs w:val="22"/>
          <w:lang w:val="en-GB"/>
        </w:rPr>
        <w:t xml:space="preserve">he applies any considerations outlined in his code of ethics. </w:t>
      </w:r>
      <w:r w:rsidR="00684D42">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w:t>
      </w:r>
      <w:r w:rsidR="00751516">
        <w:rPr>
          <w:rFonts w:ascii="Arial" w:hAnsi="Arial" w:cs="Arial"/>
          <w:color w:val="7B7B7B" w:themeColor="accent3" w:themeShade="BF"/>
          <w:sz w:val="22"/>
          <w:szCs w:val="22"/>
          <w:lang w:val="en-GB"/>
        </w:rPr>
        <w:t xml:space="preserve">new </w:t>
      </w:r>
      <w:r w:rsidR="009419E6">
        <w:rPr>
          <w:rFonts w:ascii="Arial" w:hAnsi="Arial" w:cs="Arial"/>
          <w:color w:val="7B7B7B" w:themeColor="accent3" w:themeShade="BF"/>
          <w:sz w:val="22"/>
          <w:szCs w:val="22"/>
          <w:lang w:val="en-GB"/>
        </w:rPr>
        <w:t>insolvency</w:t>
      </w:r>
      <w:r w:rsidR="00447FAF">
        <w:rPr>
          <w:rFonts w:ascii="Arial" w:hAnsi="Arial" w:cs="Arial"/>
          <w:color w:val="7B7B7B" w:themeColor="accent3" w:themeShade="BF"/>
          <w:sz w:val="22"/>
          <w:szCs w:val="22"/>
          <w:lang w:val="en-GB"/>
        </w:rPr>
        <w:t xml:space="preserve"> Code of Ethics by the Institute for Chartered Accounts of England and Wales  ha</w:t>
      </w:r>
      <w:r w:rsidR="00F65694">
        <w:rPr>
          <w:rFonts w:ascii="Arial" w:hAnsi="Arial" w:cs="Arial"/>
          <w:color w:val="7B7B7B" w:themeColor="accent3" w:themeShade="BF"/>
          <w:sz w:val="22"/>
          <w:szCs w:val="22"/>
          <w:lang w:val="en-GB"/>
        </w:rPr>
        <w:t>s</w:t>
      </w:r>
      <w:r w:rsidR="00447FAF">
        <w:rPr>
          <w:rFonts w:ascii="Arial" w:hAnsi="Arial" w:cs="Arial"/>
          <w:color w:val="7B7B7B" w:themeColor="accent3" w:themeShade="BF"/>
          <w:sz w:val="22"/>
          <w:szCs w:val="22"/>
          <w:lang w:val="en-GB"/>
        </w:rPr>
        <w:t xml:space="preserve"> </w:t>
      </w:r>
      <w:r w:rsidR="00447FAF">
        <w:rPr>
          <w:rFonts w:ascii="Arial" w:hAnsi="Arial" w:cs="Arial"/>
          <w:color w:val="7B7B7B" w:themeColor="accent3" w:themeShade="BF"/>
          <w:sz w:val="22"/>
          <w:szCs w:val="22"/>
          <w:lang w:val="en-GB"/>
        </w:rPr>
        <w:lastRenderedPageBreak/>
        <w:t>provided guidance</w:t>
      </w:r>
      <w:r w:rsidR="00D6238D">
        <w:rPr>
          <w:rFonts w:ascii="Arial" w:hAnsi="Arial" w:cs="Arial"/>
          <w:color w:val="7B7B7B" w:themeColor="accent3" w:themeShade="BF"/>
          <w:sz w:val="22"/>
          <w:szCs w:val="22"/>
          <w:lang w:val="en-GB"/>
        </w:rPr>
        <w:t xml:space="preserve"> </w:t>
      </w:r>
      <w:r w:rsidR="00F65694">
        <w:rPr>
          <w:rFonts w:ascii="Arial" w:hAnsi="Arial" w:cs="Arial"/>
          <w:color w:val="7B7B7B" w:themeColor="accent3" w:themeShade="BF"/>
          <w:sz w:val="22"/>
          <w:szCs w:val="22"/>
          <w:lang w:val="en-GB"/>
        </w:rPr>
        <w:t xml:space="preserve">where a </w:t>
      </w:r>
      <w:r w:rsidR="00D6238D">
        <w:rPr>
          <w:rFonts w:ascii="Arial" w:hAnsi="Arial" w:cs="Arial"/>
          <w:color w:val="7B7B7B" w:themeColor="accent3" w:themeShade="BF"/>
          <w:sz w:val="22"/>
          <w:szCs w:val="22"/>
          <w:lang w:val="en-GB"/>
        </w:rPr>
        <w:t xml:space="preserve">practitioner </w:t>
      </w:r>
      <w:r w:rsidR="003B409A">
        <w:rPr>
          <w:rFonts w:ascii="Arial" w:hAnsi="Arial" w:cs="Arial"/>
          <w:color w:val="7B7B7B" w:themeColor="accent3" w:themeShade="BF"/>
          <w:sz w:val="22"/>
          <w:szCs w:val="22"/>
          <w:lang w:val="en-GB"/>
        </w:rPr>
        <w:t>intends to recruit legal services.</w:t>
      </w:r>
      <w:r w:rsidR="00DE01ED">
        <w:rPr>
          <w:rFonts w:ascii="Arial" w:hAnsi="Arial" w:cs="Arial"/>
          <w:color w:val="7B7B7B" w:themeColor="accent3" w:themeShade="BF"/>
          <w:sz w:val="22"/>
          <w:szCs w:val="22"/>
          <w:lang w:val="en-GB"/>
        </w:rPr>
        <w:t xml:space="preserve"> He is firstly required to assess whether </w:t>
      </w:r>
      <w:r w:rsidR="00E32DD2">
        <w:rPr>
          <w:rFonts w:ascii="Arial" w:hAnsi="Arial" w:cs="Arial"/>
          <w:color w:val="7B7B7B" w:themeColor="accent3" w:themeShade="BF"/>
          <w:sz w:val="22"/>
          <w:szCs w:val="22"/>
          <w:lang w:val="en-GB"/>
        </w:rPr>
        <w:t>legal advice is warrante</w:t>
      </w:r>
      <w:r w:rsidR="00197828">
        <w:rPr>
          <w:rFonts w:ascii="Arial" w:hAnsi="Arial" w:cs="Arial"/>
          <w:color w:val="7B7B7B" w:themeColor="accent3" w:themeShade="BF"/>
          <w:sz w:val="22"/>
          <w:szCs w:val="22"/>
          <w:lang w:val="en-GB"/>
        </w:rPr>
        <w:t xml:space="preserve">d. The </w:t>
      </w:r>
      <w:r w:rsidR="000D3D2D">
        <w:rPr>
          <w:rFonts w:ascii="Arial" w:hAnsi="Arial" w:cs="Arial"/>
          <w:color w:val="7B7B7B" w:themeColor="accent3" w:themeShade="BF"/>
          <w:sz w:val="22"/>
          <w:szCs w:val="22"/>
          <w:lang w:val="en-GB"/>
        </w:rPr>
        <w:t>practitioner will then be required</w:t>
      </w:r>
      <w:r w:rsidR="00EA20A9">
        <w:rPr>
          <w:rFonts w:ascii="Arial" w:hAnsi="Arial" w:cs="Arial"/>
          <w:color w:val="7B7B7B" w:themeColor="accent3" w:themeShade="BF"/>
          <w:sz w:val="22"/>
          <w:szCs w:val="22"/>
          <w:lang w:val="en-GB"/>
        </w:rPr>
        <w:t xml:space="preserve"> to consider the cost of the service, the expertise and experience of the provider, whether the provider </w:t>
      </w:r>
      <w:r w:rsidR="00B510DD">
        <w:rPr>
          <w:rFonts w:ascii="Arial" w:hAnsi="Arial" w:cs="Arial"/>
          <w:color w:val="7B7B7B" w:themeColor="accent3" w:themeShade="BF"/>
          <w:sz w:val="22"/>
          <w:szCs w:val="22"/>
          <w:lang w:val="en-GB"/>
        </w:rPr>
        <w:t>h</w:t>
      </w:r>
      <w:r w:rsidR="006B3664">
        <w:rPr>
          <w:rFonts w:ascii="Arial" w:hAnsi="Arial" w:cs="Arial"/>
          <w:color w:val="7B7B7B" w:themeColor="accent3" w:themeShade="BF"/>
          <w:sz w:val="22"/>
          <w:szCs w:val="22"/>
          <w:lang w:val="en-GB"/>
        </w:rPr>
        <w:t>olds the appropriate regulatory authorisation and the professional and ethical standards applicable to the service provider</w:t>
      </w:r>
      <w:r w:rsidR="001358F8">
        <w:rPr>
          <w:rFonts w:ascii="Arial" w:hAnsi="Arial" w:cs="Arial"/>
          <w:color w:val="7B7B7B" w:themeColor="accent3" w:themeShade="BF"/>
          <w:sz w:val="22"/>
          <w:szCs w:val="22"/>
          <w:lang w:val="en-GB"/>
        </w:rPr>
        <w:t xml:space="preserve">. The practitioner should document the reasons for choosing a specific provider </w:t>
      </w:r>
      <w:r w:rsidR="004233A0">
        <w:rPr>
          <w:rFonts w:ascii="Arial" w:hAnsi="Arial" w:cs="Arial"/>
          <w:color w:val="7B7B7B" w:themeColor="accent3" w:themeShade="BF"/>
          <w:sz w:val="22"/>
          <w:szCs w:val="22"/>
          <w:lang w:val="en-GB"/>
        </w:rPr>
        <w:t xml:space="preserve">and </w:t>
      </w:r>
      <w:r w:rsidR="008A20B6">
        <w:rPr>
          <w:rFonts w:ascii="Arial" w:hAnsi="Arial" w:cs="Arial"/>
          <w:color w:val="7B7B7B" w:themeColor="accent3" w:themeShade="BF"/>
          <w:sz w:val="22"/>
          <w:szCs w:val="22"/>
          <w:lang w:val="en-GB"/>
        </w:rPr>
        <w:t>be able to justify why a specific provider is chose. H</w:t>
      </w:r>
      <w:r w:rsidR="004233A0">
        <w:rPr>
          <w:rFonts w:ascii="Arial" w:hAnsi="Arial" w:cs="Arial"/>
          <w:color w:val="7B7B7B" w:themeColor="accent3" w:themeShade="BF"/>
          <w:sz w:val="22"/>
          <w:szCs w:val="22"/>
          <w:lang w:val="en-GB"/>
        </w:rPr>
        <w:t xml:space="preserve">e should ensure that he follows an objective process that </w:t>
      </w:r>
      <w:r w:rsidR="00AC6081">
        <w:rPr>
          <w:rFonts w:ascii="Arial" w:hAnsi="Arial" w:cs="Arial"/>
          <w:color w:val="7B7B7B" w:themeColor="accent3" w:themeShade="BF"/>
          <w:sz w:val="22"/>
          <w:szCs w:val="22"/>
          <w:lang w:val="en-GB"/>
        </w:rPr>
        <w:t xml:space="preserve">results in choosing the best service provider who will offer the best value to </w:t>
      </w:r>
      <w:r w:rsidR="00405317">
        <w:rPr>
          <w:rFonts w:ascii="Arial" w:hAnsi="Arial" w:cs="Arial"/>
          <w:color w:val="7B7B7B" w:themeColor="accent3" w:themeShade="BF"/>
          <w:sz w:val="22"/>
          <w:szCs w:val="22"/>
          <w:lang w:val="en-GB"/>
        </w:rPr>
        <w:t>beneficiaries. Where there is a relationship between the practitioner and the service provider, that relationship should be disclosed</w:t>
      </w:r>
      <w:r w:rsidR="00F35EBF">
        <w:rPr>
          <w:rFonts w:ascii="Arial" w:hAnsi="Arial" w:cs="Arial"/>
          <w:color w:val="7B7B7B" w:themeColor="accent3" w:themeShade="BF"/>
          <w:sz w:val="22"/>
          <w:szCs w:val="22"/>
          <w:lang w:val="en-GB"/>
        </w:rPr>
        <w:t>.</w:t>
      </w:r>
      <w:r w:rsidR="00405317">
        <w:rPr>
          <w:rFonts w:ascii="Arial" w:hAnsi="Arial" w:cs="Arial"/>
          <w:color w:val="7B7B7B" w:themeColor="accent3" w:themeShade="BF"/>
          <w:sz w:val="22"/>
          <w:szCs w:val="22"/>
          <w:lang w:val="en-GB"/>
        </w:rPr>
        <w:t xml:space="preserve"> </w:t>
      </w:r>
    </w:p>
    <w:p w14:paraId="0AC81636" w14:textId="4BCB1A90" w:rsidR="00132584" w:rsidRPr="002A37BB" w:rsidRDefault="00132584"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Inlaw, Dr I Dontcare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45A4928B"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One of the main reasons for the decline is the fact that several of the company’s employees have instituted a class action claim against WeBuild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Inlaw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Inlaw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13A48CEB"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0ACDD452" w:rsidR="004D2C62" w:rsidRDefault="004D2C62" w:rsidP="00087F21">
      <w:pPr>
        <w:jc w:val="both"/>
        <w:rPr>
          <w:rFonts w:ascii="Arial" w:hAnsi="Arial" w:cs="Arial"/>
          <w:sz w:val="22"/>
          <w:szCs w:val="22"/>
          <w:lang w:val="en-GB"/>
        </w:rPr>
      </w:pPr>
      <w:r>
        <w:rPr>
          <w:rFonts w:ascii="Arial" w:hAnsi="Arial"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w:t>
      </w:r>
      <w:r w:rsidR="00DC7F76">
        <w:rPr>
          <w:rFonts w:ascii="Arial" w:hAnsi="Arial" w:cs="Arial"/>
          <w:sz w:val="22"/>
          <w:szCs w:val="22"/>
          <w:lang w:val="en-GB"/>
        </w:rPr>
        <w:lastRenderedPageBreak/>
        <w:t xml:space="preserve">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093C783A" w14:textId="0F90A73E" w:rsidR="00087F21" w:rsidRDefault="00087F21" w:rsidP="00087F21">
      <w:pPr>
        <w:jc w:val="both"/>
        <w:rPr>
          <w:rFonts w:ascii="Arial" w:hAnsi="Arial" w:cs="Arial"/>
          <w:sz w:val="22"/>
          <w:szCs w:val="22"/>
          <w:lang w:val="en-GB"/>
        </w:rPr>
      </w:pPr>
      <w:bookmarkStart w:id="0" w:name="_Hlk17745211"/>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p>
    <w:p w14:paraId="626FA5C6" w14:textId="2B0914A3" w:rsidR="002D3473" w:rsidRDefault="00FD7274"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least three ethical issues arising </w:t>
      </w:r>
      <w:r w:rsidR="008837CF">
        <w:rPr>
          <w:rFonts w:ascii="Arial" w:hAnsi="Arial" w:cs="Arial"/>
          <w:color w:val="7B7B7B" w:themeColor="accent3" w:themeShade="BF"/>
          <w:sz w:val="22"/>
          <w:szCs w:val="22"/>
          <w:lang w:val="en-GB"/>
        </w:rPr>
        <w:t xml:space="preserve">from the factual scenario are the lack of objectivity, independence and impartiality for Mr Relation to </w:t>
      </w:r>
      <w:r w:rsidR="009168BA">
        <w:rPr>
          <w:rFonts w:ascii="Arial" w:hAnsi="Arial" w:cs="Arial"/>
          <w:color w:val="7B7B7B" w:themeColor="accent3" w:themeShade="BF"/>
          <w:sz w:val="22"/>
          <w:szCs w:val="22"/>
          <w:lang w:val="en-GB"/>
        </w:rPr>
        <w:t>be involved in the affairs of the company prior to administration</w:t>
      </w:r>
      <w:r w:rsidR="00765BF1">
        <w:rPr>
          <w:rFonts w:ascii="Arial" w:hAnsi="Arial" w:cs="Arial"/>
          <w:color w:val="7B7B7B" w:themeColor="accent3" w:themeShade="BF"/>
          <w:sz w:val="22"/>
          <w:szCs w:val="22"/>
          <w:lang w:val="en-GB"/>
        </w:rPr>
        <w:t>, his personal relationship with a director and shareholder</w:t>
      </w:r>
      <w:r w:rsidR="009168BA">
        <w:rPr>
          <w:rFonts w:ascii="Arial" w:hAnsi="Arial" w:cs="Arial"/>
          <w:color w:val="7B7B7B" w:themeColor="accent3" w:themeShade="BF"/>
          <w:sz w:val="22"/>
          <w:szCs w:val="22"/>
          <w:lang w:val="en-GB"/>
        </w:rPr>
        <w:t xml:space="preserve"> </w:t>
      </w:r>
      <w:r w:rsidR="00747024">
        <w:rPr>
          <w:rFonts w:ascii="Arial" w:hAnsi="Arial" w:cs="Arial"/>
          <w:color w:val="7B7B7B" w:themeColor="accent3" w:themeShade="BF"/>
          <w:sz w:val="22"/>
          <w:szCs w:val="22"/>
          <w:lang w:val="en-GB"/>
        </w:rPr>
        <w:t xml:space="preserve">of the company </w:t>
      </w:r>
      <w:r w:rsidR="00621505">
        <w:rPr>
          <w:rFonts w:ascii="Arial" w:hAnsi="Arial" w:cs="Arial"/>
          <w:color w:val="7B7B7B" w:themeColor="accent3" w:themeShade="BF"/>
          <w:sz w:val="22"/>
          <w:szCs w:val="22"/>
          <w:lang w:val="en-GB"/>
        </w:rPr>
        <w:t xml:space="preserve">which gives rise to the familiarity threat </w:t>
      </w:r>
      <w:r w:rsidR="00456AA0">
        <w:rPr>
          <w:rFonts w:ascii="Arial" w:hAnsi="Arial" w:cs="Arial"/>
          <w:color w:val="7B7B7B" w:themeColor="accent3" w:themeShade="BF"/>
          <w:sz w:val="22"/>
          <w:szCs w:val="22"/>
          <w:lang w:val="en-GB"/>
        </w:rPr>
        <w:t xml:space="preserve">created by the longstanding relationship with Mr Inlaw </w:t>
      </w:r>
      <w:r w:rsidR="00747024">
        <w:rPr>
          <w:rFonts w:ascii="Arial" w:hAnsi="Arial" w:cs="Arial"/>
          <w:color w:val="7B7B7B" w:themeColor="accent3" w:themeShade="BF"/>
          <w:sz w:val="22"/>
          <w:szCs w:val="22"/>
          <w:lang w:val="en-GB"/>
        </w:rPr>
        <w:t xml:space="preserve">and his awareness that the directors are concerned about </w:t>
      </w:r>
      <w:r w:rsidR="003A438F">
        <w:rPr>
          <w:rFonts w:ascii="Arial" w:hAnsi="Arial" w:cs="Arial"/>
          <w:color w:val="7B7B7B" w:themeColor="accent3" w:themeShade="BF"/>
          <w:sz w:val="22"/>
          <w:szCs w:val="22"/>
          <w:lang w:val="en-GB"/>
        </w:rPr>
        <w:t xml:space="preserve">their </w:t>
      </w:r>
      <w:r w:rsidR="005E5234">
        <w:rPr>
          <w:rFonts w:ascii="Arial" w:hAnsi="Arial" w:cs="Arial"/>
          <w:color w:val="7B7B7B" w:themeColor="accent3" w:themeShade="BF"/>
          <w:sz w:val="22"/>
          <w:szCs w:val="22"/>
          <w:lang w:val="en-GB"/>
        </w:rPr>
        <w:t>personal liability for trading while the company was known to be in financial trouble.</w:t>
      </w:r>
    </w:p>
    <w:p w14:paraId="6D809E56" w14:textId="3E35FBDD" w:rsidR="005E5234" w:rsidRDefault="005E5234"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Mr Relation </w:t>
      </w:r>
      <w:r w:rsidR="009C37AB">
        <w:rPr>
          <w:rFonts w:ascii="Arial" w:hAnsi="Arial" w:cs="Arial"/>
          <w:color w:val="7B7B7B" w:themeColor="accent3" w:themeShade="BF"/>
          <w:sz w:val="22"/>
          <w:szCs w:val="22"/>
          <w:lang w:val="en-GB"/>
        </w:rPr>
        <w:t>assuring directors</w:t>
      </w:r>
      <w:r w:rsidR="00BD1D65">
        <w:rPr>
          <w:rFonts w:ascii="Arial" w:hAnsi="Arial" w:cs="Arial"/>
          <w:color w:val="7B7B7B" w:themeColor="accent3" w:themeShade="BF"/>
          <w:sz w:val="22"/>
          <w:szCs w:val="22"/>
          <w:lang w:val="en-GB"/>
        </w:rPr>
        <w:t xml:space="preserve"> that</w:t>
      </w:r>
      <w:r w:rsidR="009C37AB">
        <w:rPr>
          <w:rFonts w:ascii="Arial" w:hAnsi="Arial" w:cs="Arial"/>
          <w:color w:val="7B7B7B" w:themeColor="accent3" w:themeShade="BF"/>
          <w:sz w:val="22"/>
          <w:szCs w:val="22"/>
          <w:lang w:val="en-GB"/>
        </w:rPr>
        <w:t xml:space="preserve"> he will not investigate their conduct but focus on restructuring the company, this challenges his fiduciary duty to act </w:t>
      </w:r>
      <w:r w:rsidR="00B858E4">
        <w:rPr>
          <w:rFonts w:ascii="Arial" w:hAnsi="Arial" w:cs="Arial"/>
          <w:color w:val="7B7B7B" w:themeColor="accent3" w:themeShade="BF"/>
          <w:sz w:val="22"/>
          <w:szCs w:val="22"/>
          <w:lang w:val="en-GB"/>
        </w:rPr>
        <w:t xml:space="preserve">in good faith and in the best interest of </w:t>
      </w:r>
      <w:r w:rsidR="004C2D61">
        <w:rPr>
          <w:rFonts w:ascii="Arial" w:hAnsi="Arial" w:cs="Arial"/>
          <w:color w:val="7B7B7B" w:themeColor="accent3" w:themeShade="BF"/>
          <w:sz w:val="22"/>
          <w:szCs w:val="22"/>
          <w:lang w:val="en-GB"/>
        </w:rPr>
        <w:t xml:space="preserve">the beneficiary of the fiduciary duty. </w:t>
      </w:r>
      <w:r w:rsidR="00110A08">
        <w:rPr>
          <w:rFonts w:ascii="Arial" w:hAnsi="Arial" w:cs="Arial"/>
          <w:color w:val="7B7B7B" w:themeColor="accent3" w:themeShade="BF"/>
          <w:sz w:val="22"/>
          <w:szCs w:val="22"/>
          <w:lang w:val="en-GB"/>
        </w:rPr>
        <w:t>The issue of whether he will act with integrity is now open to challenge</w:t>
      </w:r>
      <w:r w:rsidR="00BD1D65">
        <w:rPr>
          <w:rFonts w:ascii="Arial" w:hAnsi="Arial" w:cs="Arial"/>
          <w:color w:val="7B7B7B" w:themeColor="accent3" w:themeShade="BF"/>
          <w:sz w:val="22"/>
          <w:szCs w:val="22"/>
          <w:lang w:val="en-GB"/>
        </w:rPr>
        <w:t>.</w:t>
      </w:r>
    </w:p>
    <w:p w14:paraId="380C23C1" w14:textId="0BF364E8" w:rsidR="00AC4C7E" w:rsidRDefault="00AC4C7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the advocacy threat arising from </w:t>
      </w:r>
      <w:r w:rsidR="0027424E">
        <w:rPr>
          <w:rFonts w:ascii="Arial" w:hAnsi="Arial" w:cs="Arial"/>
          <w:color w:val="7B7B7B" w:themeColor="accent3" w:themeShade="BF"/>
          <w:sz w:val="22"/>
          <w:szCs w:val="22"/>
          <w:lang w:val="en-GB"/>
        </w:rPr>
        <w:t xml:space="preserve">Mr Relations expressed views about creditors </w:t>
      </w:r>
    </w:p>
    <w:p w14:paraId="4B7A31B7" w14:textId="44404849" w:rsidR="00317099" w:rsidRDefault="00317099"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the threat of self-review</w:t>
      </w:r>
      <w:r w:rsidR="00337A76">
        <w:rPr>
          <w:rFonts w:ascii="Arial" w:hAnsi="Arial" w:cs="Arial"/>
          <w:color w:val="7B7B7B" w:themeColor="accent3" w:themeShade="BF"/>
          <w:sz w:val="22"/>
          <w:szCs w:val="22"/>
          <w:lang w:val="en-GB"/>
        </w:rPr>
        <w:t xml:space="preserve"> if Mr Relation were to </w:t>
      </w:r>
      <w:r w:rsidR="00D01E7E">
        <w:rPr>
          <w:rFonts w:ascii="Arial" w:hAnsi="Arial" w:cs="Arial"/>
          <w:color w:val="7B7B7B" w:themeColor="accent3" w:themeShade="BF"/>
          <w:sz w:val="22"/>
          <w:szCs w:val="22"/>
          <w:lang w:val="en-GB"/>
        </w:rPr>
        <w:t xml:space="preserve">now act as liquidator when he </w:t>
      </w:r>
      <w:r w:rsidR="00337A76">
        <w:rPr>
          <w:rFonts w:ascii="Arial" w:hAnsi="Arial" w:cs="Arial"/>
          <w:color w:val="7B7B7B" w:themeColor="accent3" w:themeShade="BF"/>
          <w:sz w:val="22"/>
          <w:szCs w:val="22"/>
          <w:lang w:val="en-GB"/>
        </w:rPr>
        <w:t xml:space="preserve">previously </w:t>
      </w:r>
      <w:r w:rsidR="00D01E7E">
        <w:rPr>
          <w:rFonts w:ascii="Arial" w:hAnsi="Arial" w:cs="Arial"/>
          <w:color w:val="7B7B7B" w:themeColor="accent3" w:themeShade="BF"/>
          <w:sz w:val="22"/>
          <w:szCs w:val="22"/>
          <w:lang w:val="en-GB"/>
        </w:rPr>
        <w:t xml:space="preserve">acted </w:t>
      </w:r>
      <w:r w:rsidR="00337A76">
        <w:rPr>
          <w:rFonts w:ascii="Arial" w:hAnsi="Arial" w:cs="Arial"/>
          <w:color w:val="7B7B7B" w:themeColor="accent3" w:themeShade="BF"/>
          <w:sz w:val="22"/>
          <w:szCs w:val="22"/>
          <w:lang w:val="en-GB"/>
        </w:rPr>
        <w:t>as administrator</w:t>
      </w:r>
      <w:r w:rsidR="00D01E7E">
        <w:rPr>
          <w:rFonts w:ascii="Arial" w:hAnsi="Arial" w:cs="Arial"/>
          <w:color w:val="7B7B7B" w:themeColor="accent3" w:themeShade="BF"/>
          <w:sz w:val="22"/>
          <w:szCs w:val="22"/>
          <w:lang w:val="en-GB"/>
        </w:rPr>
        <w:t xml:space="preserve"> where </w:t>
      </w:r>
      <w:r w:rsidR="00337A76">
        <w:rPr>
          <w:rFonts w:ascii="Arial" w:hAnsi="Arial" w:cs="Arial"/>
          <w:color w:val="7B7B7B" w:themeColor="accent3" w:themeShade="BF"/>
          <w:sz w:val="22"/>
          <w:szCs w:val="22"/>
          <w:lang w:val="en-GB"/>
        </w:rPr>
        <w:t xml:space="preserve">the administration failed </w:t>
      </w:r>
      <w:r w:rsidR="00D01E7E">
        <w:rPr>
          <w:rFonts w:ascii="Arial" w:hAnsi="Arial" w:cs="Arial"/>
          <w:color w:val="7B7B7B" w:themeColor="accent3" w:themeShade="BF"/>
          <w:sz w:val="22"/>
          <w:szCs w:val="22"/>
          <w:lang w:val="en-GB"/>
        </w:rPr>
        <w:t xml:space="preserve">due </w:t>
      </w:r>
      <w:r w:rsidR="00337A76">
        <w:rPr>
          <w:rFonts w:ascii="Arial" w:hAnsi="Arial" w:cs="Arial"/>
          <w:color w:val="7B7B7B" w:themeColor="accent3" w:themeShade="BF"/>
          <w:sz w:val="22"/>
          <w:szCs w:val="22"/>
          <w:lang w:val="en-GB"/>
        </w:rPr>
        <w:t>to “lack of funding”</w:t>
      </w:r>
      <w:r w:rsidR="00D01E7E">
        <w:rPr>
          <w:rFonts w:ascii="Arial" w:hAnsi="Arial" w:cs="Arial"/>
          <w:color w:val="7B7B7B" w:themeColor="accent3" w:themeShade="BF"/>
          <w:sz w:val="22"/>
          <w:szCs w:val="22"/>
          <w:lang w:val="en-GB"/>
        </w:rPr>
        <w:t>.</w:t>
      </w:r>
    </w:p>
    <w:p w14:paraId="1DD26A43" w14:textId="77777777" w:rsidR="006F4B5E" w:rsidRDefault="00A75854"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w:t>
      </w:r>
      <w:r w:rsidR="00DC08F7">
        <w:rPr>
          <w:rFonts w:ascii="Arial" w:hAnsi="Arial" w:cs="Arial"/>
          <w:color w:val="7B7B7B" w:themeColor="accent3" w:themeShade="BF"/>
          <w:sz w:val="22"/>
          <w:szCs w:val="22"/>
          <w:lang w:val="en-GB"/>
        </w:rPr>
        <w:t xml:space="preserve"> to </w:t>
      </w:r>
      <w:r w:rsidR="00BC2BDA">
        <w:rPr>
          <w:rFonts w:ascii="Arial" w:hAnsi="Arial" w:cs="Arial"/>
          <w:color w:val="7B7B7B" w:themeColor="accent3" w:themeShade="BF"/>
          <w:sz w:val="22"/>
          <w:szCs w:val="22"/>
          <w:lang w:val="en-GB"/>
        </w:rPr>
        <w:t>the duty to act with integrity</w:t>
      </w:r>
      <w:r w:rsidR="00781E4A">
        <w:rPr>
          <w:rFonts w:ascii="Arial" w:hAnsi="Arial" w:cs="Arial"/>
          <w:color w:val="7B7B7B" w:themeColor="accent3" w:themeShade="BF"/>
          <w:sz w:val="22"/>
          <w:szCs w:val="22"/>
          <w:lang w:val="en-GB"/>
        </w:rPr>
        <w:t xml:space="preserve"> overall, it means that Mr Relation appreciates that he must</w:t>
      </w:r>
      <w:r w:rsidR="005800A4">
        <w:rPr>
          <w:rFonts w:ascii="Arial" w:hAnsi="Arial" w:cs="Arial"/>
          <w:color w:val="7B7B7B" w:themeColor="accent3" w:themeShade="BF"/>
          <w:sz w:val="22"/>
          <w:szCs w:val="22"/>
          <w:lang w:val="en-GB"/>
        </w:rPr>
        <w:t xml:space="preserve"> endeavo</w:t>
      </w:r>
      <w:r w:rsidR="00D6599D">
        <w:rPr>
          <w:rFonts w:ascii="Arial" w:hAnsi="Arial" w:cs="Arial"/>
          <w:color w:val="7B7B7B" w:themeColor="accent3" w:themeShade="BF"/>
          <w:sz w:val="22"/>
          <w:szCs w:val="22"/>
          <w:lang w:val="en-GB"/>
        </w:rPr>
        <w:t>u</w:t>
      </w:r>
      <w:r w:rsidR="005800A4">
        <w:rPr>
          <w:rFonts w:ascii="Arial" w:hAnsi="Arial" w:cs="Arial"/>
          <w:color w:val="7B7B7B" w:themeColor="accent3" w:themeShade="BF"/>
          <w:sz w:val="22"/>
          <w:szCs w:val="22"/>
          <w:lang w:val="en-GB"/>
        </w:rPr>
        <w:t>r to be truthful, honest</w:t>
      </w:r>
      <w:r w:rsidR="00F43023">
        <w:rPr>
          <w:rFonts w:ascii="Arial" w:hAnsi="Arial" w:cs="Arial"/>
          <w:color w:val="7B7B7B" w:themeColor="accent3" w:themeShade="BF"/>
          <w:sz w:val="22"/>
          <w:szCs w:val="22"/>
          <w:lang w:val="en-GB"/>
        </w:rPr>
        <w:t xml:space="preserve"> and deal fairly in carrying out his duties as administrator and </w:t>
      </w:r>
      <w:r w:rsidR="00AD77CF">
        <w:rPr>
          <w:rFonts w:ascii="Arial" w:hAnsi="Arial" w:cs="Arial"/>
          <w:color w:val="7B7B7B" w:themeColor="accent3" w:themeShade="BF"/>
          <w:sz w:val="22"/>
          <w:szCs w:val="22"/>
          <w:lang w:val="en-GB"/>
        </w:rPr>
        <w:t>as insolvency practitioner. Truthfulness means that he will not conceal facts</w:t>
      </w:r>
      <w:r w:rsidR="00544CF3">
        <w:rPr>
          <w:rFonts w:ascii="Arial" w:hAnsi="Arial" w:cs="Arial"/>
          <w:color w:val="7B7B7B" w:themeColor="accent3" w:themeShade="BF"/>
          <w:sz w:val="22"/>
          <w:szCs w:val="22"/>
          <w:lang w:val="en-GB"/>
        </w:rPr>
        <w:t>, it means you are open and transparent in decision making and you will not conceal or misrepresent facts</w:t>
      </w:r>
      <w:r w:rsidR="00AD77CF">
        <w:rPr>
          <w:rFonts w:ascii="Arial" w:hAnsi="Arial" w:cs="Arial"/>
          <w:color w:val="7B7B7B" w:themeColor="accent3" w:themeShade="BF"/>
          <w:sz w:val="22"/>
          <w:szCs w:val="22"/>
          <w:lang w:val="en-GB"/>
        </w:rPr>
        <w:t xml:space="preserve">. When Mr Relation </w:t>
      </w:r>
      <w:r w:rsidR="00544CF3">
        <w:rPr>
          <w:rFonts w:ascii="Arial" w:hAnsi="Arial" w:cs="Arial"/>
          <w:color w:val="7B7B7B" w:themeColor="accent3" w:themeShade="BF"/>
          <w:sz w:val="22"/>
          <w:szCs w:val="22"/>
          <w:lang w:val="en-GB"/>
        </w:rPr>
        <w:t xml:space="preserve">is said to </w:t>
      </w:r>
      <w:r w:rsidR="00D6599D">
        <w:rPr>
          <w:rFonts w:ascii="Arial" w:hAnsi="Arial" w:cs="Arial"/>
          <w:color w:val="7B7B7B" w:themeColor="accent3" w:themeShade="BF"/>
          <w:sz w:val="22"/>
          <w:szCs w:val="22"/>
          <w:lang w:val="en-GB"/>
        </w:rPr>
        <w:t xml:space="preserve">conduct a superficial investigation </w:t>
      </w:r>
      <w:r w:rsidR="00544CF3">
        <w:rPr>
          <w:rFonts w:ascii="Arial" w:hAnsi="Arial" w:cs="Arial"/>
          <w:color w:val="7B7B7B" w:themeColor="accent3" w:themeShade="BF"/>
          <w:sz w:val="22"/>
          <w:szCs w:val="22"/>
          <w:lang w:val="en-GB"/>
        </w:rPr>
        <w:t>when he is aware of the concerns of the directors that they are in possible breach of their dutie</w:t>
      </w:r>
      <w:r w:rsidR="00D369D2">
        <w:rPr>
          <w:rFonts w:ascii="Arial" w:hAnsi="Arial" w:cs="Arial"/>
          <w:color w:val="7B7B7B" w:themeColor="accent3" w:themeShade="BF"/>
          <w:sz w:val="22"/>
          <w:szCs w:val="22"/>
          <w:lang w:val="en-GB"/>
        </w:rPr>
        <w:t>s</w:t>
      </w:r>
      <w:r w:rsidR="00544CF3">
        <w:rPr>
          <w:rFonts w:ascii="Arial" w:hAnsi="Arial" w:cs="Arial"/>
          <w:color w:val="7B7B7B" w:themeColor="accent3" w:themeShade="BF"/>
          <w:sz w:val="22"/>
          <w:szCs w:val="22"/>
          <w:lang w:val="en-GB"/>
        </w:rPr>
        <w:t xml:space="preserve"> </w:t>
      </w:r>
      <w:r w:rsidR="00D6599D">
        <w:rPr>
          <w:rFonts w:ascii="Arial" w:hAnsi="Arial" w:cs="Arial"/>
          <w:color w:val="7B7B7B" w:themeColor="accent3" w:themeShade="BF"/>
          <w:sz w:val="22"/>
          <w:szCs w:val="22"/>
          <w:lang w:val="en-GB"/>
        </w:rPr>
        <w:t xml:space="preserve">and </w:t>
      </w:r>
      <w:r w:rsidR="00D369D2">
        <w:rPr>
          <w:rFonts w:ascii="Arial" w:hAnsi="Arial" w:cs="Arial"/>
          <w:color w:val="7B7B7B" w:themeColor="accent3" w:themeShade="BF"/>
          <w:sz w:val="22"/>
          <w:szCs w:val="22"/>
          <w:lang w:val="en-GB"/>
        </w:rPr>
        <w:t xml:space="preserve">he further </w:t>
      </w:r>
      <w:r w:rsidR="00D6599D">
        <w:rPr>
          <w:rFonts w:ascii="Arial" w:hAnsi="Arial" w:cs="Arial"/>
          <w:color w:val="7B7B7B" w:themeColor="accent3" w:themeShade="BF"/>
          <w:sz w:val="22"/>
          <w:szCs w:val="22"/>
          <w:lang w:val="en-GB"/>
        </w:rPr>
        <w:t>reli</w:t>
      </w:r>
      <w:r w:rsidR="00D369D2">
        <w:rPr>
          <w:rFonts w:ascii="Arial" w:hAnsi="Arial" w:cs="Arial"/>
          <w:color w:val="7B7B7B" w:themeColor="accent3" w:themeShade="BF"/>
          <w:sz w:val="22"/>
          <w:szCs w:val="22"/>
          <w:lang w:val="en-GB"/>
        </w:rPr>
        <w:t>es</w:t>
      </w:r>
      <w:r w:rsidR="00D6599D">
        <w:rPr>
          <w:rFonts w:ascii="Arial" w:hAnsi="Arial" w:cs="Arial"/>
          <w:color w:val="7B7B7B" w:themeColor="accent3" w:themeShade="BF"/>
          <w:sz w:val="22"/>
          <w:szCs w:val="22"/>
          <w:lang w:val="en-GB"/>
        </w:rPr>
        <w:t xml:space="preserve"> on information provided by Mr Inlaw, this is not discharging the duty </w:t>
      </w:r>
      <w:r w:rsidR="006F4B5E">
        <w:rPr>
          <w:rFonts w:ascii="Arial" w:hAnsi="Arial" w:cs="Arial"/>
          <w:color w:val="7B7B7B" w:themeColor="accent3" w:themeShade="BF"/>
          <w:sz w:val="22"/>
          <w:szCs w:val="22"/>
          <w:lang w:val="en-GB"/>
        </w:rPr>
        <w:t>not to conceal or misrepresent facts.</w:t>
      </w:r>
    </w:p>
    <w:p w14:paraId="7121F427" w14:textId="1BDAE005" w:rsidR="00A75854" w:rsidRDefault="006F4B5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the </w:t>
      </w:r>
      <w:r w:rsidR="000360E1">
        <w:rPr>
          <w:rFonts w:ascii="Arial" w:hAnsi="Arial" w:cs="Arial"/>
          <w:color w:val="7B7B7B" w:themeColor="accent3" w:themeShade="BF"/>
          <w:sz w:val="22"/>
          <w:szCs w:val="22"/>
          <w:lang w:val="en-GB"/>
        </w:rPr>
        <w:t xml:space="preserve">ethical principle that the insolvency practitioner </w:t>
      </w:r>
      <w:r w:rsidR="00F146C0">
        <w:rPr>
          <w:rFonts w:ascii="Arial" w:hAnsi="Arial" w:cs="Arial"/>
          <w:color w:val="7B7B7B" w:themeColor="accent3" w:themeShade="BF"/>
          <w:sz w:val="22"/>
          <w:szCs w:val="22"/>
          <w:lang w:val="en-GB"/>
        </w:rPr>
        <w:t xml:space="preserve">should </w:t>
      </w:r>
      <w:r w:rsidR="000360E1">
        <w:rPr>
          <w:rFonts w:ascii="Arial" w:hAnsi="Arial" w:cs="Arial"/>
          <w:color w:val="7B7B7B" w:themeColor="accent3" w:themeShade="BF"/>
          <w:sz w:val="22"/>
          <w:szCs w:val="22"/>
          <w:lang w:val="en-GB"/>
        </w:rPr>
        <w:t xml:space="preserve">act with </w:t>
      </w:r>
      <w:r w:rsidR="00965A10">
        <w:rPr>
          <w:rFonts w:ascii="Arial" w:hAnsi="Arial" w:cs="Arial"/>
          <w:color w:val="7B7B7B" w:themeColor="accent3" w:themeShade="BF"/>
          <w:sz w:val="22"/>
          <w:szCs w:val="22"/>
          <w:lang w:val="en-GB"/>
        </w:rPr>
        <w:t xml:space="preserve">objectivity, independence and impartiality </w:t>
      </w:r>
      <w:r w:rsidR="00F67DF6">
        <w:rPr>
          <w:rFonts w:ascii="Arial" w:hAnsi="Arial" w:cs="Arial"/>
          <w:color w:val="7B7B7B" w:themeColor="accent3" w:themeShade="BF"/>
          <w:sz w:val="22"/>
          <w:szCs w:val="22"/>
          <w:lang w:val="en-GB"/>
        </w:rPr>
        <w:t>from the outset, this means that Mr</w:t>
      </w:r>
      <w:r w:rsidR="00553EAD">
        <w:rPr>
          <w:rFonts w:ascii="Arial" w:hAnsi="Arial" w:cs="Arial"/>
          <w:color w:val="7B7B7B" w:themeColor="accent3" w:themeShade="BF"/>
          <w:sz w:val="22"/>
          <w:szCs w:val="22"/>
          <w:lang w:val="en-GB"/>
        </w:rPr>
        <w:t xml:space="preserve"> Relation is aware that his conduct must be, and be seen to be </w:t>
      </w:r>
      <w:r w:rsidR="001E3AEB">
        <w:rPr>
          <w:rFonts w:ascii="Arial" w:hAnsi="Arial" w:cs="Arial"/>
          <w:color w:val="7B7B7B" w:themeColor="accent3" w:themeShade="BF"/>
          <w:sz w:val="22"/>
          <w:szCs w:val="22"/>
          <w:lang w:val="en-GB"/>
        </w:rPr>
        <w:t>unfairly or improperly biased to any party.</w:t>
      </w:r>
      <w:r w:rsidR="00D95C39">
        <w:rPr>
          <w:rFonts w:ascii="Arial" w:hAnsi="Arial" w:cs="Arial"/>
          <w:color w:val="7B7B7B" w:themeColor="accent3" w:themeShade="BF"/>
          <w:sz w:val="22"/>
          <w:szCs w:val="22"/>
          <w:lang w:val="en-GB"/>
        </w:rPr>
        <w:t xml:space="preserve"> Practitioners should not take appointments where their independence and impartiality will be called into question by the existence of a relationship with a stakeholder.</w:t>
      </w:r>
      <w:r w:rsidR="000C3A2C">
        <w:rPr>
          <w:rFonts w:ascii="Arial" w:hAnsi="Arial" w:cs="Arial"/>
          <w:color w:val="7B7B7B" w:themeColor="accent3" w:themeShade="BF"/>
          <w:sz w:val="22"/>
          <w:szCs w:val="22"/>
          <w:lang w:val="en-GB"/>
        </w:rPr>
        <w:t xml:space="preserve"> The insolvency practitioner must not allow bias, a conflicting interest or the undue influence of others to override his professional or business judgments in the execution of his duties and obligations. Mr Relation would have breached the independence principle when he </w:t>
      </w:r>
      <w:r w:rsidR="007F35B1">
        <w:rPr>
          <w:rFonts w:ascii="Arial" w:hAnsi="Arial" w:cs="Arial"/>
          <w:color w:val="7B7B7B" w:themeColor="accent3" w:themeShade="BF"/>
          <w:sz w:val="22"/>
          <w:szCs w:val="22"/>
          <w:lang w:val="en-GB"/>
        </w:rPr>
        <w:t>assured directors he would not concentrate on their confessed breach of duty, when he actually produced a report confirming no mis</w:t>
      </w:r>
      <w:r w:rsidR="00ED2CFF">
        <w:rPr>
          <w:rFonts w:ascii="Arial" w:hAnsi="Arial" w:cs="Arial"/>
          <w:color w:val="7B7B7B" w:themeColor="accent3" w:themeShade="BF"/>
          <w:sz w:val="22"/>
          <w:szCs w:val="22"/>
          <w:lang w:val="en-GB"/>
        </w:rPr>
        <w:t>management and he relied on information produced by Mr Inlaw. He would have failed to conduct independent investigation</w:t>
      </w:r>
      <w:r w:rsidR="0051782A">
        <w:rPr>
          <w:rFonts w:ascii="Arial" w:hAnsi="Arial" w:cs="Arial"/>
          <w:color w:val="7B7B7B" w:themeColor="accent3" w:themeShade="BF"/>
          <w:sz w:val="22"/>
          <w:szCs w:val="22"/>
          <w:lang w:val="en-GB"/>
        </w:rPr>
        <w:t xml:space="preserve">, he would have been required to </w:t>
      </w:r>
      <w:r w:rsidR="00FD23E1">
        <w:rPr>
          <w:rFonts w:ascii="Arial" w:hAnsi="Arial" w:cs="Arial"/>
          <w:color w:val="7B7B7B" w:themeColor="accent3" w:themeShade="BF"/>
          <w:sz w:val="22"/>
          <w:szCs w:val="22"/>
          <w:lang w:val="en-GB"/>
        </w:rPr>
        <w:t xml:space="preserve">set up a </w:t>
      </w:r>
      <w:r w:rsidR="00FD23E1">
        <w:rPr>
          <w:rFonts w:ascii="Arial" w:hAnsi="Arial" w:cs="Arial"/>
          <w:color w:val="7B7B7B" w:themeColor="accent3" w:themeShade="BF"/>
          <w:sz w:val="22"/>
          <w:szCs w:val="22"/>
          <w:lang w:val="en-GB"/>
        </w:rPr>
        <w:lastRenderedPageBreak/>
        <w:t xml:space="preserve">complaints management </w:t>
      </w:r>
      <w:r w:rsidR="00254AA0">
        <w:rPr>
          <w:rFonts w:ascii="Arial" w:hAnsi="Arial" w:cs="Arial"/>
          <w:color w:val="7B7B7B" w:themeColor="accent3" w:themeShade="BF"/>
          <w:sz w:val="22"/>
          <w:szCs w:val="22"/>
          <w:lang w:val="en-GB"/>
        </w:rPr>
        <w:t>process allowing stakeholders to lodge complaints</w:t>
      </w:r>
      <w:r w:rsidR="00B06A9C">
        <w:rPr>
          <w:rFonts w:ascii="Arial" w:hAnsi="Arial" w:cs="Arial"/>
          <w:color w:val="7B7B7B" w:themeColor="accent3" w:themeShade="BF"/>
          <w:sz w:val="22"/>
          <w:szCs w:val="22"/>
          <w:lang w:val="en-GB"/>
        </w:rPr>
        <w:t>. This would especially be relevant where employees brought claims against the company for faulty</w:t>
      </w:r>
      <w:r w:rsidR="00115586">
        <w:rPr>
          <w:rFonts w:ascii="Arial" w:hAnsi="Arial" w:cs="Arial"/>
          <w:color w:val="7B7B7B" w:themeColor="accent3" w:themeShade="BF"/>
          <w:sz w:val="22"/>
          <w:szCs w:val="22"/>
          <w:lang w:val="en-GB"/>
        </w:rPr>
        <w:t xml:space="preserve"> machinery.</w:t>
      </w:r>
      <w:r w:rsidR="00FB4283">
        <w:rPr>
          <w:rFonts w:ascii="Arial" w:hAnsi="Arial" w:cs="Arial"/>
          <w:color w:val="7B7B7B" w:themeColor="accent3" w:themeShade="BF"/>
          <w:sz w:val="22"/>
          <w:szCs w:val="22"/>
          <w:lang w:val="en-GB"/>
        </w:rPr>
        <w:t xml:space="preserve"> The other aspect of independence is the perception. An insolvency practitioner must be seen to be independent</w:t>
      </w:r>
      <w:r w:rsidR="00DF701B">
        <w:rPr>
          <w:rFonts w:ascii="Arial" w:hAnsi="Arial" w:cs="Arial"/>
          <w:color w:val="7B7B7B" w:themeColor="accent3" w:themeShade="BF"/>
          <w:sz w:val="22"/>
          <w:szCs w:val="22"/>
          <w:lang w:val="en-GB"/>
        </w:rPr>
        <w:t xml:space="preserve"> ie be factually free from any influences that could compromise his judgment</w:t>
      </w:r>
      <w:r w:rsidR="00AD54A6">
        <w:rPr>
          <w:rFonts w:ascii="Arial" w:hAnsi="Arial" w:cs="Arial"/>
          <w:color w:val="7B7B7B" w:themeColor="accent3" w:themeShade="BF"/>
          <w:sz w:val="22"/>
          <w:szCs w:val="22"/>
          <w:lang w:val="en-GB"/>
        </w:rPr>
        <w:t xml:space="preserve">. He would be required to avoid all personal and professional relationships that could directly or indirectly adversely influence, impair or threaten their integrity and ability to make decisions. Mr Relation being a brother in law to Mr Inlaw and the godfather to Mr Inlaw’s daughter creates a perception of bias and lack of </w:t>
      </w:r>
      <w:r w:rsidR="004E65F4">
        <w:rPr>
          <w:rFonts w:ascii="Arial" w:hAnsi="Arial" w:cs="Arial"/>
          <w:color w:val="7B7B7B" w:themeColor="accent3" w:themeShade="BF"/>
          <w:sz w:val="22"/>
          <w:szCs w:val="22"/>
          <w:lang w:val="en-GB"/>
        </w:rPr>
        <w:t xml:space="preserve">independence and creates a conflict of interest on Mr Relation’s part </w:t>
      </w:r>
      <w:r w:rsidR="00F85A93">
        <w:rPr>
          <w:rFonts w:ascii="Arial" w:hAnsi="Arial" w:cs="Arial"/>
          <w:color w:val="7B7B7B" w:themeColor="accent3" w:themeShade="BF"/>
          <w:sz w:val="22"/>
          <w:szCs w:val="22"/>
          <w:lang w:val="en-GB"/>
        </w:rPr>
        <w:t>to carry out his investigations impartially. He will be affected by the fact that the objective performance of his investigations will mean that if he has to commence proceedings against Mr Inlaw, he will be able to do so. The conflict however arises from the fact that he has close family ties with Mr Inlaw. This creates the familiarity threat</w:t>
      </w:r>
      <w:r w:rsidR="003A42B1">
        <w:rPr>
          <w:rFonts w:ascii="Arial" w:hAnsi="Arial" w:cs="Arial"/>
          <w:color w:val="7B7B7B" w:themeColor="accent3" w:themeShade="BF"/>
          <w:sz w:val="22"/>
          <w:szCs w:val="22"/>
          <w:lang w:val="en-GB"/>
        </w:rPr>
        <w:t>. The case study Commonwealth Bank of Australia v Irving</w:t>
      </w:r>
      <w:r w:rsidR="00EF1E8C">
        <w:rPr>
          <w:rFonts w:ascii="Arial" w:hAnsi="Arial" w:cs="Arial"/>
          <w:color w:val="7B7B7B" w:themeColor="accent3" w:themeShade="BF"/>
          <w:sz w:val="22"/>
          <w:szCs w:val="22"/>
          <w:lang w:val="en-GB"/>
        </w:rPr>
        <w:t xml:space="preserve"> illustrates how personal relationships with stakeholders </w:t>
      </w:r>
      <w:r w:rsidR="007B3F1B">
        <w:rPr>
          <w:rFonts w:ascii="Arial" w:hAnsi="Arial" w:cs="Arial"/>
          <w:color w:val="7B7B7B" w:themeColor="accent3" w:themeShade="BF"/>
          <w:sz w:val="22"/>
          <w:szCs w:val="22"/>
          <w:lang w:val="en-GB"/>
        </w:rPr>
        <w:t>can result in lack of independence due to the perception created by the relationship.</w:t>
      </w:r>
      <w:r w:rsidR="003A356C">
        <w:rPr>
          <w:rFonts w:ascii="Arial" w:hAnsi="Arial" w:cs="Arial"/>
          <w:color w:val="7B7B7B" w:themeColor="accent3" w:themeShade="BF"/>
          <w:sz w:val="22"/>
          <w:szCs w:val="22"/>
          <w:lang w:val="en-GB"/>
        </w:rPr>
        <w:t xml:space="preserve"> Mr Irving was appointed to act as administrator of a company </w:t>
      </w:r>
      <w:r w:rsidR="0079384B">
        <w:rPr>
          <w:rFonts w:ascii="Arial" w:hAnsi="Arial" w:cs="Arial"/>
          <w:color w:val="7B7B7B" w:themeColor="accent3" w:themeShade="BF"/>
          <w:sz w:val="22"/>
          <w:szCs w:val="22"/>
          <w:lang w:val="en-GB"/>
        </w:rPr>
        <w:t>who</w:t>
      </w:r>
      <w:r w:rsidR="00BC629D">
        <w:rPr>
          <w:rFonts w:ascii="Arial" w:hAnsi="Arial" w:cs="Arial"/>
          <w:color w:val="7B7B7B" w:themeColor="accent3" w:themeShade="BF"/>
          <w:sz w:val="22"/>
          <w:szCs w:val="22"/>
          <w:lang w:val="en-GB"/>
        </w:rPr>
        <w:t xml:space="preserve"> had one </w:t>
      </w:r>
      <w:r w:rsidR="0079384B">
        <w:rPr>
          <w:rFonts w:ascii="Arial" w:hAnsi="Arial" w:cs="Arial"/>
          <w:color w:val="7B7B7B" w:themeColor="accent3" w:themeShade="BF"/>
          <w:sz w:val="22"/>
          <w:szCs w:val="22"/>
          <w:lang w:val="en-GB"/>
        </w:rPr>
        <w:t>director</w:t>
      </w:r>
      <w:r w:rsidR="001563C3">
        <w:rPr>
          <w:rFonts w:ascii="Arial" w:hAnsi="Arial" w:cs="Arial"/>
          <w:color w:val="7B7B7B" w:themeColor="accent3" w:themeShade="BF"/>
          <w:sz w:val="22"/>
          <w:szCs w:val="22"/>
          <w:lang w:val="en-GB"/>
        </w:rPr>
        <w:t>, Mr Townsend,</w:t>
      </w:r>
      <w:r w:rsidR="0079384B">
        <w:rPr>
          <w:rFonts w:ascii="Arial" w:hAnsi="Arial" w:cs="Arial"/>
          <w:color w:val="7B7B7B" w:themeColor="accent3" w:themeShade="BF"/>
          <w:sz w:val="22"/>
          <w:szCs w:val="22"/>
          <w:lang w:val="en-GB"/>
        </w:rPr>
        <w:t xml:space="preserve"> </w:t>
      </w:r>
      <w:r w:rsidR="00BC629D">
        <w:rPr>
          <w:rFonts w:ascii="Arial" w:hAnsi="Arial" w:cs="Arial"/>
          <w:color w:val="7B7B7B" w:themeColor="accent3" w:themeShade="BF"/>
          <w:sz w:val="22"/>
          <w:szCs w:val="22"/>
          <w:lang w:val="en-GB"/>
        </w:rPr>
        <w:t xml:space="preserve">resign </w:t>
      </w:r>
      <w:r w:rsidR="00434DA4">
        <w:rPr>
          <w:rFonts w:ascii="Arial" w:hAnsi="Arial" w:cs="Arial"/>
          <w:color w:val="7B7B7B" w:themeColor="accent3" w:themeShade="BF"/>
          <w:sz w:val="22"/>
          <w:szCs w:val="22"/>
          <w:lang w:val="en-GB"/>
        </w:rPr>
        <w:t xml:space="preserve">two weeks before administration. </w:t>
      </w:r>
      <w:r w:rsidR="001563C3">
        <w:rPr>
          <w:rFonts w:ascii="Arial" w:hAnsi="Arial" w:cs="Arial"/>
          <w:color w:val="7B7B7B" w:themeColor="accent3" w:themeShade="BF"/>
          <w:sz w:val="22"/>
          <w:szCs w:val="22"/>
          <w:lang w:val="en-GB"/>
        </w:rPr>
        <w:t xml:space="preserve">MR Townsend </w:t>
      </w:r>
      <w:r w:rsidR="00434DA4">
        <w:rPr>
          <w:rFonts w:ascii="Arial" w:hAnsi="Arial" w:cs="Arial"/>
          <w:color w:val="7B7B7B" w:themeColor="accent3" w:themeShade="BF"/>
          <w:sz w:val="22"/>
          <w:szCs w:val="22"/>
          <w:lang w:val="en-GB"/>
        </w:rPr>
        <w:t>kn</w:t>
      </w:r>
      <w:r w:rsidR="001563C3">
        <w:rPr>
          <w:rFonts w:ascii="Arial" w:hAnsi="Arial" w:cs="Arial"/>
          <w:color w:val="7B7B7B" w:themeColor="accent3" w:themeShade="BF"/>
          <w:sz w:val="22"/>
          <w:szCs w:val="22"/>
          <w:lang w:val="en-GB"/>
        </w:rPr>
        <w:t>e</w:t>
      </w:r>
      <w:r w:rsidR="00434DA4">
        <w:rPr>
          <w:rFonts w:ascii="Arial" w:hAnsi="Arial" w:cs="Arial"/>
          <w:color w:val="7B7B7B" w:themeColor="accent3" w:themeShade="BF"/>
          <w:sz w:val="22"/>
          <w:szCs w:val="22"/>
          <w:lang w:val="en-GB"/>
        </w:rPr>
        <w:t>w Mr Irving for over 16 years, they par</w:t>
      </w:r>
      <w:r w:rsidR="006071B5">
        <w:rPr>
          <w:rFonts w:ascii="Arial" w:hAnsi="Arial" w:cs="Arial"/>
          <w:color w:val="7B7B7B" w:themeColor="accent3" w:themeShade="BF"/>
          <w:sz w:val="22"/>
          <w:szCs w:val="22"/>
          <w:lang w:val="en-GB"/>
        </w:rPr>
        <w:t xml:space="preserve">ticipated in the same </w:t>
      </w:r>
      <w:r w:rsidR="00893E3D">
        <w:rPr>
          <w:rFonts w:ascii="Arial" w:hAnsi="Arial" w:cs="Arial"/>
          <w:color w:val="7B7B7B" w:themeColor="accent3" w:themeShade="BF"/>
          <w:sz w:val="22"/>
          <w:szCs w:val="22"/>
          <w:lang w:val="en-GB"/>
        </w:rPr>
        <w:t>widely public</w:t>
      </w:r>
      <w:r w:rsidR="00586534">
        <w:rPr>
          <w:rFonts w:ascii="Arial" w:hAnsi="Arial" w:cs="Arial"/>
          <w:color w:val="7B7B7B" w:themeColor="accent3" w:themeShade="BF"/>
          <w:sz w:val="22"/>
          <w:szCs w:val="22"/>
          <w:lang w:val="en-GB"/>
        </w:rPr>
        <w:t>i</w:t>
      </w:r>
      <w:r w:rsidR="00893E3D">
        <w:rPr>
          <w:rFonts w:ascii="Arial" w:hAnsi="Arial" w:cs="Arial"/>
          <w:color w:val="7B7B7B" w:themeColor="accent3" w:themeShade="BF"/>
          <w:sz w:val="22"/>
          <w:szCs w:val="22"/>
          <w:lang w:val="en-GB"/>
        </w:rPr>
        <w:t xml:space="preserve">sed charity events </w:t>
      </w:r>
      <w:r w:rsidR="006071B5">
        <w:rPr>
          <w:rFonts w:ascii="Arial" w:hAnsi="Arial" w:cs="Arial"/>
          <w:color w:val="7B7B7B" w:themeColor="accent3" w:themeShade="BF"/>
          <w:sz w:val="22"/>
          <w:szCs w:val="22"/>
          <w:lang w:val="en-GB"/>
        </w:rPr>
        <w:t>and sports activities</w:t>
      </w:r>
      <w:r w:rsidR="002173DB">
        <w:rPr>
          <w:rFonts w:ascii="Arial" w:hAnsi="Arial" w:cs="Arial"/>
          <w:color w:val="7B7B7B" w:themeColor="accent3" w:themeShade="BF"/>
          <w:sz w:val="22"/>
          <w:szCs w:val="22"/>
          <w:lang w:val="en-GB"/>
        </w:rPr>
        <w:t xml:space="preserve"> and </w:t>
      </w:r>
      <w:r w:rsidR="001563C3">
        <w:rPr>
          <w:rFonts w:ascii="Arial" w:hAnsi="Arial" w:cs="Arial"/>
          <w:color w:val="7B7B7B" w:themeColor="accent3" w:themeShade="BF"/>
          <w:sz w:val="22"/>
          <w:szCs w:val="22"/>
          <w:lang w:val="en-GB"/>
        </w:rPr>
        <w:t xml:space="preserve">Mr Townsend </w:t>
      </w:r>
      <w:r w:rsidR="00893E3D">
        <w:rPr>
          <w:rFonts w:ascii="Arial" w:hAnsi="Arial" w:cs="Arial"/>
          <w:color w:val="7B7B7B" w:themeColor="accent3" w:themeShade="BF"/>
          <w:sz w:val="22"/>
          <w:szCs w:val="22"/>
          <w:lang w:val="en-GB"/>
        </w:rPr>
        <w:t>acted as Mr Irving’s legal practitioner</w:t>
      </w:r>
      <w:r w:rsidR="00586534">
        <w:rPr>
          <w:rFonts w:ascii="Arial" w:hAnsi="Arial" w:cs="Arial"/>
          <w:color w:val="7B7B7B" w:themeColor="accent3" w:themeShade="BF"/>
          <w:sz w:val="22"/>
          <w:szCs w:val="22"/>
          <w:lang w:val="en-GB"/>
        </w:rPr>
        <w:t xml:space="preserve">. Also Mr Irving had acted as consultant </w:t>
      </w:r>
      <w:r w:rsidR="009A17FB">
        <w:rPr>
          <w:rFonts w:ascii="Arial" w:hAnsi="Arial" w:cs="Arial"/>
          <w:color w:val="7B7B7B" w:themeColor="accent3" w:themeShade="BF"/>
          <w:sz w:val="22"/>
          <w:szCs w:val="22"/>
          <w:lang w:val="en-GB"/>
        </w:rPr>
        <w:t>to the company concerning its financial position. Two creditors therefore applied for Mr Irving to be removed</w:t>
      </w:r>
      <w:r w:rsidR="00586534">
        <w:rPr>
          <w:rFonts w:ascii="Arial" w:hAnsi="Arial" w:cs="Arial"/>
          <w:color w:val="7B7B7B" w:themeColor="accent3" w:themeShade="BF"/>
          <w:sz w:val="22"/>
          <w:szCs w:val="22"/>
          <w:lang w:val="en-GB"/>
        </w:rPr>
        <w:t xml:space="preserve"> </w:t>
      </w:r>
      <w:r w:rsidR="000D455D">
        <w:rPr>
          <w:rFonts w:ascii="Arial" w:hAnsi="Arial" w:cs="Arial"/>
          <w:color w:val="7B7B7B" w:themeColor="accent3" w:themeShade="BF"/>
          <w:sz w:val="22"/>
          <w:szCs w:val="22"/>
          <w:lang w:val="en-GB"/>
        </w:rPr>
        <w:t>for lack of independence. It did not matter that Mr Irving disclosed his relationship with Mr Townsend.</w:t>
      </w:r>
      <w:r w:rsidR="008A79EC">
        <w:rPr>
          <w:rFonts w:ascii="Arial" w:hAnsi="Arial" w:cs="Arial"/>
          <w:color w:val="7B7B7B" w:themeColor="accent3" w:themeShade="BF"/>
          <w:sz w:val="22"/>
          <w:szCs w:val="22"/>
          <w:lang w:val="en-GB"/>
        </w:rPr>
        <w:t xml:space="preserve"> The </w:t>
      </w:r>
      <w:r w:rsidR="00BB04BD">
        <w:rPr>
          <w:rFonts w:ascii="Arial" w:hAnsi="Arial" w:cs="Arial"/>
          <w:color w:val="7B7B7B" w:themeColor="accent3" w:themeShade="BF"/>
          <w:sz w:val="22"/>
          <w:szCs w:val="22"/>
          <w:lang w:val="en-GB"/>
        </w:rPr>
        <w:t>court noted that as administrator of the company</w:t>
      </w:r>
      <w:r w:rsidR="008B3FF1">
        <w:rPr>
          <w:rFonts w:ascii="Arial" w:hAnsi="Arial" w:cs="Arial"/>
          <w:color w:val="7B7B7B" w:themeColor="accent3" w:themeShade="BF"/>
          <w:sz w:val="22"/>
          <w:szCs w:val="22"/>
          <w:lang w:val="en-GB"/>
        </w:rPr>
        <w:t>, Mr Irving would be required to investigate the affairs of the company and the conduct of the directors which would include Mr Townsend</w:t>
      </w:r>
      <w:r w:rsidR="00C94490">
        <w:rPr>
          <w:rFonts w:ascii="Arial" w:hAnsi="Arial" w:cs="Arial"/>
          <w:color w:val="7B7B7B" w:themeColor="accent3" w:themeShade="BF"/>
          <w:sz w:val="22"/>
          <w:szCs w:val="22"/>
          <w:lang w:val="en-GB"/>
        </w:rPr>
        <w:t xml:space="preserve"> to determine whether he was required to take any action. Irving’s relationship with Mr Townsend created the perception tha</w:t>
      </w:r>
      <w:r w:rsidR="00450B1B">
        <w:rPr>
          <w:rFonts w:ascii="Arial" w:hAnsi="Arial" w:cs="Arial"/>
          <w:color w:val="7B7B7B" w:themeColor="accent3" w:themeShade="BF"/>
          <w:sz w:val="22"/>
          <w:szCs w:val="22"/>
          <w:lang w:val="en-GB"/>
        </w:rPr>
        <w:t>t Mr Irving</w:t>
      </w:r>
      <w:r w:rsidR="00CB634F">
        <w:rPr>
          <w:rFonts w:ascii="Arial" w:hAnsi="Arial" w:cs="Arial"/>
          <w:color w:val="7B7B7B" w:themeColor="accent3" w:themeShade="BF"/>
          <w:sz w:val="22"/>
          <w:szCs w:val="22"/>
          <w:lang w:val="en-GB"/>
        </w:rPr>
        <w:t xml:space="preserve"> held Mr Townsend’s </w:t>
      </w:r>
      <w:r w:rsidR="00450B1B">
        <w:rPr>
          <w:rFonts w:ascii="Arial" w:hAnsi="Arial" w:cs="Arial"/>
          <w:color w:val="7B7B7B" w:themeColor="accent3" w:themeShade="BF"/>
          <w:sz w:val="22"/>
          <w:szCs w:val="22"/>
          <w:lang w:val="en-GB"/>
        </w:rPr>
        <w:t xml:space="preserve">judgment </w:t>
      </w:r>
      <w:r w:rsidR="00C94490">
        <w:rPr>
          <w:rFonts w:ascii="Arial" w:hAnsi="Arial" w:cs="Arial"/>
          <w:color w:val="7B7B7B" w:themeColor="accent3" w:themeShade="BF"/>
          <w:sz w:val="22"/>
          <w:szCs w:val="22"/>
          <w:lang w:val="en-GB"/>
        </w:rPr>
        <w:t xml:space="preserve"> </w:t>
      </w:r>
      <w:r w:rsidR="00CB634F">
        <w:rPr>
          <w:rFonts w:ascii="Arial" w:hAnsi="Arial" w:cs="Arial"/>
          <w:color w:val="7B7B7B" w:themeColor="accent3" w:themeShade="BF"/>
          <w:sz w:val="22"/>
          <w:szCs w:val="22"/>
          <w:lang w:val="en-GB"/>
        </w:rPr>
        <w:t>in high regard and relied on his professional advice and judgment</w:t>
      </w:r>
      <w:r w:rsidR="00D266CE">
        <w:rPr>
          <w:rFonts w:ascii="Arial" w:hAnsi="Arial" w:cs="Arial"/>
          <w:color w:val="7B7B7B" w:themeColor="accent3" w:themeShade="BF"/>
          <w:sz w:val="22"/>
          <w:szCs w:val="22"/>
          <w:lang w:val="en-GB"/>
        </w:rPr>
        <w:t>. The reasonable person would therefore have trouble to believe that he would be able to investigate without any bias. The same arises on the facts between Mr Relation and Mr Inlaw.</w:t>
      </w:r>
      <w:r w:rsidR="009D4BF1">
        <w:rPr>
          <w:rFonts w:ascii="Arial" w:hAnsi="Arial" w:cs="Arial"/>
          <w:color w:val="7B7B7B" w:themeColor="accent3" w:themeShade="BF"/>
          <w:sz w:val="22"/>
          <w:szCs w:val="22"/>
          <w:lang w:val="en-GB"/>
        </w:rPr>
        <w:t xml:space="preserve"> The Court in </w:t>
      </w:r>
      <w:r w:rsidR="009D4BF1">
        <w:rPr>
          <w:rFonts w:ascii="Arial" w:hAnsi="Arial" w:cs="Arial"/>
          <w:color w:val="7B7B7B" w:themeColor="accent3" w:themeShade="BF"/>
          <w:sz w:val="22"/>
          <w:szCs w:val="22"/>
          <w:lang w:val="en-GB"/>
        </w:rPr>
        <w:t>Commonwealth Bank of Australia v Irving</w:t>
      </w:r>
      <w:r w:rsidR="009D4BF1">
        <w:rPr>
          <w:rFonts w:ascii="Arial" w:hAnsi="Arial" w:cs="Arial"/>
          <w:color w:val="7B7B7B" w:themeColor="accent3" w:themeShade="BF"/>
          <w:sz w:val="22"/>
          <w:szCs w:val="22"/>
          <w:lang w:val="en-GB"/>
        </w:rPr>
        <w:t xml:space="preserve"> also noted that while no allegations of impropriety were made, the long standing friendly and professional relationship between Mr Irving and Mr Relation </w:t>
      </w:r>
      <w:r w:rsidR="00736B1E">
        <w:rPr>
          <w:rFonts w:ascii="Arial" w:hAnsi="Arial" w:cs="Arial"/>
          <w:color w:val="7B7B7B" w:themeColor="accent3" w:themeShade="BF"/>
          <w:sz w:val="22"/>
          <w:szCs w:val="22"/>
          <w:lang w:val="en-GB"/>
        </w:rPr>
        <w:t>would create</w:t>
      </w:r>
      <w:r w:rsidR="008F23BE">
        <w:rPr>
          <w:rFonts w:ascii="Arial" w:hAnsi="Arial" w:cs="Arial"/>
          <w:color w:val="7B7B7B" w:themeColor="accent3" w:themeShade="BF"/>
          <w:sz w:val="22"/>
          <w:szCs w:val="22"/>
          <w:lang w:val="en-GB"/>
        </w:rPr>
        <w:t xml:space="preserve"> doubt in a fair minded person that he would be able to perform his duties in an independent manner. The relationship created the familiarity threat</w:t>
      </w:r>
      <w:r w:rsidR="00B01A55">
        <w:rPr>
          <w:rFonts w:ascii="Arial" w:hAnsi="Arial" w:cs="Arial"/>
          <w:color w:val="7B7B7B" w:themeColor="accent3" w:themeShade="BF"/>
          <w:sz w:val="22"/>
          <w:szCs w:val="22"/>
          <w:lang w:val="en-GB"/>
        </w:rPr>
        <w:t xml:space="preserve"> for Mr Irving. That threat arises on the facts of the present case and it does not matter that the relationship between Mr Relation and Mr Inlaw is disclosed.</w:t>
      </w:r>
      <w:r w:rsidR="00CE5CC1">
        <w:rPr>
          <w:rFonts w:ascii="Arial" w:hAnsi="Arial" w:cs="Arial"/>
          <w:color w:val="7B7B7B" w:themeColor="accent3" w:themeShade="BF"/>
          <w:sz w:val="22"/>
          <w:szCs w:val="22"/>
          <w:lang w:val="en-GB"/>
        </w:rPr>
        <w:t xml:space="preserve"> </w:t>
      </w:r>
      <w:r w:rsidR="00A76541">
        <w:rPr>
          <w:rFonts w:ascii="Arial" w:hAnsi="Arial" w:cs="Arial"/>
          <w:color w:val="7B7B7B" w:themeColor="accent3" w:themeShade="BF"/>
          <w:sz w:val="22"/>
          <w:szCs w:val="22"/>
          <w:lang w:val="en-GB"/>
        </w:rPr>
        <w:t xml:space="preserve">It </w:t>
      </w:r>
      <w:r w:rsidR="00FB5522">
        <w:rPr>
          <w:rFonts w:ascii="Arial" w:hAnsi="Arial" w:cs="Arial"/>
          <w:color w:val="7B7B7B" w:themeColor="accent3" w:themeShade="BF"/>
          <w:sz w:val="22"/>
          <w:szCs w:val="22"/>
          <w:lang w:val="en-GB"/>
        </w:rPr>
        <w:t xml:space="preserve">may not assist with clearing bias for another person to be appointed with Mr Relation. </w:t>
      </w:r>
      <w:r w:rsidR="00CE5CC1">
        <w:rPr>
          <w:rFonts w:ascii="Arial" w:hAnsi="Arial" w:cs="Arial"/>
          <w:color w:val="7B7B7B" w:themeColor="accent3" w:themeShade="BF"/>
          <w:sz w:val="22"/>
          <w:szCs w:val="22"/>
          <w:lang w:val="en-GB"/>
        </w:rPr>
        <w:t xml:space="preserve">The court in </w:t>
      </w:r>
      <w:r w:rsidR="00CE5CC1">
        <w:rPr>
          <w:rFonts w:ascii="Arial" w:hAnsi="Arial" w:cs="Arial"/>
          <w:color w:val="7B7B7B" w:themeColor="accent3" w:themeShade="BF"/>
          <w:sz w:val="22"/>
          <w:szCs w:val="22"/>
          <w:lang w:val="en-GB"/>
        </w:rPr>
        <w:t>Commonwealth Bank of Australia v Irving</w:t>
      </w:r>
      <w:r w:rsidR="00CE5CC1">
        <w:rPr>
          <w:rFonts w:ascii="Arial" w:hAnsi="Arial" w:cs="Arial"/>
          <w:color w:val="7B7B7B" w:themeColor="accent3" w:themeShade="BF"/>
          <w:sz w:val="22"/>
          <w:szCs w:val="22"/>
          <w:lang w:val="en-GB"/>
        </w:rPr>
        <w:t xml:space="preserve"> also looked at the prior </w:t>
      </w:r>
      <w:r w:rsidR="00AA2E5B">
        <w:rPr>
          <w:rFonts w:ascii="Arial" w:hAnsi="Arial" w:cs="Arial"/>
          <w:color w:val="7B7B7B" w:themeColor="accent3" w:themeShade="BF"/>
          <w:sz w:val="22"/>
          <w:szCs w:val="22"/>
          <w:lang w:val="en-GB"/>
        </w:rPr>
        <w:t>of Mr Irving in the pre</w:t>
      </w:r>
      <w:r w:rsidR="00A4277C">
        <w:rPr>
          <w:rFonts w:ascii="Arial" w:hAnsi="Arial" w:cs="Arial"/>
          <w:color w:val="7B7B7B" w:themeColor="accent3" w:themeShade="BF"/>
          <w:sz w:val="22"/>
          <w:szCs w:val="22"/>
          <w:lang w:val="en-GB"/>
        </w:rPr>
        <w:t>-</w:t>
      </w:r>
      <w:r w:rsidR="00AA2E5B">
        <w:rPr>
          <w:rFonts w:ascii="Arial" w:hAnsi="Arial" w:cs="Arial"/>
          <w:color w:val="7B7B7B" w:themeColor="accent3" w:themeShade="BF"/>
          <w:sz w:val="22"/>
          <w:szCs w:val="22"/>
          <w:lang w:val="en-GB"/>
        </w:rPr>
        <w:t>commencement business</w:t>
      </w:r>
      <w:r w:rsidR="00A4277C">
        <w:rPr>
          <w:rFonts w:ascii="Arial" w:hAnsi="Arial" w:cs="Arial"/>
          <w:color w:val="7B7B7B" w:themeColor="accent3" w:themeShade="BF"/>
          <w:sz w:val="22"/>
          <w:szCs w:val="22"/>
          <w:lang w:val="en-GB"/>
        </w:rPr>
        <w:t xml:space="preserve"> and its impact on independence. The Court noted that substantial involvement</w:t>
      </w:r>
      <w:r w:rsidR="00CE5CC1">
        <w:rPr>
          <w:rFonts w:ascii="Arial" w:hAnsi="Arial" w:cs="Arial"/>
          <w:color w:val="7B7B7B" w:themeColor="accent3" w:themeShade="BF"/>
          <w:sz w:val="22"/>
          <w:szCs w:val="22"/>
          <w:lang w:val="en-GB"/>
        </w:rPr>
        <w:t xml:space="preserve"> </w:t>
      </w:r>
      <w:r w:rsidR="00B01A55">
        <w:rPr>
          <w:rFonts w:ascii="Arial" w:hAnsi="Arial" w:cs="Arial"/>
          <w:color w:val="7B7B7B" w:themeColor="accent3" w:themeShade="BF"/>
          <w:sz w:val="22"/>
          <w:szCs w:val="22"/>
          <w:lang w:val="en-GB"/>
        </w:rPr>
        <w:t xml:space="preserve"> </w:t>
      </w:r>
      <w:r w:rsidR="00616A21">
        <w:rPr>
          <w:rFonts w:ascii="Arial" w:hAnsi="Arial" w:cs="Arial"/>
          <w:color w:val="7B7B7B" w:themeColor="accent3" w:themeShade="BF"/>
          <w:sz w:val="22"/>
          <w:szCs w:val="22"/>
          <w:lang w:val="en-GB"/>
        </w:rPr>
        <w:t xml:space="preserve">with a company prior to its administration </w:t>
      </w:r>
      <w:r w:rsidR="0074403B">
        <w:rPr>
          <w:rFonts w:ascii="Arial" w:hAnsi="Arial" w:cs="Arial"/>
          <w:color w:val="7B7B7B" w:themeColor="accent3" w:themeShade="BF"/>
          <w:sz w:val="22"/>
          <w:szCs w:val="22"/>
          <w:lang w:val="en-GB"/>
        </w:rPr>
        <w:t>will be seen to detract from the ability of that person to act fairly and impartially as it could create the advocacy and self</w:t>
      </w:r>
      <w:r w:rsidR="00A76541">
        <w:rPr>
          <w:rFonts w:ascii="Arial" w:hAnsi="Arial" w:cs="Arial"/>
          <w:color w:val="7B7B7B" w:themeColor="accent3" w:themeShade="BF"/>
          <w:sz w:val="22"/>
          <w:szCs w:val="22"/>
          <w:lang w:val="en-GB"/>
        </w:rPr>
        <w:t>-</w:t>
      </w:r>
      <w:r w:rsidR="0074403B">
        <w:rPr>
          <w:rFonts w:ascii="Arial" w:hAnsi="Arial" w:cs="Arial"/>
          <w:color w:val="7B7B7B" w:themeColor="accent3" w:themeShade="BF"/>
          <w:sz w:val="22"/>
          <w:szCs w:val="22"/>
          <w:lang w:val="en-GB"/>
        </w:rPr>
        <w:t>review threats.</w:t>
      </w:r>
      <w:r w:rsidR="005910C4">
        <w:rPr>
          <w:rFonts w:ascii="Arial" w:hAnsi="Arial" w:cs="Arial"/>
          <w:color w:val="7B7B7B" w:themeColor="accent3" w:themeShade="BF"/>
          <w:sz w:val="22"/>
          <w:szCs w:val="22"/>
          <w:lang w:val="en-GB"/>
        </w:rPr>
        <w:t xml:space="preserve"> Mr Relation’s involvement in the company prior to the company being placed in administration, his involvement in a private strategy meeting with directors</w:t>
      </w:r>
      <w:r w:rsidR="00F667FB">
        <w:rPr>
          <w:rFonts w:ascii="Arial" w:hAnsi="Arial" w:cs="Arial"/>
          <w:color w:val="7B7B7B" w:themeColor="accent3" w:themeShade="BF"/>
          <w:sz w:val="22"/>
          <w:szCs w:val="22"/>
          <w:lang w:val="en-GB"/>
        </w:rPr>
        <w:t xml:space="preserve"> and his personal relationship with Mr Inlaw were all factors that should have barred him from acting as administrator. Now that he acted as administrator and the process failed due to lack of funding, Mr Relation has a responsibility not to also act as liquidator due to the threat of self review arising from having to examine his own actions and that of the directors.</w:t>
      </w:r>
      <w:r w:rsidR="00E638E4">
        <w:rPr>
          <w:rFonts w:ascii="Arial" w:hAnsi="Arial" w:cs="Arial"/>
          <w:color w:val="7B7B7B" w:themeColor="accent3" w:themeShade="BF"/>
          <w:sz w:val="22"/>
          <w:szCs w:val="22"/>
          <w:lang w:val="en-GB"/>
        </w:rPr>
        <w:t xml:space="preserve"> Due to being involved in prior decision making, he would not be able to appropriately evaluate results of previous judgments made.</w:t>
      </w:r>
    </w:p>
    <w:p w14:paraId="36D0EAD2" w14:textId="20342165" w:rsidR="00AC3F5A" w:rsidRDefault="00AC3F5A"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advocacy threat arises where Mr Relation publicly promoted</w:t>
      </w:r>
      <w:r w:rsidR="00010605">
        <w:rPr>
          <w:rFonts w:ascii="Arial" w:hAnsi="Arial" w:cs="Arial"/>
          <w:color w:val="7B7B7B" w:themeColor="accent3" w:themeShade="BF"/>
          <w:sz w:val="22"/>
          <w:szCs w:val="22"/>
          <w:lang w:val="en-GB"/>
        </w:rPr>
        <w:t xml:space="preserve"> a position and opinion about banks as creditors that would subsequently cause his objectivity to be compromised. This was the case where the bank representative remembered Mr Relations’ expressed position and was concerned that he would not be able to objectively carry out the role of liquidator. A possible remedy to this threat is that Mr Relation should refrain from acting as liquidator of the company.</w:t>
      </w:r>
    </w:p>
    <w:p w14:paraId="1282FD4F" w14:textId="18847DEC" w:rsidR="00ED68C3" w:rsidRPr="00ED68C3" w:rsidRDefault="00ED68C3" w:rsidP="00087F21">
      <w:pPr>
        <w:autoSpaceDE w:val="0"/>
        <w:autoSpaceDN w:val="0"/>
        <w:adjustRightInd w:val="0"/>
        <w:jc w:val="both"/>
        <w:rPr>
          <w:rFonts w:ascii="Arial" w:hAnsi="Arial" w:cs="Arial"/>
          <w:color w:val="7B7B7B" w:themeColor="accent3" w:themeShade="BF"/>
          <w:sz w:val="22"/>
          <w:szCs w:val="22"/>
          <w:lang w:val="en-GB"/>
        </w:rPr>
      </w:pPr>
    </w:p>
    <w:p w14:paraId="70C6A8B6" w14:textId="218D4943"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8D3E" w14:textId="77777777" w:rsidR="00666C67" w:rsidRDefault="00666C67" w:rsidP="00241B44">
      <w:r>
        <w:separator/>
      </w:r>
    </w:p>
  </w:endnote>
  <w:endnote w:type="continuationSeparator" w:id="0">
    <w:p w14:paraId="65C7315E" w14:textId="77777777" w:rsidR="00666C67" w:rsidRDefault="00666C6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1B48444"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C2807">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30F05E79" w14:textId="642D348D" w:rsidR="00241FA3" w:rsidRPr="009B4976" w:rsidRDefault="00582C77" w:rsidP="009B4976">
    <w:pPr>
      <w:pStyle w:val="Footer"/>
      <w:ind w:right="360"/>
      <w:rPr>
        <w:rFonts w:ascii="Arial" w:hAnsi="Arial" w:cs="Arial"/>
        <w:sz w:val="18"/>
        <w:szCs w:val="18"/>
        <w:lang w:val="en-GB"/>
      </w:rPr>
    </w:pPr>
    <w:r>
      <w:rPr>
        <w:rFonts w:ascii="Arial" w:hAnsi="Arial" w:cs="Arial"/>
        <w:sz w:val="18"/>
        <w:szCs w:val="18"/>
        <w:lang w:val="en-GB"/>
      </w:rPr>
      <w:t>202021</w:t>
    </w:r>
    <w:r w:rsidR="00661E03">
      <w:rPr>
        <w:rFonts w:ascii="Arial" w:hAnsi="Arial" w:cs="Arial"/>
        <w:sz w:val="18"/>
        <w:szCs w:val="18"/>
        <w:lang w:val="en-GB"/>
      </w:rPr>
      <w:t>IFU-341</w:t>
    </w:r>
    <w:r w:rsidR="0073158B" w:rsidRPr="009B4976">
      <w:rPr>
        <w:rFonts w:ascii="Arial" w:hAnsi="Arial" w:cs="Arial"/>
        <w:sz w:val="18"/>
        <w:szCs w:val="18"/>
        <w:lang w:val="en-GB"/>
      </w:rPr>
      <w:t>.assessment</w:t>
    </w:r>
    <w:r w:rsidR="00076A9F">
      <w:rPr>
        <w:rFonts w:ascii="Arial" w:hAnsi="Arial" w:cs="Arial"/>
        <w:sz w:val="18"/>
        <w:szCs w:val="18"/>
        <w:lang w:val="en-GB"/>
      </w:rPr>
      <w:t>9</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69CF" w14:textId="77777777" w:rsidR="00666C67" w:rsidRDefault="00666C67" w:rsidP="00241B44">
      <w:r>
        <w:separator/>
      </w:r>
    </w:p>
  </w:footnote>
  <w:footnote w:type="continuationSeparator" w:id="0">
    <w:p w14:paraId="16BAAE9F" w14:textId="77777777" w:rsidR="00666C67" w:rsidRDefault="00666C6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9"/>
  </w:num>
  <w:num w:numId="5">
    <w:abstractNumId w:val="17"/>
  </w:num>
  <w:num w:numId="6">
    <w:abstractNumId w:val="18"/>
  </w:num>
  <w:num w:numId="7">
    <w:abstractNumId w:val="19"/>
  </w:num>
  <w:num w:numId="8">
    <w:abstractNumId w:val="15"/>
  </w:num>
  <w:num w:numId="9">
    <w:abstractNumId w:val="11"/>
  </w:num>
  <w:num w:numId="10">
    <w:abstractNumId w:val="3"/>
  </w:num>
  <w:num w:numId="11">
    <w:abstractNumId w:val="6"/>
  </w:num>
  <w:num w:numId="12">
    <w:abstractNumId w:val="5"/>
  </w:num>
  <w:num w:numId="13">
    <w:abstractNumId w:val="14"/>
  </w:num>
  <w:num w:numId="14">
    <w:abstractNumId w:val="2"/>
  </w:num>
  <w:num w:numId="15">
    <w:abstractNumId w:val="8"/>
  </w:num>
  <w:num w:numId="16">
    <w:abstractNumId w:val="13"/>
  </w:num>
  <w:num w:numId="17">
    <w:abstractNumId w:val="0"/>
  </w:num>
  <w:num w:numId="18">
    <w:abstractNumId w:val="16"/>
  </w:num>
  <w:num w:numId="19">
    <w:abstractNumId w:val="12"/>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9C4"/>
    <w:rsid w:val="00007BF3"/>
    <w:rsid w:val="00010605"/>
    <w:rsid w:val="00010BA0"/>
    <w:rsid w:val="00011067"/>
    <w:rsid w:val="00020557"/>
    <w:rsid w:val="00021FC2"/>
    <w:rsid w:val="000250C7"/>
    <w:rsid w:val="00026F16"/>
    <w:rsid w:val="000360E1"/>
    <w:rsid w:val="00037621"/>
    <w:rsid w:val="00037BA9"/>
    <w:rsid w:val="00044D46"/>
    <w:rsid w:val="00045088"/>
    <w:rsid w:val="00045904"/>
    <w:rsid w:val="00047A13"/>
    <w:rsid w:val="000502FD"/>
    <w:rsid w:val="00050DDD"/>
    <w:rsid w:val="00065166"/>
    <w:rsid w:val="000756F8"/>
    <w:rsid w:val="00076A9F"/>
    <w:rsid w:val="00082609"/>
    <w:rsid w:val="000851CC"/>
    <w:rsid w:val="00087F21"/>
    <w:rsid w:val="00093BE8"/>
    <w:rsid w:val="000A295C"/>
    <w:rsid w:val="000A407B"/>
    <w:rsid w:val="000A46AA"/>
    <w:rsid w:val="000A68ED"/>
    <w:rsid w:val="000B14BB"/>
    <w:rsid w:val="000B5FF1"/>
    <w:rsid w:val="000B609F"/>
    <w:rsid w:val="000C3A2C"/>
    <w:rsid w:val="000D3D2D"/>
    <w:rsid w:val="000D455D"/>
    <w:rsid w:val="000D55A8"/>
    <w:rsid w:val="000E2ED4"/>
    <w:rsid w:val="000E4841"/>
    <w:rsid w:val="000E5741"/>
    <w:rsid w:val="000F1677"/>
    <w:rsid w:val="000F3D6C"/>
    <w:rsid w:val="000F5F97"/>
    <w:rsid w:val="00101707"/>
    <w:rsid w:val="00102CC9"/>
    <w:rsid w:val="00104182"/>
    <w:rsid w:val="0010593A"/>
    <w:rsid w:val="00110A08"/>
    <w:rsid w:val="0011473D"/>
    <w:rsid w:val="00114BBD"/>
    <w:rsid w:val="00115586"/>
    <w:rsid w:val="00115C85"/>
    <w:rsid w:val="00123855"/>
    <w:rsid w:val="00125C5E"/>
    <w:rsid w:val="00126A4D"/>
    <w:rsid w:val="00132584"/>
    <w:rsid w:val="001358F8"/>
    <w:rsid w:val="0014171F"/>
    <w:rsid w:val="0014622C"/>
    <w:rsid w:val="001471A8"/>
    <w:rsid w:val="001478F8"/>
    <w:rsid w:val="00152348"/>
    <w:rsid w:val="0015456D"/>
    <w:rsid w:val="00155FA2"/>
    <w:rsid w:val="001563C3"/>
    <w:rsid w:val="00161F1B"/>
    <w:rsid w:val="00162829"/>
    <w:rsid w:val="00180548"/>
    <w:rsid w:val="00180AC4"/>
    <w:rsid w:val="00180CCE"/>
    <w:rsid w:val="0018267A"/>
    <w:rsid w:val="00182779"/>
    <w:rsid w:val="001830DF"/>
    <w:rsid w:val="00195787"/>
    <w:rsid w:val="001966D9"/>
    <w:rsid w:val="00197828"/>
    <w:rsid w:val="001A007A"/>
    <w:rsid w:val="001A7E9A"/>
    <w:rsid w:val="001B0F70"/>
    <w:rsid w:val="001B5016"/>
    <w:rsid w:val="001C45FC"/>
    <w:rsid w:val="001D0469"/>
    <w:rsid w:val="001D29C0"/>
    <w:rsid w:val="001D4862"/>
    <w:rsid w:val="001E172D"/>
    <w:rsid w:val="001E25B9"/>
    <w:rsid w:val="001E3AEB"/>
    <w:rsid w:val="001E49E0"/>
    <w:rsid w:val="001E7B5A"/>
    <w:rsid w:val="001F7412"/>
    <w:rsid w:val="0020090A"/>
    <w:rsid w:val="00202DFE"/>
    <w:rsid w:val="0020725B"/>
    <w:rsid w:val="00207349"/>
    <w:rsid w:val="002110F1"/>
    <w:rsid w:val="002173DB"/>
    <w:rsid w:val="0022120D"/>
    <w:rsid w:val="002356EA"/>
    <w:rsid w:val="0024116D"/>
    <w:rsid w:val="00241B44"/>
    <w:rsid w:val="00241FA3"/>
    <w:rsid w:val="00245EFB"/>
    <w:rsid w:val="002460B1"/>
    <w:rsid w:val="0025386E"/>
    <w:rsid w:val="00254AA0"/>
    <w:rsid w:val="002577C4"/>
    <w:rsid w:val="002638B0"/>
    <w:rsid w:val="00264D05"/>
    <w:rsid w:val="0026647A"/>
    <w:rsid w:val="002668D3"/>
    <w:rsid w:val="0027299F"/>
    <w:rsid w:val="0027424E"/>
    <w:rsid w:val="00284EBE"/>
    <w:rsid w:val="002903A7"/>
    <w:rsid w:val="0029160A"/>
    <w:rsid w:val="0029433F"/>
    <w:rsid w:val="00294829"/>
    <w:rsid w:val="002957AB"/>
    <w:rsid w:val="0029690F"/>
    <w:rsid w:val="00297C8A"/>
    <w:rsid w:val="002A2A60"/>
    <w:rsid w:val="002A37BB"/>
    <w:rsid w:val="002A7B9F"/>
    <w:rsid w:val="002B1C45"/>
    <w:rsid w:val="002B23EA"/>
    <w:rsid w:val="002C13C8"/>
    <w:rsid w:val="002C2C02"/>
    <w:rsid w:val="002C3547"/>
    <w:rsid w:val="002C5F61"/>
    <w:rsid w:val="002D0021"/>
    <w:rsid w:val="002D299D"/>
    <w:rsid w:val="002D3473"/>
    <w:rsid w:val="002D6817"/>
    <w:rsid w:val="002E2B14"/>
    <w:rsid w:val="002F1956"/>
    <w:rsid w:val="002F3440"/>
    <w:rsid w:val="002F75A3"/>
    <w:rsid w:val="00303C2F"/>
    <w:rsid w:val="003144EF"/>
    <w:rsid w:val="00317099"/>
    <w:rsid w:val="00323ECF"/>
    <w:rsid w:val="00326292"/>
    <w:rsid w:val="00326415"/>
    <w:rsid w:val="00330937"/>
    <w:rsid w:val="00330F31"/>
    <w:rsid w:val="00334648"/>
    <w:rsid w:val="0033768C"/>
    <w:rsid w:val="00337938"/>
    <w:rsid w:val="00337A76"/>
    <w:rsid w:val="00340769"/>
    <w:rsid w:val="00341AA6"/>
    <w:rsid w:val="00352C34"/>
    <w:rsid w:val="00361A0A"/>
    <w:rsid w:val="0036396D"/>
    <w:rsid w:val="00364836"/>
    <w:rsid w:val="0036565C"/>
    <w:rsid w:val="0036625E"/>
    <w:rsid w:val="0037465A"/>
    <w:rsid w:val="00382C98"/>
    <w:rsid w:val="0038533C"/>
    <w:rsid w:val="00386568"/>
    <w:rsid w:val="00390B57"/>
    <w:rsid w:val="00391384"/>
    <w:rsid w:val="00393F29"/>
    <w:rsid w:val="003948D5"/>
    <w:rsid w:val="00396821"/>
    <w:rsid w:val="00397D3A"/>
    <w:rsid w:val="003A051E"/>
    <w:rsid w:val="003A29B7"/>
    <w:rsid w:val="003A356C"/>
    <w:rsid w:val="003A42B1"/>
    <w:rsid w:val="003A438F"/>
    <w:rsid w:val="003B0660"/>
    <w:rsid w:val="003B170F"/>
    <w:rsid w:val="003B3C5F"/>
    <w:rsid w:val="003B409A"/>
    <w:rsid w:val="003B48AD"/>
    <w:rsid w:val="003C4471"/>
    <w:rsid w:val="003D0A6D"/>
    <w:rsid w:val="003E0B16"/>
    <w:rsid w:val="003E67D1"/>
    <w:rsid w:val="00403FEE"/>
    <w:rsid w:val="00404329"/>
    <w:rsid w:val="004051A2"/>
    <w:rsid w:val="00405317"/>
    <w:rsid w:val="00405DC1"/>
    <w:rsid w:val="00415F1F"/>
    <w:rsid w:val="0042108F"/>
    <w:rsid w:val="004233A0"/>
    <w:rsid w:val="0042466C"/>
    <w:rsid w:val="00426BB0"/>
    <w:rsid w:val="004305AD"/>
    <w:rsid w:val="00430FED"/>
    <w:rsid w:val="00434A8C"/>
    <w:rsid w:val="00434DA4"/>
    <w:rsid w:val="00437297"/>
    <w:rsid w:val="004375E1"/>
    <w:rsid w:val="00444284"/>
    <w:rsid w:val="00445CE6"/>
    <w:rsid w:val="00447FAF"/>
    <w:rsid w:val="00450B1B"/>
    <w:rsid w:val="00452C6A"/>
    <w:rsid w:val="004534C2"/>
    <w:rsid w:val="0045446F"/>
    <w:rsid w:val="0045683E"/>
    <w:rsid w:val="00456AA0"/>
    <w:rsid w:val="00461A0E"/>
    <w:rsid w:val="00477C72"/>
    <w:rsid w:val="004807F1"/>
    <w:rsid w:val="00491675"/>
    <w:rsid w:val="00493855"/>
    <w:rsid w:val="004948AB"/>
    <w:rsid w:val="00495E79"/>
    <w:rsid w:val="004A2D83"/>
    <w:rsid w:val="004A57DD"/>
    <w:rsid w:val="004A7B51"/>
    <w:rsid w:val="004A7D71"/>
    <w:rsid w:val="004A7EF3"/>
    <w:rsid w:val="004B11FD"/>
    <w:rsid w:val="004B23A2"/>
    <w:rsid w:val="004C2D61"/>
    <w:rsid w:val="004D1A5A"/>
    <w:rsid w:val="004D2C62"/>
    <w:rsid w:val="004D2FFF"/>
    <w:rsid w:val="004D3721"/>
    <w:rsid w:val="004D64F9"/>
    <w:rsid w:val="004E3A6B"/>
    <w:rsid w:val="004E622C"/>
    <w:rsid w:val="004E65F4"/>
    <w:rsid w:val="004F50CD"/>
    <w:rsid w:val="004F5FDF"/>
    <w:rsid w:val="00501270"/>
    <w:rsid w:val="005177FE"/>
    <w:rsid w:val="0051782A"/>
    <w:rsid w:val="0052263B"/>
    <w:rsid w:val="00524728"/>
    <w:rsid w:val="005331CA"/>
    <w:rsid w:val="00537970"/>
    <w:rsid w:val="00540E3A"/>
    <w:rsid w:val="00544127"/>
    <w:rsid w:val="00544CF3"/>
    <w:rsid w:val="005463A9"/>
    <w:rsid w:val="00553EAD"/>
    <w:rsid w:val="00553EB2"/>
    <w:rsid w:val="00560534"/>
    <w:rsid w:val="005620B5"/>
    <w:rsid w:val="0056391B"/>
    <w:rsid w:val="005650E2"/>
    <w:rsid w:val="00566661"/>
    <w:rsid w:val="00567AD7"/>
    <w:rsid w:val="005704FC"/>
    <w:rsid w:val="00575B2D"/>
    <w:rsid w:val="005800A4"/>
    <w:rsid w:val="00581EAD"/>
    <w:rsid w:val="00582C77"/>
    <w:rsid w:val="005833D0"/>
    <w:rsid w:val="005846F3"/>
    <w:rsid w:val="00585E8F"/>
    <w:rsid w:val="0058622F"/>
    <w:rsid w:val="00586534"/>
    <w:rsid w:val="005910C4"/>
    <w:rsid w:val="00592DFB"/>
    <w:rsid w:val="00592F82"/>
    <w:rsid w:val="005973BC"/>
    <w:rsid w:val="005A0CCA"/>
    <w:rsid w:val="005A6496"/>
    <w:rsid w:val="005A6FF2"/>
    <w:rsid w:val="005A726D"/>
    <w:rsid w:val="005B67AC"/>
    <w:rsid w:val="005B6A47"/>
    <w:rsid w:val="005B79F4"/>
    <w:rsid w:val="005C155B"/>
    <w:rsid w:val="005D16DD"/>
    <w:rsid w:val="005D43E0"/>
    <w:rsid w:val="005D58A3"/>
    <w:rsid w:val="005E1B79"/>
    <w:rsid w:val="005E5234"/>
    <w:rsid w:val="005E6076"/>
    <w:rsid w:val="005E7008"/>
    <w:rsid w:val="005F026D"/>
    <w:rsid w:val="005F2AEA"/>
    <w:rsid w:val="005F2D0B"/>
    <w:rsid w:val="005F4B31"/>
    <w:rsid w:val="006071B5"/>
    <w:rsid w:val="00610388"/>
    <w:rsid w:val="00610AC7"/>
    <w:rsid w:val="00612CA5"/>
    <w:rsid w:val="006134B2"/>
    <w:rsid w:val="006153EC"/>
    <w:rsid w:val="006164E5"/>
    <w:rsid w:val="00616A21"/>
    <w:rsid w:val="00621505"/>
    <w:rsid w:val="00621A17"/>
    <w:rsid w:val="00627CC9"/>
    <w:rsid w:val="00627E7B"/>
    <w:rsid w:val="00630542"/>
    <w:rsid w:val="00632E44"/>
    <w:rsid w:val="00634622"/>
    <w:rsid w:val="00636808"/>
    <w:rsid w:val="00641515"/>
    <w:rsid w:val="00654C2F"/>
    <w:rsid w:val="00657087"/>
    <w:rsid w:val="00661E03"/>
    <w:rsid w:val="006639DB"/>
    <w:rsid w:val="006661EF"/>
    <w:rsid w:val="00666C67"/>
    <w:rsid w:val="00677AEB"/>
    <w:rsid w:val="00680EF2"/>
    <w:rsid w:val="00683A5A"/>
    <w:rsid w:val="00684D42"/>
    <w:rsid w:val="00687A1D"/>
    <w:rsid w:val="00697EA1"/>
    <w:rsid w:val="006A1258"/>
    <w:rsid w:val="006A2646"/>
    <w:rsid w:val="006A6530"/>
    <w:rsid w:val="006B04C1"/>
    <w:rsid w:val="006B3664"/>
    <w:rsid w:val="006B435A"/>
    <w:rsid w:val="006B4C64"/>
    <w:rsid w:val="006D6BD5"/>
    <w:rsid w:val="006E426F"/>
    <w:rsid w:val="006E481A"/>
    <w:rsid w:val="006E5298"/>
    <w:rsid w:val="006F0969"/>
    <w:rsid w:val="006F3C06"/>
    <w:rsid w:val="006F4A78"/>
    <w:rsid w:val="006F4B5E"/>
    <w:rsid w:val="006F734A"/>
    <w:rsid w:val="00700D83"/>
    <w:rsid w:val="00701CCC"/>
    <w:rsid w:val="00704852"/>
    <w:rsid w:val="007074E9"/>
    <w:rsid w:val="007113AA"/>
    <w:rsid w:val="00713DA4"/>
    <w:rsid w:val="00714BF1"/>
    <w:rsid w:val="007178F5"/>
    <w:rsid w:val="00720C88"/>
    <w:rsid w:val="00721383"/>
    <w:rsid w:val="0073158B"/>
    <w:rsid w:val="007333CC"/>
    <w:rsid w:val="0073399A"/>
    <w:rsid w:val="00736B1E"/>
    <w:rsid w:val="00740DAD"/>
    <w:rsid w:val="007425B0"/>
    <w:rsid w:val="0074403B"/>
    <w:rsid w:val="00747024"/>
    <w:rsid w:val="00751516"/>
    <w:rsid w:val="007603F5"/>
    <w:rsid w:val="00764DB0"/>
    <w:rsid w:val="00765BF1"/>
    <w:rsid w:val="0076764D"/>
    <w:rsid w:val="0077498C"/>
    <w:rsid w:val="007809BC"/>
    <w:rsid w:val="00781E4A"/>
    <w:rsid w:val="00784128"/>
    <w:rsid w:val="00787BCC"/>
    <w:rsid w:val="00793173"/>
    <w:rsid w:val="0079384B"/>
    <w:rsid w:val="00794A92"/>
    <w:rsid w:val="007A2A33"/>
    <w:rsid w:val="007A2F41"/>
    <w:rsid w:val="007B3F1B"/>
    <w:rsid w:val="007B5C89"/>
    <w:rsid w:val="007C1FCC"/>
    <w:rsid w:val="007C6201"/>
    <w:rsid w:val="007D397C"/>
    <w:rsid w:val="007D7C92"/>
    <w:rsid w:val="007E1154"/>
    <w:rsid w:val="007E6BA4"/>
    <w:rsid w:val="007F297C"/>
    <w:rsid w:val="007F35B1"/>
    <w:rsid w:val="007F41F8"/>
    <w:rsid w:val="007F659B"/>
    <w:rsid w:val="0080454E"/>
    <w:rsid w:val="00804C32"/>
    <w:rsid w:val="00806302"/>
    <w:rsid w:val="00807119"/>
    <w:rsid w:val="008112F0"/>
    <w:rsid w:val="00815328"/>
    <w:rsid w:val="0082483F"/>
    <w:rsid w:val="008279C0"/>
    <w:rsid w:val="00841D99"/>
    <w:rsid w:val="00844EC0"/>
    <w:rsid w:val="00867701"/>
    <w:rsid w:val="008723F3"/>
    <w:rsid w:val="00876F56"/>
    <w:rsid w:val="00881DE6"/>
    <w:rsid w:val="008829B5"/>
    <w:rsid w:val="008837A6"/>
    <w:rsid w:val="008837CF"/>
    <w:rsid w:val="0089145D"/>
    <w:rsid w:val="00893E3D"/>
    <w:rsid w:val="00896196"/>
    <w:rsid w:val="008A20B6"/>
    <w:rsid w:val="008A4DF2"/>
    <w:rsid w:val="008A6CFE"/>
    <w:rsid w:val="008A79EC"/>
    <w:rsid w:val="008B2FDD"/>
    <w:rsid w:val="008B3FF1"/>
    <w:rsid w:val="008B5333"/>
    <w:rsid w:val="008B6223"/>
    <w:rsid w:val="008C4CD6"/>
    <w:rsid w:val="008C66E0"/>
    <w:rsid w:val="008E3339"/>
    <w:rsid w:val="008F20FC"/>
    <w:rsid w:val="008F23BE"/>
    <w:rsid w:val="008F5FFE"/>
    <w:rsid w:val="00905A43"/>
    <w:rsid w:val="00912C79"/>
    <w:rsid w:val="009168BA"/>
    <w:rsid w:val="00920BED"/>
    <w:rsid w:val="00921B8C"/>
    <w:rsid w:val="009419E6"/>
    <w:rsid w:val="00942123"/>
    <w:rsid w:val="0095207B"/>
    <w:rsid w:val="00962045"/>
    <w:rsid w:val="00965A10"/>
    <w:rsid w:val="00980E61"/>
    <w:rsid w:val="00985102"/>
    <w:rsid w:val="00991428"/>
    <w:rsid w:val="00992676"/>
    <w:rsid w:val="00993311"/>
    <w:rsid w:val="009954B2"/>
    <w:rsid w:val="00995B1D"/>
    <w:rsid w:val="00996691"/>
    <w:rsid w:val="009A17FB"/>
    <w:rsid w:val="009A2357"/>
    <w:rsid w:val="009A3AB7"/>
    <w:rsid w:val="009B0723"/>
    <w:rsid w:val="009B07AD"/>
    <w:rsid w:val="009B0883"/>
    <w:rsid w:val="009B15E2"/>
    <w:rsid w:val="009B4976"/>
    <w:rsid w:val="009B7597"/>
    <w:rsid w:val="009C0B8E"/>
    <w:rsid w:val="009C1BC8"/>
    <w:rsid w:val="009C2442"/>
    <w:rsid w:val="009C37AB"/>
    <w:rsid w:val="009D0341"/>
    <w:rsid w:val="009D0811"/>
    <w:rsid w:val="009D0EE1"/>
    <w:rsid w:val="009D4BF1"/>
    <w:rsid w:val="009E2AEB"/>
    <w:rsid w:val="009E2E27"/>
    <w:rsid w:val="009E45DF"/>
    <w:rsid w:val="009E4DE3"/>
    <w:rsid w:val="009F275E"/>
    <w:rsid w:val="00A047EE"/>
    <w:rsid w:val="00A145F6"/>
    <w:rsid w:val="00A2274A"/>
    <w:rsid w:val="00A235B7"/>
    <w:rsid w:val="00A27A7A"/>
    <w:rsid w:val="00A34ABE"/>
    <w:rsid w:val="00A37300"/>
    <w:rsid w:val="00A407EF"/>
    <w:rsid w:val="00A40CCE"/>
    <w:rsid w:val="00A4277C"/>
    <w:rsid w:val="00A46B4C"/>
    <w:rsid w:val="00A5117B"/>
    <w:rsid w:val="00A56D34"/>
    <w:rsid w:val="00A60074"/>
    <w:rsid w:val="00A632C1"/>
    <w:rsid w:val="00A639E5"/>
    <w:rsid w:val="00A6627C"/>
    <w:rsid w:val="00A71019"/>
    <w:rsid w:val="00A75854"/>
    <w:rsid w:val="00A76541"/>
    <w:rsid w:val="00A81029"/>
    <w:rsid w:val="00A81774"/>
    <w:rsid w:val="00A845F5"/>
    <w:rsid w:val="00A8633F"/>
    <w:rsid w:val="00A87D76"/>
    <w:rsid w:val="00A9112D"/>
    <w:rsid w:val="00A96489"/>
    <w:rsid w:val="00AA2E5B"/>
    <w:rsid w:val="00AB2425"/>
    <w:rsid w:val="00AB685C"/>
    <w:rsid w:val="00AB6C2D"/>
    <w:rsid w:val="00AC08F7"/>
    <w:rsid w:val="00AC2807"/>
    <w:rsid w:val="00AC3839"/>
    <w:rsid w:val="00AC3F5A"/>
    <w:rsid w:val="00AC4C7E"/>
    <w:rsid w:val="00AC50A8"/>
    <w:rsid w:val="00AC6081"/>
    <w:rsid w:val="00AC7082"/>
    <w:rsid w:val="00AD4BE8"/>
    <w:rsid w:val="00AD54A6"/>
    <w:rsid w:val="00AD77CF"/>
    <w:rsid w:val="00AF228E"/>
    <w:rsid w:val="00B016A8"/>
    <w:rsid w:val="00B01A55"/>
    <w:rsid w:val="00B06A9C"/>
    <w:rsid w:val="00B14819"/>
    <w:rsid w:val="00B15E2F"/>
    <w:rsid w:val="00B17AA9"/>
    <w:rsid w:val="00B43245"/>
    <w:rsid w:val="00B44713"/>
    <w:rsid w:val="00B457CB"/>
    <w:rsid w:val="00B510DD"/>
    <w:rsid w:val="00B51B95"/>
    <w:rsid w:val="00B55D96"/>
    <w:rsid w:val="00B56103"/>
    <w:rsid w:val="00B64929"/>
    <w:rsid w:val="00B736DF"/>
    <w:rsid w:val="00B743D6"/>
    <w:rsid w:val="00B74FBD"/>
    <w:rsid w:val="00B77F46"/>
    <w:rsid w:val="00B82586"/>
    <w:rsid w:val="00B829A3"/>
    <w:rsid w:val="00B83011"/>
    <w:rsid w:val="00B858E4"/>
    <w:rsid w:val="00B86DB1"/>
    <w:rsid w:val="00B87869"/>
    <w:rsid w:val="00B9639B"/>
    <w:rsid w:val="00BA1E4F"/>
    <w:rsid w:val="00BA6BD5"/>
    <w:rsid w:val="00BA7E39"/>
    <w:rsid w:val="00BB04BD"/>
    <w:rsid w:val="00BB0F2B"/>
    <w:rsid w:val="00BC285B"/>
    <w:rsid w:val="00BC2BDA"/>
    <w:rsid w:val="00BC629D"/>
    <w:rsid w:val="00BD1D65"/>
    <w:rsid w:val="00BE4FF3"/>
    <w:rsid w:val="00BF50F7"/>
    <w:rsid w:val="00C02F29"/>
    <w:rsid w:val="00C10B1A"/>
    <w:rsid w:val="00C17718"/>
    <w:rsid w:val="00C20AFE"/>
    <w:rsid w:val="00C22A25"/>
    <w:rsid w:val="00C26529"/>
    <w:rsid w:val="00C35671"/>
    <w:rsid w:val="00C35B77"/>
    <w:rsid w:val="00C376EB"/>
    <w:rsid w:val="00C43467"/>
    <w:rsid w:val="00C43CCB"/>
    <w:rsid w:val="00C46A92"/>
    <w:rsid w:val="00C46EC1"/>
    <w:rsid w:val="00C52796"/>
    <w:rsid w:val="00C53E2C"/>
    <w:rsid w:val="00C550C8"/>
    <w:rsid w:val="00C55824"/>
    <w:rsid w:val="00C56B61"/>
    <w:rsid w:val="00C606C3"/>
    <w:rsid w:val="00C620F4"/>
    <w:rsid w:val="00C72848"/>
    <w:rsid w:val="00C7736C"/>
    <w:rsid w:val="00C8042A"/>
    <w:rsid w:val="00C82D87"/>
    <w:rsid w:val="00C830EE"/>
    <w:rsid w:val="00C8712A"/>
    <w:rsid w:val="00C902C8"/>
    <w:rsid w:val="00C919D1"/>
    <w:rsid w:val="00C94490"/>
    <w:rsid w:val="00C963D3"/>
    <w:rsid w:val="00CB1983"/>
    <w:rsid w:val="00CB2CBB"/>
    <w:rsid w:val="00CB634F"/>
    <w:rsid w:val="00CB7CAC"/>
    <w:rsid w:val="00CC5335"/>
    <w:rsid w:val="00CC5BA4"/>
    <w:rsid w:val="00CD4998"/>
    <w:rsid w:val="00CD78F1"/>
    <w:rsid w:val="00CE1035"/>
    <w:rsid w:val="00CE25B9"/>
    <w:rsid w:val="00CE386E"/>
    <w:rsid w:val="00CE5CC1"/>
    <w:rsid w:val="00CE6E50"/>
    <w:rsid w:val="00CF03DA"/>
    <w:rsid w:val="00CF2630"/>
    <w:rsid w:val="00CF2819"/>
    <w:rsid w:val="00CF4F9D"/>
    <w:rsid w:val="00CF70DC"/>
    <w:rsid w:val="00D01E7E"/>
    <w:rsid w:val="00D021F0"/>
    <w:rsid w:val="00D148DC"/>
    <w:rsid w:val="00D17FDC"/>
    <w:rsid w:val="00D21D8C"/>
    <w:rsid w:val="00D266CE"/>
    <w:rsid w:val="00D369D2"/>
    <w:rsid w:val="00D37E47"/>
    <w:rsid w:val="00D51660"/>
    <w:rsid w:val="00D53719"/>
    <w:rsid w:val="00D6238D"/>
    <w:rsid w:val="00D63EFD"/>
    <w:rsid w:val="00D6599D"/>
    <w:rsid w:val="00D84752"/>
    <w:rsid w:val="00D86B3B"/>
    <w:rsid w:val="00D8748A"/>
    <w:rsid w:val="00D93196"/>
    <w:rsid w:val="00D95C39"/>
    <w:rsid w:val="00DA0DC0"/>
    <w:rsid w:val="00DB243C"/>
    <w:rsid w:val="00DB482A"/>
    <w:rsid w:val="00DB50FB"/>
    <w:rsid w:val="00DB52B8"/>
    <w:rsid w:val="00DB56F2"/>
    <w:rsid w:val="00DB6EF5"/>
    <w:rsid w:val="00DC08F7"/>
    <w:rsid w:val="00DC3089"/>
    <w:rsid w:val="00DC4420"/>
    <w:rsid w:val="00DC7F76"/>
    <w:rsid w:val="00DD0802"/>
    <w:rsid w:val="00DD2598"/>
    <w:rsid w:val="00DD2E11"/>
    <w:rsid w:val="00DE01ED"/>
    <w:rsid w:val="00DE03AF"/>
    <w:rsid w:val="00DE121C"/>
    <w:rsid w:val="00DE6633"/>
    <w:rsid w:val="00DF701B"/>
    <w:rsid w:val="00DF75F8"/>
    <w:rsid w:val="00DF7A3A"/>
    <w:rsid w:val="00E00C00"/>
    <w:rsid w:val="00E01109"/>
    <w:rsid w:val="00E07C5A"/>
    <w:rsid w:val="00E14BDC"/>
    <w:rsid w:val="00E15BA9"/>
    <w:rsid w:val="00E26E19"/>
    <w:rsid w:val="00E27191"/>
    <w:rsid w:val="00E31DF3"/>
    <w:rsid w:val="00E32DD2"/>
    <w:rsid w:val="00E37E99"/>
    <w:rsid w:val="00E42AAD"/>
    <w:rsid w:val="00E450A4"/>
    <w:rsid w:val="00E506BE"/>
    <w:rsid w:val="00E55547"/>
    <w:rsid w:val="00E6302B"/>
    <w:rsid w:val="00E638E4"/>
    <w:rsid w:val="00E6452F"/>
    <w:rsid w:val="00E64F45"/>
    <w:rsid w:val="00E6742D"/>
    <w:rsid w:val="00E71CB0"/>
    <w:rsid w:val="00E77C3D"/>
    <w:rsid w:val="00E90991"/>
    <w:rsid w:val="00E909F0"/>
    <w:rsid w:val="00E90D47"/>
    <w:rsid w:val="00E93993"/>
    <w:rsid w:val="00E9597C"/>
    <w:rsid w:val="00EA0913"/>
    <w:rsid w:val="00EA20A9"/>
    <w:rsid w:val="00EA5B00"/>
    <w:rsid w:val="00EB1034"/>
    <w:rsid w:val="00EB146B"/>
    <w:rsid w:val="00EB45AC"/>
    <w:rsid w:val="00EB6801"/>
    <w:rsid w:val="00EC441F"/>
    <w:rsid w:val="00EC4755"/>
    <w:rsid w:val="00ED0BC4"/>
    <w:rsid w:val="00ED2CFF"/>
    <w:rsid w:val="00ED447D"/>
    <w:rsid w:val="00ED68C3"/>
    <w:rsid w:val="00EE15DA"/>
    <w:rsid w:val="00EE4971"/>
    <w:rsid w:val="00EE6CB0"/>
    <w:rsid w:val="00EF090E"/>
    <w:rsid w:val="00EF1E8C"/>
    <w:rsid w:val="00EF5572"/>
    <w:rsid w:val="00F0080E"/>
    <w:rsid w:val="00F01639"/>
    <w:rsid w:val="00F033DA"/>
    <w:rsid w:val="00F13691"/>
    <w:rsid w:val="00F13FB1"/>
    <w:rsid w:val="00F146C0"/>
    <w:rsid w:val="00F1604F"/>
    <w:rsid w:val="00F27CD8"/>
    <w:rsid w:val="00F30351"/>
    <w:rsid w:val="00F3323E"/>
    <w:rsid w:val="00F341F4"/>
    <w:rsid w:val="00F34F9D"/>
    <w:rsid w:val="00F35CCE"/>
    <w:rsid w:val="00F35EBF"/>
    <w:rsid w:val="00F43023"/>
    <w:rsid w:val="00F5524B"/>
    <w:rsid w:val="00F60538"/>
    <w:rsid w:val="00F61DD2"/>
    <w:rsid w:val="00F63AD0"/>
    <w:rsid w:val="00F65694"/>
    <w:rsid w:val="00F667FB"/>
    <w:rsid w:val="00F66AFF"/>
    <w:rsid w:val="00F67DF6"/>
    <w:rsid w:val="00F71433"/>
    <w:rsid w:val="00F83703"/>
    <w:rsid w:val="00F85A93"/>
    <w:rsid w:val="00F97564"/>
    <w:rsid w:val="00F97C5B"/>
    <w:rsid w:val="00FA3D50"/>
    <w:rsid w:val="00FA6A83"/>
    <w:rsid w:val="00FB28A4"/>
    <w:rsid w:val="00FB4283"/>
    <w:rsid w:val="00FB5522"/>
    <w:rsid w:val="00FB779E"/>
    <w:rsid w:val="00FB7FBD"/>
    <w:rsid w:val="00FC374A"/>
    <w:rsid w:val="00FC74C8"/>
    <w:rsid w:val="00FC7B47"/>
    <w:rsid w:val="00FD035C"/>
    <w:rsid w:val="00FD1A35"/>
    <w:rsid w:val="00FD23E1"/>
    <w:rsid w:val="00FD2EA4"/>
    <w:rsid w:val="00FD36C5"/>
    <w:rsid w:val="00FD6310"/>
    <w:rsid w:val="00FD71EC"/>
    <w:rsid w:val="00FD7274"/>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8BAF-AA79-4648-B236-C8B5DCA7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11</Pages>
  <Words>4261</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Marcia Mcfarlane</cp:lastModifiedBy>
  <cp:revision>237</cp:revision>
  <cp:lastPrinted>2019-08-27T05:42:00Z</cp:lastPrinted>
  <dcterms:created xsi:type="dcterms:W3CDTF">2020-12-11T11:56:00Z</dcterms:created>
  <dcterms:modified xsi:type="dcterms:W3CDTF">2021-06-20T03:17:00Z</dcterms:modified>
</cp:coreProperties>
</file>