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6F25A73" w:rsidR="0011473D" w:rsidRDefault="00C56B6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w:t>
      </w:r>
      <w:r w:rsidR="002356EA">
        <w:rPr>
          <w:rFonts w:ascii="Arial" w:hAnsi="Arial" w:cs="Arial"/>
          <w:b/>
          <w:color w:val="000000" w:themeColor="text1"/>
          <w:sz w:val="28"/>
          <w:szCs w:val="28"/>
          <w:lang w:val="en-GB"/>
        </w:rPr>
        <w:t>B</w:t>
      </w:r>
    </w:p>
    <w:p w14:paraId="1DCE41A2" w14:textId="0CB8A9C3" w:rsidR="002638B0" w:rsidRDefault="002638B0"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AF811C2" w:rsidR="002638B0" w:rsidRPr="00996691" w:rsidRDefault="0099669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 xml:space="preserve">INSOLVENCY SYSTEM OF THE UNITED </w:t>
      </w:r>
      <w:r w:rsidR="002356EA">
        <w:rPr>
          <w:rFonts w:ascii="Arial" w:hAnsi="Arial" w:cs="Arial"/>
          <w:b/>
          <w:color w:val="000000" w:themeColor="text1"/>
          <w:sz w:val="24"/>
          <w:lang w:val="en-GB"/>
        </w:rPr>
        <w:t>KINGDOM</w:t>
      </w:r>
      <w:r w:rsidR="007A5171">
        <w:rPr>
          <w:rFonts w:ascii="Arial" w:hAnsi="Arial" w:cs="Arial"/>
          <w:b/>
          <w:color w:val="000000" w:themeColor="text1"/>
          <w:sz w:val="24"/>
          <w:lang w:val="en-GB"/>
        </w:rPr>
        <w:t xml:space="preserve"> (ENGLAND AND WALES)</w:t>
      </w:r>
    </w:p>
    <w:p w14:paraId="5E119630" w14:textId="77777777" w:rsidR="00434A8C" w:rsidRPr="007C6201"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65F7EBF4"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 xml:space="preserve">[student </w:t>
      </w:r>
      <w:proofErr w:type="gramStart"/>
      <w:r w:rsidRPr="00BF1C6F">
        <w:rPr>
          <w:rFonts w:ascii="Arial" w:hAnsi="Arial" w:cs="Arial"/>
          <w:b/>
          <w:bCs/>
          <w:sz w:val="22"/>
          <w:szCs w:val="22"/>
          <w:lang w:val="en-GB" w:eastAsia="en-GB"/>
        </w:rPr>
        <w:t>number.assessment</w:t>
      </w:r>
      <w:proofErr w:type="gramEnd"/>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2508EF22"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407E800"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3151C75" w:rsidR="00867701" w:rsidRDefault="00FA12B9" w:rsidP="00C55824">
      <w:pPr>
        <w:jc w:val="both"/>
        <w:rPr>
          <w:rFonts w:ascii="Arial" w:hAnsi="Arial" w:cs="Arial"/>
          <w:sz w:val="22"/>
          <w:szCs w:val="22"/>
          <w:lang w:val="en-GB"/>
        </w:rPr>
      </w:pPr>
      <w:r>
        <w:rPr>
          <w:rFonts w:ascii="Arial" w:hAnsi="Arial" w:cs="Arial"/>
          <w:sz w:val="22"/>
          <w:szCs w:val="22"/>
          <w:lang w:val="en-GB"/>
        </w:rPr>
        <w:t xml:space="preserve">What is the </w:t>
      </w:r>
      <w:r w:rsidR="00474C2B">
        <w:rPr>
          <w:rFonts w:ascii="Arial" w:hAnsi="Arial" w:cs="Arial"/>
          <w:sz w:val="22"/>
          <w:szCs w:val="22"/>
          <w:lang w:val="en-GB"/>
        </w:rPr>
        <w:t xml:space="preserve">initial period for </w:t>
      </w:r>
      <w:r>
        <w:rPr>
          <w:rFonts w:ascii="Arial" w:hAnsi="Arial" w:cs="Arial"/>
          <w:sz w:val="22"/>
          <w:szCs w:val="22"/>
          <w:lang w:val="en-GB"/>
        </w:rPr>
        <w:t xml:space="preserve">a Moratorium under Part </w:t>
      </w:r>
      <w:r w:rsidR="006D282B">
        <w:rPr>
          <w:rFonts w:ascii="Arial" w:hAnsi="Arial" w:cs="Arial"/>
          <w:sz w:val="22"/>
          <w:szCs w:val="22"/>
          <w:lang w:val="en-GB"/>
        </w:rPr>
        <w:t>1A</w:t>
      </w:r>
      <w:r w:rsidR="00E443D7">
        <w:rPr>
          <w:rFonts w:ascii="Arial" w:hAnsi="Arial" w:cs="Arial"/>
          <w:sz w:val="22"/>
          <w:szCs w:val="22"/>
          <w:lang w:val="en-GB"/>
        </w:rPr>
        <w:t xml:space="preserve"> of the </w:t>
      </w:r>
      <w:r w:rsidR="00867701" w:rsidRPr="006D2BBF">
        <w:rPr>
          <w:rFonts w:ascii="Arial" w:hAnsi="Arial" w:cs="Arial"/>
          <w:sz w:val="22"/>
          <w:szCs w:val="22"/>
          <w:lang w:val="en-GB"/>
        </w:rPr>
        <w:t>Insolvency Act 1986</w:t>
      </w:r>
      <w:r w:rsidR="00474C2B">
        <w:rPr>
          <w:rFonts w:ascii="Arial" w:hAnsi="Arial" w:cs="Arial"/>
          <w:sz w:val="22"/>
          <w:szCs w:val="22"/>
          <w:lang w:val="en-GB"/>
        </w:rPr>
        <w:t xml:space="preserve"> where the directors file relevant documents at court</w:t>
      </w:r>
      <w:r w:rsidR="00867701"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53651EF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20 days</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69610AB8" w:rsidR="00867701" w:rsidRPr="00EF73C6" w:rsidRDefault="00E443D7" w:rsidP="00B04033">
      <w:pPr>
        <w:pStyle w:val="ListParagraph"/>
        <w:numPr>
          <w:ilvl w:val="0"/>
          <w:numId w:val="1"/>
        </w:numPr>
        <w:ind w:left="426"/>
        <w:jc w:val="both"/>
        <w:rPr>
          <w:rFonts w:ascii="Arial" w:hAnsi="Arial" w:cs="Arial"/>
          <w:sz w:val="22"/>
          <w:szCs w:val="22"/>
          <w:highlight w:val="yellow"/>
          <w:lang w:val="en-GB"/>
        </w:rPr>
      </w:pPr>
      <w:r w:rsidRPr="00EF73C6">
        <w:rPr>
          <w:rFonts w:ascii="Arial" w:hAnsi="Arial" w:cs="Arial"/>
          <w:sz w:val="22"/>
          <w:szCs w:val="22"/>
          <w:highlight w:val="yellow"/>
          <w:lang w:val="en-GB"/>
        </w:rPr>
        <w:t>20 business days</w:t>
      </w:r>
      <w:r w:rsidR="00763348" w:rsidRPr="00EF73C6">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4AE528C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days</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5459743D" w:rsidR="00867701" w:rsidRPr="00876F56"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at is the maximum length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5359C2" w:rsidRDefault="00E443D7" w:rsidP="00B04033">
      <w:pPr>
        <w:pStyle w:val="ListParagraph"/>
        <w:numPr>
          <w:ilvl w:val="0"/>
          <w:numId w:val="2"/>
        </w:numPr>
        <w:ind w:left="426"/>
        <w:jc w:val="both"/>
        <w:rPr>
          <w:rFonts w:ascii="Arial" w:hAnsi="Arial" w:cs="Arial"/>
          <w:sz w:val="22"/>
          <w:szCs w:val="22"/>
          <w:highlight w:val="yellow"/>
          <w:lang w:val="en-GB"/>
        </w:rPr>
      </w:pPr>
      <w:r w:rsidRPr="005359C2">
        <w:rPr>
          <w:rFonts w:ascii="Arial" w:hAnsi="Arial" w:cs="Arial"/>
          <w:sz w:val="22"/>
          <w:szCs w:val="22"/>
          <w:highlight w:val="yellow"/>
          <w:lang w:val="en-GB"/>
        </w:rPr>
        <w:t>One year</w:t>
      </w:r>
      <w:r w:rsidR="00763348" w:rsidRPr="005359C2">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15AB8B35"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is not a requirement for a company which wishes to </w:t>
      </w:r>
      <w:proofErr w:type="gramStart"/>
      <w:r w:rsidRPr="008D1616">
        <w:rPr>
          <w:rFonts w:ascii="Arial" w:hAnsi="Arial" w:cs="Arial"/>
          <w:sz w:val="22"/>
          <w:szCs w:val="22"/>
          <w:lang w:val="en-GB"/>
        </w:rPr>
        <w:t>enter into</w:t>
      </w:r>
      <w:proofErr w:type="gramEnd"/>
      <w:r w:rsidRPr="008D1616">
        <w:rPr>
          <w:rFonts w:ascii="Arial" w:hAnsi="Arial" w:cs="Arial"/>
          <w:sz w:val="22"/>
          <w:szCs w:val="22"/>
          <w:lang w:val="en-GB"/>
        </w:rPr>
        <w:t xml:space="preserve">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B33FFC3"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48742750"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a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77777777" w:rsidR="00763348" w:rsidRPr="00763348" w:rsidRDefault="00763348" w:rsidP="00763348">
      <w:pPr>
        <w:ind w:left="66"/>
        <w:jc w:val="both"/>
        <w:rPr>
          <w:rFonts w:ascii="Arial" w:hAnsi="Arial" w:cs="Arial"/>
          <w:sz w:val="22"/>
          <w:szCs w:val="22"/>
          <w:lang w:val="en-GB"/>
        </w:rPr>
      </w:pPr>
    </w:p>
    <w:p w14:paraId="6B1A98EB" w14:textId="64897C98"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39056059" w:rsidR="00867701" w:rsidRPr="005359C2" w:rsidRDefault="008D1616" w:rsidP="00B04033">
      <w:pPr>
        <w:pStyle w:val="ListParagraph"/>
        <w:numPr>
          <w:ilvl w:val="0"/>
          <w:numId w:val="3"/>
        </w:numPr>
        <w:ind w:left="426"/>
        <w:jc w:val="both"/>
        <w:rPr>
          <w:rFonts w:ascii="Arial" w:hAnsi="Arial" w:cs="Arial"/>
          <w:sz w:val="22"/>
          <w:szCs w:val="22"/>
          <w:highlight w:val="yellow"/>
          <w:lang w:val="en-GB"/>
        </w:rPr>
      </w:pPr>
      <w:r w:rsidRPr="005359C2">
        <w:rPr>
          <w:rFonts w:ascii="Arial" w:hAnsi="Arial" w:cs="Arial"/>
          <w:sz w:val="22"/>
          <w:szCs w:val="22"/>
          <w:highlight w:val="yellow"/>
          <w:lang w:val="en-GB"/>
        </w:rPr>
        <w:t>the company is, or is likely to become, unable to pay their debts, as defined under s</w:t>
      </w:r>
      <w:r w:rsidR="00E833F4" w:rsidRPr="005359C2">
        <w:rPr>
          <w:rFonts w:ascii="Arial" w:hAnsi="Arial" w:cs="Arial"/>
          <w:sz w:val="22"/>
          <w:szCs w:val="22"/>
          <w:highlight w:val="yellow"/>
          <w:lang w:val="en-GB"/>
        </w:rPr>
        <w:t>ection</w:t>
      </w:r>
      <w:r w:rsidRPr="005359C2">
        <w:rPr>
          <w:rFonts w:ascii="Arial" w:hAnsi="Arial" w:cs="Arial"/>
          <w:sz w:val="22"/>
          <w:szCs w:val="22"/>
          <w:highlight w:val="yellow"/>
          <w:lang w:val="en-GB"/>
        </w:rPr>
        <w:t xml:space="preserve"> 123 of the Insolvency Act 1986</w:t>
      </w:r>
      <w:r w:rsidR="00763348" w:rsidRPr="005359C2">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4654197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What percentage of creditors must approve </w:t>
      </w:r>
      <w:r w:rsidR="008D1616">
        <w:rPr>
          <w:rFonts w:ascii="Arial" w:hAnsi="Arial" w:cs="Arial"/>
          <w:sz w:val="22"/>
          <w:szCs w:val="22"/>
          <w:lang w:val="en-GB"/>
        </w:rPr>
        <w:t>a Scheme of Arrangement under Part 26 of the Companies Act 2006</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207D4739"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9A3AB7">
        <w:rPr>
          <w:rFonts w:ascii="Arial" w:hAnsi="Arial" w:cs="Arial"/>
          <w:sz w:val="22"/>
          <w:szCs w:val="22"/>
          <w:lang w:val="en-GB"/>
        </w:rPr>
        <w:t>in value</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4405D76B"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C55824">
        <w:rPr>
          <w:rFonts w:ascii="Arial" w:hAnsi="Arial" w:cs="Arial"/>
          <w:sz w:val="22"/>
          <w:szCs w:val="22"/>
          <w:lang w:val="en-GB"/>
        </w:rPr>
        <w:t xml:space="preserve">50% </w:t>
      </w:r>
      <w:r w:rsidR="00FA417D">
        <w:rPr>
          <w:rFonts w:ascii="Arial" w:hAnsi="Arial" w:cs="Arial"/>
          <w:sz w:val="22"/>
          <w:szCs w:val="22"/>
          <w:lang w:val="en-GB"/>
        </w:rPr>
        <w:t xml:space="preserve">or more </w:t>
      </w:r>
      <w:r w:rsidR="00867701" w:rsidRPr="00C55824">
        <w:rPr>
          <w:rFonts w:ascii="Arial" w:hAnsi="Arial" w:cs="Arial"/>
          <w:sz w:val="22"/>
          <w:szCs w:val="22"/>
          <w:lang w:val="en-GB"/>
        </w:rPr>
        <w:t>in value</w:t>
      </w:r>
      <w:r w:rsidR="00763348">
        <w:rPr>
          <w:rFonts w:ascii="Arial" w:hAnsi="Arial" w:cs="Arial"/>
          <w:sz w:val="22"/>
          <w:szCs w:val="22"/>
          <w:lang w:val="en-GB"/>
        </w:rPr>
        <w:t>.</w:t>
      </w:r>
    </w:p>
    <w:p w14:paraId="2F2602FE" w14:textId="77777777" w:rsidR="00763348" w:rsidRPr="00763348" w:rsidRDefault="00763348" w:rsidP="00763348">
      <w:pPr>
        <w:ind w:left="66"/>
        <w:jc w:val="both"/>
        <w:rPr>
          <w:rFonts w:ascii="Arial" w:hAnsi="Arial" w:cs="Arial"/>
          <w:sz w:val="22"/>
          <w:szCs w:val="22"/>
          <w:lang w:val="en-GB"/>
        </w:rPr>
      </w:pPr>
    </w:p>
    <w:p w14:paraId="6B3DB13D" w14:textId="1E24D822" w:rsidR="00867701" w:rsidRPr="00C6327B" w:rsidRDefault="008D1616" w:rsidP="00B04033">
      <w:pPr>
        <w:pStyle w:val="ListParagraph"/>
        <w:numPr>
          <w:ilvl w:val="0"/>
          <w:numId w:val="4"/>
        </w:numPr>
        <w:ind w:left="426"/>
        <w:jc w:val="both"/>
        <w:rPr>
          <w:rFonts w:ascii="Arial" w:hAnsi="Arial" w:cs="Arial"/>
          <w:sz w:val="22"/>
          <w:szCs w:val="22"/>
          <w:highlight w:val="yellow"/>
          <w:lang w:val="en-GB"/>
        </w:rPr>
      </w:pPr>
      <w:r w:rsidRPr="00C6327B">
        <w:rPr>
          <w:rFonts w:ascii="Arial" w:hAnsi="Arial" w:cs="Arial"/>
          <w:sz w:val="22"/>
          <w:szCs w:val="22"/>
          <w:highlight w:val="yellow"/>
          <w:lang w:val="en-GB"/>
        </w:rPr>
        <w:t xml:space="preserve">A majority in number and </w:t>
      </w:r>
      <w:r w:rsidR="00867701" w:rsidRPr="00C6327B">
        <w:rPr>
          <w:rFonts w:ascii="Arial" w:hAnsi="Arial" w:cs="Arial"/>
          <w:sz w:val="22"/>
          <w:szCs w:val="22"/>
          <w:highlight w:val="yellow"/>
          <w:lang w:val="en-GB"/>
        </w:rPr>
        <w:t xml:space="preserve">75% </w:t>
      </w:r>
      <w:r w:rsidRPr="00C6327B">
        <w:rPr>
          <w:rFonts w:ascii="Arial" w:hAnsi="Arial" w:cs="Arial"/>
          <w:sz w:val="22"/>
          <w:szCs w:val="22"/>
          <w:highlight w:val="yellow"/>
          <w:lang w:val="en-GB"/>
        </w:rPr>
        <w:t xml:space="preserve">or more </w:t>
      </w:r>
      <w:r w:rsidR="00867701" w:rsidRPr="00C6327B">
        <w:rPr>
          <w:rFonts w:ascii="Arial" w:hAnsi="Arial" w:cs="Arial"/>
          <w:sz w:val="22"/>
          <w:szCs w:val="22"/>
          <w:highlight w:val="yellow"/>
          <w:lang w:val="en-GB"/>
        </w:rPr>
        <w:t>in value</w:t>
      </w:r>
      <w:r w:rsidR="00763348" w:rsidRPr="00C6327B">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1AD1D1B3" w:rsidR="00867701" w:rsidRPr="00C55824" w:rsidRDefault="00867701" w:rsidP="00B04033">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75% or more in value</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is not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30700D" w:rsidRDefault="00BA1CFD" w:rsidP="00B04033">
      <w:pPr>
        <w:pStyle w:val="ListParagraph"/>
        <w:numPr>
          <w:ilvl w:val="0"/>
          <w:numId w:val="5"/>
        </w:numPr>
        <w:ind w:left="426"/>
        <w:jc w:val="both"/>
        <w:rPr>
          <w:rFonts w:ascii="Arial" w:hAnsi="Arial" w:cs="Arial"/>
          <w:sz w:val="22"/>
          <w:szCs w:val="22"/>
          <w:highlight w:val="yellow"/>
          <w:lang w:val="en-GB"/>
        </w:rPr>
      </w:pPr>
      <w:r w:rsidRPr="0030700D">
        <w:rPr>
          <w:rFonts w:ascii="Arial" w:hAnsi="Arial" w:cs="Arial"/>
          <w:sz w:val="22"/>
          <w:szCs w:val="22"/>
          <w:highlight w:val="yellow"/>
          <w:lang w:val="en-GB"/>
        </w:rPr>
        <w:t>Administration</w:t>
      </w:r>
      <w:r w:rsidR="00763348" w:rsidRPr="0030700D">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no greater than </w:t>
      </w:r>
      <w:r>
        <w:rPr>
          <w:rFonts w:ascii="Arial" w:hAnsi="Arial" w:cs="Arial"/>
          <w:sz w:val="22"/>
          <w:szCs w:val="22"/>
          <w:lang w:val="en-GB"/>
        </w:rPr>
        <w:t>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CB4B0F" w:rsidRDefault="00BA1CFD" w:rsidP="00B04033">
      <w:pPr>
        <w:pStyle w:val="ListParagraph"/>
        <w:numPr>
          <w:ilvl w:val="0"/>
          <w:numId w:val="6"/>
        </w:numPr>
        <w:ind w:left="426"/>
        <w:jc w:val="both"/>
        <w:rPr>
          <w:rFonts w:ascii="Arial" w:hAnsi="Arial" w:cs="Arial"/>
          <w:sz w:val="22"/>
          <w:szCs w:val="22"/>
          <w:highlight w:val="yellow"/>
          <w:lang w:val="en-GB"/>
        </w:rPr>
      </w:pPr>
      <w:r w:rsidRPr="00CB4B0F">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Which one of the following is not</w:t>
      </w:r>
      <w:proofErr w:type="gramStart"/>
      <w:r>
        <w:rPr>
          <w:rFonts w:ascii="Arial" w:hAnsi="Arial" w:cs="Arial"/>
          <w:sz w:val="22"/>
          <w:szCs w:val="22"/>
          <w:lang w:val="en-GB"/>
        </w:rPr>
        <w:t>, in itself, a</w:t>
      </w:r>
      <w:proofErr w:type="gramEnd"/>
      <w:r>
        <w:rPr>
          <w:rFonts w:ascii="Arial" w:hAnsi="Arial" w:cs="Arial"/>
          <w:sz w:val="22"/>
          <w:szCs w:val="22"/>
          <w:lang w:val="en-GB"/>
        </w:rPr>
        <w:t xml:space="preserve">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D5380" w:rsidRDefault="00BA1CFD" w:rsidP="00B04033">
      <w:pPr>
        <w:pStyle w:val="ListParagraph"/>
        <w:numPr>
          <w:ilvl w:val="0"/>
          <w:numId w:val="7"/>
        </w:numPr>
        <w:ind w:left="426"/>
        <w:jc w:val="both"/>
        <w:rPr>
          <w:rFonts w:ascii="Arial" w:hAnsi="Arial" w:cs="Arial"/>
          <w:sz w:val="22"/>
          <w:szCs w:val="22"/>
          <w:highlight w:val="yellow"/>
          <w:lang w:val="en-GB"/>
        </w:rPr>
      </w:pPr>
      <w:r w:rsidRPr="00FD5380">
        <w:rPr>
          <w:rFonts w:ascii="Arial" w:hAnsi="Arial" w:cs="Arial"/>
          <w:sz w:val="22"/>
          <w:szCs w:val="22"/>
          <w:highlight w:val="yellow"/>
          <w:lang w:val="en-GB"/>
        </w:rPr>
        <w:t>Breach of fiduciary duty</w:t>
      </w:r>
      <w:r w:rsidR="00763348" w:rsidRPr="00FD5380">
        <w:rPr>
          <w:rFonts w:ascii="Arial" w:hAnsi="Arial" w:cs="Arial"/>
          <w:sz w:val="22"/>
          <w:szCs w:val="22"/>
          <w:highlight w:val="yellow"/>
          <w:lang w:val="en-GB"/>
        </w:rPr>
        <w:t>.</w:t>
      </w:r>
    </w:p>
    <w:p w14:paraId="28A6DC8D" w14:textId="77777777" w:rsidR="00763348" w:rsidRPr="00763348" w:rsidRDefault="00763348" w:rsidP="00763348">
      <w:pPr>
        <w:ind w:left="66"/>
        <w:jc w:val="both"/>
        <w:rPr>
          <w:rFonts w:ascii="Arial" w:hAnsi="Arial" w:cs="Arial"/>
          <w:sz w:val="22"/>
          <w:szCs w:val="22"/>
          <w:lang w:val="en-GB"/>
        </w:rPr>
      </w:pP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1B567EB0" w14:textId="6046EA45" w:rsidR="00763348" w:rsidRDefault="00763348" w:rsidP="00C55824">
      <w:pPr>
        <w:jc w:val="both"/>
        <w:rPr>
          <w:rFonts w:ascii="Arial" w:eastAsiaTheme="minorHAnsi" w:hAnsi="Arial" w:cs="Arial"/>
          <w:sz w:val="22"/>
          <w:szCs w:val="22"/>
          <w:lang w:val="en-GB"/>
        </w:rPr>
      </w:pPr>
    </w:p>
    <w:p w14:paraId="1B964C15" w14:textId="77777777" w:rsidR="00763348" w:rsidRDefault="00763348"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79AEA6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The administrator is under a general duty to make a statement 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send out the statement of proposals as soon as reasonably practicable, and in any event within </w:t>
      </w:r>
      <w:r>
        <w:rPr>
          <w:rFonts w:ascii="Arial" w:hAnsi="Arial" w:cs="Arial"/>
          <w:sz w:val="22"/>
          <w:szCs w:val="22"/>
          <w:lang w:val="en-GB"/>
        </w:rPr>
        <w:t xml:space="preserve">how many </w:t>
      </w:r>
      <w:r w:rsidRPr="00BA1CFD">
        <w:rPr>
          <w:rFonts w:ascii="Arial" w:hAnsi="Arial" w:cs="Arial"/>
          <w:sz w:val="22"/>
          <w:szCs w:val="22"/>
          <w:lang w:val="en-GB"/>
        </w:rPr>
        <w:t>weeks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8839FE" w:rsidRDefault="00876F56" w:rsidP="00B04033">
      <w:pPr>
        <w:pStyle w:val="ListParagraph"/>
        <w:numPr>
          <w:ilvl w:val="0"/>
          <w:numId w:val="8"/>
        </w:numPr>
        <w:ind w:left="426"/>
        <w:jc w:val="both"/>
        <w:rPr>
          <w:rFonts w:ascii="Arial" w:hAnsi="Arial" w:cs="Arial"/>
          <w:sz w:val="22"/>
          <w:szCs w:val="22"/>
          <w:highlight w:val="yellow"/>
          <w:lang w:val="en-GB"/>
        </w:rPr>
      </w:pPr>
      <w:r w:rsidRPr="008839FE">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Default="00876F56" w:rsidP="00B04033">
      <w:pPr>
        <w:pStyle w:val="ListParagraph"/>
        <w:numPr>
          <w:ilvl w:val="0"/>
          <w:numId w:val="8"/>
        </w:numPr>
        <w:ind w:left="426"/>
        <w:jc w:val="both"/>
        <w:rPr>
          <w:rFonts w:ascii="Arial" w:hAnsi="Arial" w:cs="Arial"/>
          <w:sz w:val="22"/>
          <w:szCs w:val="22"/>
          <w:lang w:val="en-GB"/>
        </w:rPr>
      </w:pPr>
      <w:r w:rsidRPr="009A3AB7">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4683C003" w:rsidR="00876F56" w:rsidRDefault="00E833F4" w:rsidP="00C55824">
      <w:pPr>
        <w:jc w:val="both"/>
        <w:rPr>
          <w:rFonts w:ascii="Arial" w:hAnsi="Arial" w:cs="Arial"/>
          <w:sz w:val="22"/>
          <w:szCs w:val="22"/>
          <w:lang w:val="en-GB"/>
        </w:rPr>
      </w:pPr>
      <w:r>
        <w:rPr>
          <w:rFonts w:ascii="Arial" w:hAnsi="Arial" w:cs="Arial"/>
          <w:sz w:val="22"/>
          <w:szCs w:val="22"/>
          <w:lang w:val="en-GB"/>
        </w:rPr>
        <w:t>Which of the following has the power to bring an action for wrongful trading under the Insolvency Act 1986</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16E3242B"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monitor of a Moratorium</w:t>
      </w:r>
      <w:r w:rsidR="00763348">
        <w:rPr>
          <w:rFonts w:ascii="Arial" w:hAnsi="Arial" w:cs="Arial"/>
          <w:sz w:val="22"/>
          <w:szCs w:val="22"/>
          <w:lang w:val="en-GB"/>
        </w:rPr>
        <w:t>.</w:t>
      </w:r>
    </w:p>
    <w:p w14:paraId="22EF3C05" w14:textId="77777777" w:rsidR="00763348" w:rsidRPr="00763348" w:rsidRDefault="00763348" w:rsidP="00763348">
      <w:pPr>
        <w:ind w:left="66"/>
        <w:jc w:val="both"/>
        <w:rPr>
          <w:rFonts w:ascii="Arial" w:hAnsi="Arial" w:cs="Arial"/>
          <w:sz w:val="22"/>
          <w:szCs w:val="22"/>
          <w:lang w:val="en-GB"/>
        </w:rPr>
      </w:pPr>
    </w:p>
    <w:p w14:paraId="5AB28143" w14:textId="4430F83D"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supervisor of a Company Voluntary Arrangement</w:t>
      </w:r>
      <w:r w:rsidR="00763348">
        <w:rPr>
          <w:rFonts w:ascii="Arial" w:hAnsi="Arial" w:cs="Arial"/>
          <w:sz w:val="22"/>
          <w:szCs w:val="22"/>
          <w:lang w:val="en-GB"/>
        </w:rPr>
        <w:t>.</w:t>
      </w:r>
    </w:p>
    <w:p w14:paraId="25B01900" w14:textId="77777777" w:rsidR="00763348" w:rsidRPr="00763348" w:rsidRDefault="00763348" w:rsidP="00763348">
      <w:pPr>
        <w:ind w:left="66"/>
        <w:jc w:val="both"/>
        <w:rPr>
          <w:rFonts w:ascii="Arial" w:hAnsi="Arial" w:cs="Arial"/>
          <w:sz w:val="22"/>
          <w:szCs w:val="22"/>
          <w:lang w:val="en-GB"/>
        </w:rPr>
      </w:pPr>
    </w:p>
    <w:p w14:paraId="0D15BE7C" w14:textId="49BA31C9" w:rsidR="00876F56" w:rsidRPr="008839FE" w:rsidRDefault="00E833F4" w:rsidP="00B04033">
      <w:pPr>
        <w:pStyle w:val="ListParagraph"/>
        <w:numPr>
          <w:ilvl w:val="0"/>
          <w:numId w:val="9"/>
        </w:numPr>
        <w:ind w:left="426"/>
        <w:jc w:val="both"/>
        <w:rPr>
          <w:rFonts w:ascii="Arial" w:hAnsi="Arial" w:cs="Arial"/>
          <w:sz w:val="22"/>
          <w:szCs w:val="22"/>
          <w:highlight w:val="yellow"/>
          <w:lang w:val="en-GB"/>
        </w:rPr>
      </w:pPr>
      <w:r w:rsidRPr="008839FE">
        <w:rPr>
          <w:rFonts w:ascii="Arial" w:hAnsi="Arial" w:cs="Arial"/>
          <w:sz w:val="22"/>
          <w:szCs w:val="22"/>
          <w:highlight w:val="yellow"/>
          <w:lang w:val="en-GB"/>
        </w:rPr>
        <w:t>An administrator</w:t>
      </w:r>
      <w:r w:rsidR="00763348" w:rsidRPr="008839FE">
        <w:rPr>
          <w:rFonts w:ascii="Arial" w:hAnsi="Arial" w:cs="Arial"/>
          <w:sz w:val="22"/>
          <w:szCs w:val="22"/>
          <w:highlight w:val="yellow"/>
          <w:lang w:val="en-GB"/>
        </w:rPr>
        <w:t>.</w:t>
      </w:r>
    </w:p>
    <w:p w14:paraId="0714CB55" w14:textId="77777777" w:rsidR="00763348" w:rsidRPr="00763348" w:rsidRDefault="00763348" w:rsidP="00763348">
      <w:pPr>
        <w:ind w:left="66"/>
        <w:jc w:val="both"/>
        <w:rPr>
          <w:rFonts w:ascii="Arial" w:hAnsi="Arial" w:cs="Arial"/>
          <w:sz w:val="22"/>
          <w:szCs w:val="22"/>
          <w:lang w:val="en-GB"/>
        </w:rPr>
      </w:pPr>
    </w:p>
    <w:p w14:paraId="1639580B" w14:textId="43C93127" w:rsidR="00876F56" w:rsidRPr="00C55824"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administrative receiver</w:t>
      </w:r>
      <w:r w:rsidR="00763348">
        <w:rPr>
          <w:rFonts w:ascii="Arial" w:hAnsi="Arial" w:cs="Arial"/>
          <w:sz w:val="22"/>
          <w:szCs w:val="22"/>
          <w:lang w:val="en-GB"/>
        </w:rPr>
        <w:t>.</w:t>
      </w:r>
    </w:p>
    <w:p w14:paraId="1BD8D6C0" w14:textId="68B33D5E" w:rsidR="00876F56" w:rsidRDefault="00876F56" w:rsidP="00C55824">
      <w:pPr>
        <w:jc w:val="both"/>
        <w:rPr>
          <w:rFonts w:ascii="Arial" w:hAnsi="Arial" w:cs="Arial"/>
          <w:sz w:val="22"/>
          <w:szCs w:val="22"/>
        </w:rPr>
      </w:pP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C9C6F23"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Under section 176A of the Insolvency Act 1986, the prescribed part deducted from floating charge assets in favour of unsecured creditors is calculated as follows:</w:t>
      </w:r>
    </w:p>
    <w:p w14:paraId="786079DD" w14:textId="77777777" w:rsidR="00C55824" w:rsidRPr="00C55824" w:rsidRDefault="00C55824" w:rsidP="0020090A">
      <w:pPr>
        <w:keepNext/>
        <w:jc w:val="both"/>
        <w:rPr>
          <w:rFonts w:ascii="Arial" w:hAnsi="Arial" w:cs="Arial"/>
          <w:sz w:val="22"/>
          <w:szCs w:val="22"/>
          <w:lang w:val="en-GB"/>
        </w:rPr>
      </w:pPr>
    </w:p>
    <w:p w14:paraId="3E7702F5" w14:textId="3AFD47A8" w:rsidR="00876F56" w:rsidRDefault="00876F56" w:rsidP="00B04033">
      <w:pPr>
        <w:pStyle w:val="ListParagraph"/>
        <w:keepNext/>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floating charge assets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4A4EA67F" w:rsidR="00876F56" w:rsidRDefault="00876F56" w:rsidP="00B04033">
      <w:pPr>
        <w:pStyle w:val="ListParagraph"/>
        <w:numPr>
          <w:ilvl w:val="0"/>
          <w:numId w:val="10"/>
        </w:numPr>
        <w:ind w:left="426"/>
        <w:jc w:val="both"/>
        <w:rPr>
          <w:rFonts w:ascii="Arial" w:hAnsi="Arial" w:cs="Arial"/>
          <w:sz w:val="22"/>
          <w:szCs w:val="22"/>
          <w:lang w:val="en-GB"/>
        </w:rPr>
      </w:pPr>
      <w:r w:rsidRPr="009A3AB7">
        <w:rPr>
          <w:rFonts w:ascii="Arial" w:hAnsi="Arial" w:cs="Arial"/>
          <w:sz w:val="22"/>
          <w:szCs w:val="22"/>
          <w:lang w:val="en-GB"/>
        </w:rPr>
        <w:t>50% of the first £10,000 in value plus 20% of the excess in value above the £10,000 subject to a maximum amount of the prescribed part of £600,000</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A9315C7" w:rsidR="00876F56" w:rsidRDefault="00876F56" w:rsidP="00B04033">
      <w:pPr>
        <w:pStyle w:val="ListParagraph"/>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first £50,000 in value plus 50% of the excess in value above the £50,000 subject to a maximum amount of prescribed part of £</w:t>
      </w:r>
      <w:r w:rsidR="00BA1CFD">
        <w:rPr>
          <w:rFonts w:ascii="Arial" w:hAnsi="Arial" w:cs="Arial"/>
          <w:sz w:val="22"/>
          <w:szCs w:val="22"/>
          <w:lang w:val="en-GB"/>
        </w:rPr>
        <w:t>8</w:t>
      </w:r>
      <w:r w:rsidRPr="00C55824">
        <w:rPr>
          <w:rFonts w:ascii="Arial" w:hAnsi="Arial" w:cs="Arial"/>
          <w:sz w:val="22"/>
          <w:szCs w:val="22"/>
          <w:lang w:val="en-GB"/>
        </w:rPr>
        <w:t>00,000</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1BEEFBDB" w:rsidR="00876F56" w:rsidRPr="008839FE" w:rsidRDefault="00BA1CFD" w:rsidP="00B04033">
      <w:pPr>
        <w:pStyle w:val="ListParagraph"/>
        <w:numPr>
          <w:ilvl w:val="0"/>
          <w:numId w:val="10"/>
        </w:numPr>
        <w:ind w:left="426"/>
        <w:jc w:val="both"/>
        <w:rPr>
          <w:rFonts w:ascii="Arial" w:hAnsi="Arial" w:cs="Arial"/>
          <w:sz w:val="22"/>
          <w:szCs w:val="22"/>
          <w:highlight w:val="yellow"/>
          <w:lang w:val="en-GB"/>
        </w:rPr>
      </w:pPr>
      <w:r w:rsidRPr="008839FE">
        <w:rPr>
          <w:rFonts w:ascii="Arial" w:hAnsi="Arial" w:cs="Arial"/>
          <w:sz w:val="22"/>
          <w:szCs w:val="22"/>
          <w:highlight w:val="yellow"/>
          <w:lang w:val="en-GB"/>
        </w:rPr>
        <w:t>5</w:t>
      </w:r>
      <w:r w:rsidR="00876F56" w:rsidRPr="008839FE">
        <w:rPr>
          <w:rFonts w:ascii="Arial" w:hAnsi="Arial" w:cs="Arial"/>
          <w:sz w:val="22"/>
          <w:szCs w:val="22"/>
          <w:highlight w:val="yellow"/>
          <w:lang w:val="en-GB"/>
        </w:rPr>
        <w:t>0% of the first £</w:t>
      </w:r>
      <w:r w:rsidRPr="008839FE">
        <w:rPr>
          <w:rFonts w:ascii="Arial" w:hAnsi="Arial" w:cs="Arial"/>
          <w:sz w:val="22"/>
          <w:szCs w:val="22"/>
          <w:highlight w:val="yellow"/>
          <w:lang w:val="en-GB"/>
        </w:rPr>
        <w:t>1</w:t>
      </w:r>
      <w:r w:rsidR="00876F56" w:rsidRPr="008839FE">
        <w:rPr>
          <w:rFonts w:ascii="Arial" w:hAnsi="Arial" w:cs="Arial"/>
          <w:sz w:val="22"/>
          <w:szCs w:val="22"/>
          <w:highlight w:val="yellow"/>
          <w:lang w:val="en-GB"/>
        </w:rPr>
        <w:t xml:space="preserve">0,000 in value plus </w:t>
      </w:r>
      <w:r w:rsidRPr="008839FE">
        <w:rPr>
          <w:rFonts w:ascii="Arial" w:hAnsi="Arial" w:cs="Arial"/>
          <w:sz w:val="22"/>
          <w:szCs w:val="22"/>
          <w:highlight w:val="yellow"/>
          <w:lang w:val="en-GB"/>
        </w:rPr>
        <w:t>2</w:t>
      </w:r>
      <w:r w:rsidR="00876F56" w:rsidRPr="008839FE">
        <w:rPr>
          <w:rFonts w:ascii="Arial" w:hAnsi="Arial" w:cs="Arial"/>
          <w:sz w:val="22"/>
          <w:szCs w:val="22"/>
          <w:highlight w:val="yellow"/>
          <w:lang w:val="en-GB"/>
        </w:rPr>
        <w:t xml:space="preserve">0% of </w:t>
      </w:r>
      <w:r w:rsidRPr="008839FE">
        <w:rPr>
          <w:rFonts w:ascii="Arial" w:hAnsi="Arial" w:cs="Arial"/>
          <w:sz w:val="22"/>
          <w:szCs w:val="22"/>
          <w:highlight w:val="yellow"/>
          <w:lang w:val="en-GB"/>
        </w:rPr>
        <w:t>the excess in value above the £1</w:t>
      </w:r>
      <w:r w:rsidR="00876F56" w:rsidRPr="008839FE">
        <w:rPr>
          <w:rFonts w:ascii="Arial" w:hAnsi="Arial" w:cs="Arial"/>
          <w:sz w:val="22"/>
          <w:szCs w:val="22"/>
          <w:highlight w:val="yellow"/>
          <w:lang w:val="en-GB"/>
        </w:rPr>
        <w:t>0,000 subject to a maximum amount of prescribed part of £800,000</w:t>
      </w:r>
      <w:r w:rsidR="00763348" w:rsidRPr="008839FE">
        <w:rPr>
          <w:rFonts w:ascii="Arial" w:hAnsi="Arial" w:cs="Arial"/>
          <w:sz w:val="22"/>
          <w:szCs w:val="22"/>
          <w:highlight w:val="yellow"/>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5E468B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E833F4">
        <w:rPr>
          <w:rFonts w:ascii="Arial" w:hAnsi="Arial" w:cs="Arial"/>
          <w:b/>
          <w:bCs/>
          <w:sz w:val="22"/>
          <w:szCs w:val="22"/>
          <w:lang w:val="en-GB"/>
        </w:rPr>
        <w:t>6</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1BE1746F" w:rsidR="00241FA3" w:rsidRDefault="0020090A" w:rsidP="002A37BB">
      <w:pPr>
        <w:ind w:left="720" w:hanging="720"/>
        <w:jc w:val="both"/>
        <w:rPr>
          <w:rFonts w:ascii="Arial" w:hAnsi="Arial" w:cs="Arial"/>
          <w:sz w:val="22"/>
          <w:szCs w:val="22"/>
          <w:lang w:val="en-GB"/>
        </w:rPr>
      </w:pPr>
      <w:r w:rsidRPr="006D2BBF">
        <w:rPr>
          <w:rFonts w:ascii="Arial" w:hAnsi="Arial" w:cs="Arial"/>
          <w:sz w:val="22"/>
          <w:szCs w:val="22"/>
          <w:lang w:val="en-GB"/>
        </w:rPr>
        <w:t xml:space="preserve">What is the difference between </w:t>
      </w:r>
      <w:r w:rsidR="00E833F4">
        <w:rPr>
          <w:rFonts w:ascii="Arial" w:hAnsi="Arial" w:cs="Arial"/>
          <w:sz w:val="22"/>
          <w:szCs w:val="22"/>
          <w:lang w:val="en-GB"/>
        </w:rPr>
        <w:t>cash flow insolvency and balance sheet insolvency</w:t>
      </w:r>
      <w:r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0CA7CF4C" w14:textId="5421F498" w:rsidR="004B2500" w:rsidRDefault="00CA5CA3"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of the Insolvency Act refers to </w:t>
      </w:r>
      <w:r w:rsidR="00841068">
        <w:rPr>
          <w:rFonts w:ascii="Arial" w:hAnsi="Arial" w:cs="Arial"/>
          <w:color w:val="7B7B7B" w:themeColor="accent3" w:themeShade="BF"/>
          <w:sz w:val="22"/>
          <w:szCs w:val="22"/>
          <w:lang w:val="en-GB"/>
        </w:rPr>
        <w:t xml:space="preserve">two tests for establishing insolvency: cash flow insolvency and balance sheet insolvency. </w:t>
      </w:r>
      <w:r w:rsidR="007D3068">
        <w:rPr>
          <w:rFonts w:ascii="Arial" w:hAnsi="Arial" w:cs="Arial"/>
          <w:color w:val="7B7B7B" w:themeColor="accent3" w:themeShade="BF"/>
          <w:sz w:val="22"/>
          <w:szCs w:val="22"/>
          <w:lang w:val="en-GB"/>
        </w:rPr>
        <w:t xml:space="preserve">The Court examined the difference between cash flow and balance sheet insolvency in the decision </w:t>
      </w:r>
      <w:r w:rsidR="00787A95">
        <w:rPr>
          <w:rFonts w:ascii="Arial" w:hAnsi="Arial" w:cs="Arial"/>
          <w:color w:val="7B7B7B" w:themeColor="accent3" w:themeShade="BF"/>
          <w:sz w:val="22"/>
          <w:szCs w:val="22"/>
          <w:lang w:val="en-GB"/>
        </w:rPr>
        <w:t>BNY Corporate Trustee Service Ltd v Eurosail UL 2001 3BL Plc</w:t>
      </w:r>
      <w:r w:rsidR="00512883">
        <w:rPr>
          <w:rFonts w:ascii="Arial" w:hAnsi="Arial" w:cs="Arial"/>
          <w:color w:val="7B7B7B" w:themeColor="accent3" w:themeShade="BF"/>
          <w:sz w:val="22"/>
          <w:szCs w:val="22"/>
          <w:lang w:val="en-GB"/>
        </w:rPr>
        <w:t xml:space="preserve">. </w:t>
      </w:r>
      <w:r w:rsidR="00A62291">
        <w:rPr>
          <w:rFonts w:ascii="Arial" w:hAnsi="Arial" w:cs="Arial"/>
          <w:color w:val="7B7B7B" w:themeColor="accent3" w:themeShade="BF"/>
          <w:sz w:val="22"/>
          <w:szCs w:val="22"/>
          <w:lang w:val="en-GB"/>
        </w:rPr>
        <w:t xml:space="preserve">One </w:t>
      </w:r>
      <w:r w:rsidR="00E1006F">
        <w:rPr>
          <w:rFonts w:ascii="Arial" w:hAnsi="Arial" w:cs="Arial"/>
          <w:color w:val="7B7B7B" w:themeColor="accent3" w:themeShade="BF"/>
          <w:sz w:val="22"/>
          <w:szCs w:val="22"/>
          <w:lang w:val="en-GB"/>
        </w:rPr>
        <w:t xml:space="preserve">difference is the timeframe </w:t>
      </w:r>
      <w:r w:rsidR="00360A32">
        <w:rPr>
          <w:rFonts w:ascii="Arial" w:hAnsi="Arial" w:cs="Arial"/>
          <w:color w:val="7B7B7B" w:themeColor="accent3" w:themeShade="BF"/>
          <w:sz w:val="22"/>
          <w:szCs w:val="22"/>
          <w:lang w:val="en-GB"/>
        </w:rPr>
        <w:t xml:space="preserve">for the debts to be </w:t>
      </w:r>
      <w:r w:rsidR="00360A32">
        <w:rPr>
          <w:rFonts w:ascii="Arial" w:hAnsi="Arial" w:cs="Arial"/>
          <w:color w:val="7B7B7B" w:themeColor="accent3" w:themeShade="BF"/>
          <w:sz w:val="22"/>
          <w:szCs w:val="22"/>
          <w:lang w:val="en-GB"/>
        </w:rPr>
        <w:lastRenderedPageBreak/>
        <w:t xml:space="preserve">paid. On the cash </w:t>
      </w:r>
      <w:r w:rsidR="00512883">
        <w:rPr>
          <w:rFonts w:ascii="Arial" w:hAnsi="Arial" w:cs="Arial"/>
          <w:color w:val="7B7B7B" w:themeColor="accent3" w:themeShade="BF"/>
          <w:sz w:val="22"/>
          <w:szCs w:val="22"/>
          <w:lang w:val="en-GB"/>
        </w:rPr>
        <w:t>flow test</w:t>
      </w:r>
      <w:r w:rsidR="00360A32">
        <w:rPr>
          <w:rFonts w:ascii="Arial" w:hAnsi="Arial" w:cs="Arial"/>
          <w:color w:val="7B7B7B" w:themeColor="accent3" w:themeShade="BF"/>
          <w:sz w:val="22"/>
          <w:szCs w:val="22"/>
          <w:lang w:val="en-GB"/>
        </w:rPr>
        <w:t xml:space="preserve">, </w:t>
      </w:r>
      <w:r w:rsidR="00EE4751">
        <w:rPr>
          <w:rFonts w:ascii="Arial" w:hAnsi="Arial" w:cs="Arial"/>
          <w:color w:val="7B7B7B" w:themeColor="accent3" w:themeShade="BF"/>
          <w:sz w:val="22"/>
          <w:szCs w:val="22"/>
          <w:lang w:val="en-GB"/>
        </w:rPr>
        <w:t xml:space="preserve">a </w:t>
      </w:r>
      <w:r w:rsidR="008E4F93">
        <w:rPr>
          <w:rFonts w:ascii="Arial" w:hAnsi="Arial" w:cs="Arial"/>
          <w:color w:val="7B7B7B" w:themeColor="accent3" w:themeShade="BF"/>
          <w:sz w:val="22"/>
          <w:szCs w:val="22"/>
          <w:lang w:val="en-GB"/>
        </w:rPr>
        <w:t xml:space="preserve">petitioner </w:t>
      </w:r>
      <w:r w:rsidR="00360A32">
        <w:rPr>
          <w:rFonts w:ascii="Arial" w:hAnsi="Arial" w:cs="Arial"/>
          <w:color w:val="7B7B7B" w:themeColor="accent3" w:themeShade="BF"/>
          <w:sz w:val="22"/>
          <w:szCs w:val="22"/>
          <w:lang w:val="en-GB"/>
        </w:rPr>
        <w:t xml:space="preserve">merely needs to </w:t>
      </w:r>
      <w:r w:rsidR="008E4F93">
        <w:rPr>
          <w:rFonts w:ascii="Arial" w:hAnsi="Arial" w:cs="Arial"/>
          <w:color w:val="7B7B7B" w:themeColor="accent3" w:themeShade="BF"/>
          <w:sz w:val="22"/>
          <w:szCs w:val="22"/>
          <w:lang w:val="en-GB"/>
        </w:rPr>
        <w:t xml:space="preserve">show that the company is unable to pay its debts as they fall due. </w:t>
      </w:r>
      <w:r w:rsidR="001C08AE">
        <w:rPr>
          <w:rFonts w:ascii="Arial" w:hAnsi="Arial" w:cs="Arial"/>
          <w:color w:val="7B7B7B" w:themeColor="accent3" w:themeShade="BF"/>
          <w:sz w:val="22"/>
          <w:szCs w:val="22"/>
          <w:lang w:val="en-GB"/>
        </w:rPr>
        <w:t xml:space="preserve">To remain within the cash flow test, the debt due should be payable in the </w:t>
      </w:r>
      <w:r w:rsidR="001701B0">
        <w:rPr>
          <w:rFonts w:ascii="Arial" w:hAnsi="Arial" w:cs="Arial"/>
          <w:color w:val="7B7B7B" w:themeColor="accent3" w:themeShade="BF"/>
          <w:sz w:val="22"/>
          <w:szCs w:val="22"/>
          <w:lang w:val="en-GB"/>
        </w:rPr>
        <w:t xml:space="preserve">reasonably near future. </w:t>
      </w:r>
      <w:r w:rsidR="006E4FA6">
        <w:rPr>
          <w:rFonts w:ascii="Arial" w:hAnsi="Arial" w:cs="Arial"/>
          <w:color w:val="7B7B7B" w:themeColor="accent3" w:themeShade="BF"/>
          <w:sz w:val="22"/>
          <w:szCs w:val="22"/>
          <w:lang w:val="en-GB"/>
        </w:rPr>
        <w:t>Reasonably near future will vary depending on the</w:t>
      </w:r>
      <w:r w:rsidR="004B2500">
        <w:rPr>
          <w:rFonts w:ascii="Arial" w:hAnsi="Arial" w:cs="Arial"/>
          <w:color w:val="7B7B7B" w:themeColor="accent3" w:themeShade="BF"/>
          <w:sz w:val="22"/>
          <w:szCs w:val="22"/>
          <w:lang w:val="en-GB"/>
        </w:rPr>
        <w:t xml:space="preserve"> individual circumstances of the company.</w:t>
      </w:r>
      <w:r w:rsidR="00D24A8C">
        <w:rPr>
          <w:rFonts w:ascii="Arial" w:hAnsi="Arial" w:cs="Arial"/>
          <w:color w:val="7B7B7B" w:themeColor="accent3" w:themeShade="BF"/>
          <w:sz w:val="22"/>
          <w:szCs w:val="22"/>
          <w:lang w:val="en-GB"/>
        </w:rPr>
        <w:t xml:space="preserve"> One is not applying the cash flow test if they try to determine debts that may become due </w:t>
      </w:r>
      <w:proofErr w:type="gramStart"/>
      <w:r w:rsidR="00DC1DE2">
        <w:rPr>
          <w:rFonts w:ascii="Arial" w:hAnsi="Arial" w:cs="Arial"/>
          <w:color w:val="7B7B7B" w:themeColor="accent3" w:themeShade="BF"/>
          <w:sz w:val="22"/>
          <w:szCs w:val="22"/>
          <w:lang w:val="en-GB"/>
        </w:rPr>
        <w:t>ie</w:t>
      </w:r>
      <w:proofErr w:type="gramEnd"/>
      <w:r w:rsidR="00DC1DE2">
        <w:rPr>
          <w:rFonts w:ascii="Arial" w:hAnsi="Arial" w:cs="Arial"/>
          <w:color w:val="7B7B7B" w:themeColor="accent3" w:themeShade="BF"/>
          <w:sz w:val="22"/>
          <w:szCs w:val="22"/>
          <w:lang w:val="en-GB"/>
        </w:rPr>
        <w:t xml:space="preserve"> contingent debts </w:t>
      </w:r>
      <w:r w:rsidR="00D24A8C">
        <w:rPr>
          <w:rFonts w:ascii="Arial" w:hAnsi="Arial" w:cs="Arial"/>
          <w:color w:val="7B7B7B" w:themeColor="accent3" w:themeShade="BF"/>
          <w:sz w:val="22"/>
          <w:szCs w:val="22"/>
          <w:lang w:val="en-GB"/>
        </w:rPr>
        <w:t>or debts that are due in the distant future</w:t>
      </w:r>
      <w:r w:rsidR="00DC1DE2">
        <w:rPr>
          <w:rFonts w:ascii="Arial" w:hAnsi="Arial" w:cs="Arial"/>
          <w:color w:val="7B7B7B" w:themeColor="accent3" w:themeShade="BF"/>
          <w:sz w:val="22"/>
          <w:szCs w:val="22"/>
          <w:lang w:val="en-GB"/>
        </w:rPr>
        <w:t>, ie future debts</w:t>
      </w:r>
      <w:r w:rsidR="00D24A8C">
        <w:rPr>
          <w:rFonts w:ascii="Arial" w:hAnsi="Arial" w:cs="Arial"/>
          <w:color w:val="7B7B7B" w:themeColor="accent3" w:themeShade="BF"/>
          <w:sz w:val="22"/>
          <w:szCs w:val="22"/>
          <w:lang w:val="en-GB"/>
        </w:rPr>
        <w:t>.</w:t>
      </w:r>
    </w:p>
    <w:p w14:paraId="57BCFC30" w14:textId="7A6E1C89" w:rsidR="009B07AD" w:rsidRPr="002A37BB" w:rsidRDefault="004B2500"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On the other hand, balance sheet insolvency </w:t>
      </w:r>
      <w:r w:rsidR="00DC7691">
        <w:rPr>
          <w:rFonts w:ascii="Arial" w:hAnsi="Arial" w:cs="Arial"/>
          <w:color w:val="7B7B7B" w:themeColor="accent3" w:themeShade="BF"/>
          <w:sz w:val="22"/>
          <w:szCs w:val="22"/>
          <w:lang w:val="en-GB"/>
        </w:rPr>
        <w:t xml:space="preserve">is determined by assessing </w:t>
      </w:r>
      <w:r w:rsidR="003370B9">
        <w:rPr>
          <w:rFonts w:ascii="Arial" w:hAnsi="Arial" w:cs="Arial"/>
          <w:color w:val="7B7B7B" w:themeColor="accent3" w:themeShade="BF"/>
          <w:sz w:val="22"/>
          <w:szCs w:val="22"/>
          <w:lang w:val="en-GB"/>
        </w:rPr>
        <w:t xml:space="preserve">the value of the company’s assets and </w:t>
      </w:r>
      <w:r w:rsidR="00DC7691">
        <w:rPr>
          <w:rFonts w:ascii="Arial" w:hAnsi="Arial" w:cs="Arial"/>
          <w:color w:val="7B7B7B" w:themeColor="accent3" w:themeShade="BF"/>
          <w:sz w:val="22"/>
          <w:szCs w:val="22"/>
          <w:lang w:val="en-GB"/>
        </w:rPr>
        <w:t xml:space="preserve">whether the company’s assets </w:t>
      </w:r>
      <w:proofErr w:type="gramStart"/>
      <w:r w:rsidR="000C51D7">
        <w:rPr>
          <w:rFonts w:ascii="Arial" w:hAnsi="Arial" w:cs="Arial"/>
          <w:color w:val="7B7B7B" w:themeColor="accent3" w:themeShade="BF"/>
          <w:sz w:val="22"/>
          <w:szCs w:val="22"/>
          <w:lang w:val="en-GB"/>
        </w:rPr>
        <w:t>is</w:t>
      </w:r>
      <w:proofErr w:type="gramEnd"/>
      <w:r w:rsidR="000C51D7">
        <w:rPr>
          <w:rFonts w:ascii="Arial" w:hAnsi="Arial" w:cs="Arial"/>
          <w:color w:val="7B7B7B" w:themeColor="accent3" w:themeShade="BF"/>
          <w:sz w:val="22"/>
          <w:szCs w:val="22"/>
          <w:lang w:val="en-GB"/>
        </w:rPr>
        <w:t xml:space="preserve"> less than the amount of </w:t>
      </w:r>
      <w:r w:rsidR="00DC7691">
        <w:rPr>
          <w:rFonts w:ascii="Arial" w:hAnsi="Arial" w:cs="Arial"/>
          <w:color w:val="7B7B7B" w:themeColor="accent3" w:themeShade="BF"/>
          <w:sz w:val="22"/>
          <w:szCs w:val="22"/>
          <w:lang w:val="en-GB"/>
        </w:rPr>
        <w:t>its liabilities</w:t>
      </w:r>
      <w:r w:rsidR="00B05A95">
        <w:rPr>
          <w:rFonts w:ascii="Arial" w:hAnsi="Arial" w:cs="Arial"/>
          <w:color w:val="7B7B7B" w:themeColor="accent3" w:themeShade="BF"/>
          <w:sz w:val="22"/>
          <w:szCs w:val="22"/>
          <w:lang w:val="en-GB"/>
        </w:rPr>
        <w:t xml:space="preserve"> taking into account </w:t>
      </w:r>
      <w:r w:rsidR="00A41307">
        <w:rPr>
          <w:rFonts w:ascii="Arial" w:hAnsi="Arial" w:cs="Arial"/>
          <w:color w:val="7B7B7B" w:themeColor="accent3" w:themeShade="BF"/>
          <w:sz w:val="22"/>
          <w:szCs w:val="22"/>
          <w:lang w:val="en-GB"/>
        </w:rPr>
        <w:t>future</w:t>
      </w:r>
      <w:r w:rsidR="00B05A95">
        <w:rPr>
          <w:rFonts w:ascii="Arial" w:hAnsi="Arial" w:cs="Arial"/>
          <w:color w:val="7B7B7B" w:themeColor="accent3" w:themeShade="BF"/>
          <w:sz w:val="22"/>
          <w:szCs w:val="22"/>
          <w:lang w:val="en-GB"/>
        </w:rPr>
        <w:t>/prospective</w:t>
      </w:r>
      <w:r w:rsidR="00A41307">
        <w:rPr>
          <w:rFonts w:ascii="Arial" w:hAnsi="Arial" w:cs="Arial"/>
          <w:color w:val="7B7B7B" w:themeColor="accent3" w:themeShade="BF"/>
          <w:sz w:val="22"/>
          <w:szCs w:val="22"/>
          <w:lang w:val="en-GB"/>
        </w:rPr>
        <w:t xml:space="preserve"> and contingent liabilities. </w:t>
      </w:r>
      <w:r w:rsidR="00943F30">
        <w:rPr>
          <w:rFonts w:ascii="Arial" w:hAnsi="Arial" w:cs="Arial"/>
          <w:color w:val="7B7B7B" w:themeColor="accent3" w:themeShade="BF"/>
          <w:sz w:val="22"/>
          <w:szCs w:val="22"/>
          <w:lang w:val="en-GB"/>
        </w:rPr>
        <w:t>There arises a problem when a petitioner tries to quantify a future or contingent debt to establish that the company’s assets exceed its liabilities.</w:t>
      </w:r>
      <w:r w:rsidR="00DA2070">
        <w:rPr>
          <w:rFonts w:ascii="Arial" w:hAnsi="Arial" w:cs="Arial"/>
          <w:color w:val="7B7B7B" w:themeColor="accent3" w:themeShade="BF"/>
          <w:sz w:val="22"/>
          <w:szCs w:val="22"/>
          <w:lang w:val="en-GB"/>
        </w:rPr>
        <w:t xml:space="preserve"> The furtherest the Court have gone according to Eurosail into the future of a business to assess it assets versus liabilities </w:t>
      </w:r>
      <w:r w:rsidR="00825964">
        <w:rPr>
          <w:rFonts w:ascii="Arial" w:hAnsi="Arial" w:cs="Arial"/>
          <w:color w:val="7B7B7B" w:themeColor="accent3" w:themeShade="BF"/>
          <w:sz w:val="22"/>
          <w:szCs w:val="22"/>
          <w:lang w:val="en-GB"/>
        </w:rPr>
        <w:t xml:space="preserve">is ten years. This is because there is a projection of future profits </w:t>
      </w:r>
      <w:proofErr w:type="gramStart"/>
      <w:r w:rsidR="00825964">
        <w:rPr>
          <w:rFonts w:ascii="Arial" w:hAnsi="Arial" w:cs="Arial"/>
          <w:color w:val="7B7B7B" w:themeColor="accent3" w:themeShade="BF"/>
          <w:sz w:val="22"/>
          <w:szCs w:val="22"/>
          <w:lang w:val="en-GB"/>
        </w:rPr>
        <w:t>t</w:t>
      </w:r>
      <w:r w:rsidR="0006196B">
        <w:rPr>
          <w:rFonts w:ascii="Arial" w:hAnsi="Arial" w:cs="Arial"/>
          <w:color w:val="7B7B7B" w:themeColor="accent3" w:themeShade="BF"/>
          <w:sz w:val="22"/>
          <w:szCs w:val="22"/>
          <w:lang w:val="en-GB"/>
        </w:rPr>
        <w:t>hat</w:t>
      </w:r>
      <w:proofErr w:type="gramEnd"/>
      <w:r w:rsidR="0006196B">
        <w:rPr>
          <w:rFonts w:ascii="Arial" w:hAnsi="Arial" w:cs="Arial"/>
          <w:color w:val="7B7B7B" w:themeColor="accent3" w:themeShade="BF"/>
          <w:sz w:val="22"/>
          <w:szCs w:val="22"/>
          <w:lang w:val="en-GB"/>
        </w:rPr>
        <w:t xml:space="preserve"> </w:t>
      </w:r>
    </w:p>
    <w:p w14:paraId="22C610C9" w14:textId="16EF6256" w:rsidR="00DE03AF" w:rsidRPr="002A37BB" w:rsidRDefault="00DE03AF" w:rsidP="002A37BB">
      <w:pPr>
        <w:jc w:val="both"/>
        <w:rPr>
          <w:rFonts w:ascii="Arial" w:hAnsi="Arial" w:cs="Arial"/>
          <w:sz w:val="22"/>
          <w:szCs w:val="22"/>
        </w:rPr>
      </w:pPr>
    </w:p>
    <w:p w14:paraId="789C3223" w14:textId="7788C0A6" w:rsidR="00020557" w:rsidRDefault="00020557" w:rsidP="002A37BB">
      <w:pPr>
        <w:jc w:val="both"/>
        <w:rPr>
          <w:rFonts w:ascii="Arial" w:hAnsi="Arial" w:cs="Arial"/>
          <w:sz w:val="22"/>
          <w:szCs w:val="22"/>
        </w:rPr>
      </w:pPr>
    </w:p>
    <w:p w14:paraId="5453A60D" w14:textId="77777777" w:rsidR="00763348" w:rsidRPr="002A37BB" w:rsidRDefault="00763348" w:rsidP="002A37BB">
      <w:pPr>
        <w:jc w:val="both"/>
        <w:rPr>
          <w:rFonts w:ascii="Arial" w:hAnsi="Arial" w:cs="Arial"/>
          <w:sz w:val="22"/>
          <w:szCs w:val="22"/>
        </w:rPr>
      </w:pPr>
    </w:p>
    <w:p w14:paraId="34516371" w14:textId="6FDF0571"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0D39386B"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Pr="00763348">
        <w:rPr>
          <w:rFonts w:ascii="Arial" w:hAnsi="Arial" w:cs="Arial"/>
          <w:b/>
          <w:bCs/>
          <w:sz w:val="22"/>
          <w:szCs w:val="22"/>
          <w:lang w:val="en-GB"/>
        </w:rPr>
        <w:t xml:space="preserve">four </w:t>
      </w:r>
      <w:r w:rsidR="00763348" w:rsidRPr="00763348">
        <w:rPr>
          <w:rFonts w:ascii="Arial" w:hAnsi="Arial" w:cs="Arial"/>
          <w:b/>
          <w:bCs/>
          <w:sz w:val="22"/>
          <w:szCs w:val="22"/>
          <w:lang w:val="en-GB"/>
        </w:rPr>
        <w:t>(4)</w:t>
      </w:r>
      <w:r w:rsidR="00763348">
        <w:rPr>
          <w:rFonts w:ascii="Arial" w:hAnsi="Arial" w:cs="Arial"/>
          <w:sz w:val="22"/>
          <w:szCs w:val="22"/>
          <w:lang w:val="en-GB"/>
        </w:rPr>
        <w:t xml:space="preserve"> </w:t>
      </w:r>
      <w:r>
        <w:rPr>
          <w:rFonts w:ascii="Arial" w:hAnsi="Arial" w:cs="Arial"/>
          <w:sz w:val="22"/>
          <w:szCs w:val="22"/>
          <w:lang w:val="en-GB"/>
        </w:rPr>
        <w:t>elements of the statutory moratorium imposed when a company enters administration.</w:t>
      </w:r>
    </w:p>
    <w:p w14:paraId="3C47960C" w14:textId="77777777" w:rsidR="00FA417D" w:rsidRPr="002A37BB" w:rsidRDefault="00FA417D" w:rsidP="002A37BB">
      <w:pPr>
        <w:ind w:left="720" w:hanging="720"/>
        <w:jc w:val="both"/>
        <w:rPr>
          <w:rFonts w:ascii="Arial" w:hAnsi="Arial" w:cs="Arial"/>
          <w:sz w:val="22"/>
          <w:szCs w:val="22"/>
          <w:lang w:val="en-GB"/>
        </w:rPr>
      </w:pPr>
    </w:p>
    <w:p w14:paraId="55A558D7" w14:textId="77777777" w:rsidR="00111E03" w:rsidRDefault="00FF5F6A"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4 elements of statutory </w:t>
      </w:r>
      <w:r w:rsidR="00111E03">
        <w:rPr>
          <w:rFonts w:ascii="Arial" w:hAnsi="Arial" w:cs="Arial"/>
          <w:color w:val="7B7B7B" w:themeColor="accent3" w:themeShade="BF"/>
          <w:sz w:val="22"/>
          <w:szCs w:val="22"/>
          <w:lang w:val="en-GB"/>
        </w:rPr>
        <w:t xml:space="preserve">moratorium imposed on a company in administration include: </w:t>
      </w:r>
    </w:p>
    <w:p w14:paraId="79A2164A" w14:textId="7801E5F3" w:rsidR="00111E03" w:rsidRPr="00111E03" w:rsidRDefault="00111E03" w:rsidP="00111E03">
      <w:pPr>
        <w:pStyle w:val="ListParagraph"/>
        <w:numPr>
          <w:ilvl w:val="0"/>
          <w:numId w:val="11"/>
        </w:numPr>
        <w:jc w:val="both"/>
        <w:rPr>
          <w:rFonts w:ascii="Arial" w:hAnsi="Arial" w:cs="Arial"/>
          <w:sz w:val="22"/>
          <w:szCs w:val="22"/>
          <w:lang w:val="en-GB"/>
        </w:rPr>
      </w:pPr>
      <w:r>
        <w:rPr>
          <w:rFonts w:ascii="Arial" w:hAnsi="Arial" w:cs="Arial"/>
          <w:color w:val="7B7B7B" w:themeColor="accent3" w:themeShade="BF"/>
          <w:sz w:val="22"/>
          <w:szCs w:val="22"/>
          <w:lang w:val="en-GB"/>
        </w:rPr>
        <w:t>No resolution may be made by the company for its winding up</w:t>
      </w:r>
      <w:r w:rsidR="00DA4283">
        <w:rPr>
          <w:rFonts w:ascii="Arial" w:hAnsi="Arial" w:cs="Arial"/>
          <w:color w:val="7B7B7B" w:themeColor="accent3" w:themeShade="BF"/>
          <w:sz w:val="22"/>
          <w:szCs w:val="22"/>
          <w:lang w:val="en-GB"/>
        </w:rPr>
        <w:t xml:space="preserve"> or no administrative receiver may be </w:t>
      </w:r>
      <w:proofErr w:type="gramStart"/>
      <w:r w:rsidR="00DA4283">
        <w:rPr>
          <w:rFonts w:ascii="Arial" w:hAnsi="Arial" w:cs="Arial"/>
          <w:color w:val="7B7B7B" w:themeColor="accent3" w:themeShade="BF"/>
          <w:sz w:val="22"/>
          <w:szCs w:val="22"/>
          <w:lang w:val="en-GB"/>
        </w:rPr>
        <w:t>appointed</w:t>
      </w:r>
      <w:r>
        <w:rPr>
          <w:rFonts w:ascii="Arial" w:hAnsi="Arial" w:cs="Arial"/>
          <w:color w:val="7B7B7B" w:themeColor="accent3" w:themeShade="BF"/>
          <w:sz w:val="22"/>
          <w:szCs w:val="22"/>
          <w:lang w:val="en-GB"/>
        </w:rPr>
        <w:t>;</w:t>
      </w:r>
      <w:proofErr w:type="gramEnd"/>
    </w:p>
    <w:p w14:paraId="0FEC32DE" w14:textId="77777777" w:rsidR="00CA6668" w:rsidRPr="00CA6668" w:rsidRDefault="00CA6668" w:rsidP="00111E03">
      <w:pPr>
        <w:pStyle w:val="ListParagraph"/>
        <w:numPr>
          <w:ilvl w:val="0"/>
          <w:numId w:val="11"/>
        </w:numPr>
        <w:jc w:val="both"/>
        <w:rPr>
          <w:rFonts w:ascii="Arial" w:hAnsi="Arial" w:cs="Arial"/>
          <w:sz w:val="22"/>
          <w:szCs w:val="22"/>
          <w:lang w:val="en-GB"/>
        </w:rPr>
      </w:pPr>
      <w:r>
        <w:rPr>
          <w:rFonts w:ascii="Arial" w:hAnsi="Arial" w:cs="Arial"/>
          <w:color w:val="7B7B7B" w:themeColor="accent3" w:themeShade="BF"/>
          <w:sz w:val="22"/>
          <w:szCs w:val="22"/>
          <w:lang w:val="en-GB"/>
        </w:rPr>
        <w:t xml:space="preserve">No winding up order may be made against the company other than on public interest </w:t>
      </w:r>
      <w:proofErr w:type="gramStart"/>
      <w:r>
        <w:rPr>
          <w:rFonts w:ascii="Arial" w:hAnsi="Arial" w:cs="Arial"/>
          <w:color w:val="7B7B7B" w:themeColor="accent3" w:themeShade="BF"/>
          <w:sz w:val="22"/>
          <w:szCs w:val="22"/>
          <w:lang w:val="en-GB"/>
        </w:rPr>
        <w:t>ground;</w:t>
      </w:r>
      <w:proofErr w:type="gramEnd"/>
      <w:r>
        <w:rPr>
          <w:rFonts w:ascii="Arial" w:hAnsi="Arial" w:cs="Arial"/>
          <w:color w:val="7B7B7B" w:themeColor="accent3" w:themeShade="BF"/>
          <w:sz w:val="22"/>
          <w:szCs w:val="22"/>
          <w:lang w:val="en-GB"/>
        </w:rPr>
        <w:t xml:space="preserve"> </w:t>
      </w:r>
    </w:p>
    <w:p w14:paraId="36D52493" w14:textId="77777777" w:rsidR="00D821CB" w:rsidRPr="00D821CB" w:rsidRDefault="00D9666F" w:rsidP="00111E03">
      <w:pPr>
        <w:pStyle w:val="ListParagraph"/>
        <w:numPr>
          <w:ilvl w:val="0"/>
          <w:numId w:val="11"/>
        </w:numPr>
        <w:jc w:val="both"/>
        <w:rPr>
          <w:rFonts w:ascii="Arial" w:hAnsi="Arial" w:cs="Arial"/>
          <w:sz w:val="22"/>
          <w:szCs w:val="22"/>
          <w:lang w:val="en-GB"/>
        </w:rPr>
      </w:pPr>
      <w:r>
        <w:rPr>
          <w:rFonts w:ascii="Arial" w:hAnsi="Arial" w:cs="Arial"/>
          <w:color w:val="7B7B7B" w:themeColor="accent3" w:themeShade="BF"/>
          <w:sz w:val="22"/>
          <w:szCs w:val="22"/>
          <w:lang w:val="en-GB"/>
        </w:rPr>
        <w:t>No steps can be taken to enforce security</w:t>
      </w:r>
      <w:r w:rsidR="00D821CB">
        <w:rPr>
          <w:rFonts w:ascii="Arial" w:hAnsi="Arial" w:cs="Arial"/>
          <w:color w:val="7B7B7B" w:themeColor="accent3" w:themeShade="BF"/>
          <w:sz w:val="22"/>
          <w:szCs w:val="22"/>
          <w:lang w:val="en-GB"/>
        </w:rPr>
        <w:t xml:space="preserve"> over the company’s property except with the consent of the administrator or the court’s permission; and</w:t>
      </w:r>
    </w:p>
    <w:p w14:paraId="78DB9FD8" w14:textId="11638809" w:rsidR="00C72848" w:rsidRPr="00111E03" w:rsidRDefault="00E26C7D" w:rsidP="00111E03">
      <w:pPr>
        <w:pStyle w:val="ListParagraph"/>
        <w:numPr>
          <w:ilvl w:val="0"/>
          <w:numId w:val="11"/>
        </w:numPr>
        <w:jc w:val="both"/>
        <w:rPr>
          <w:rFonts w:ascii="Arial" w:hAnsi="Arial" w:cs="Arial"/>
          <w:sz w:val="22"/>
          <w:szCs w:val="22"/>
          <w:lang w:val="en-GB"/>
        </w:rPr>
      </w:pPr>
      <w:r>
        <w:rPr>
          <w:rFonts w:ascii="Arial" w:hAnsi="Arial" w:cs="Arial"/>
          <w:color w:val="7B7B7B" w:themeColor="accent3" w:themeShade="BF"/>
          <w:sz w:val="22"/>
          <w:szCs w:val="22"/>
          <w:lang w:val="en-GB"/>
        </w:rPr>
        <w:t>No legal process including legal proceedings or execution of judgment</w:t>
      </w:r>
      <w:r w:rsidR="00D9666F">
        <w:rPr>
          <w:rFonts w:ascii="Arial" w:hAnsi="Arial" w:cs="Arial"/>
          <w:color w:val="7B7B7B" w:themeColor="accent3" w:themeShade="BF"/>
          <w:sz w:val="22"/>
          <w:szCs w:val="22"/>
          <w:lang w:val="en-GB"/>
        </w:rPr>
        <w:t xml:space="preserve"> </w:t>
      </w:r>
      <w:r w:rsidR="00AA33CE">
        <w:rPr>
          <w:rFonts w:ascii="Arial" w:hAnsi="Arial" w:cs="Arial"/>
          <w:color w:val="7B7B7B" w:themeColor="accent3" w:themeShade="BF"/>
          <w:sz w:val="22"/>
          <w:szCs w:val="22"/>
          <w:lang w:val="en-GB"/>
        </w:rPr>
        <w:t>can be executed</w:t>
      </w:r>
      <w:r w:rsidR="00465FFE">
        <w:rPr>
          <w:rFonts w:ascii="Arial" w:hAnsi="Arial" w:cs="Arial"/>
          <w:color w:val="7B7B7B" w:themeColor="accent3" w:themeShade="BF"/>
          <w:sz w:val="22"/>
          <w:szCs w:val="22"/>
          <w:lang w:val="en-GB"/>
        </w:rPr>
        <w:t xml:space="preserve">, </w:t>
      </w:r>
      <w:proofErr w:type="gramStart"/>
      <w:r w:rsidR="00465FFE">
        <w:rPr>
          <w:rFonts w:ascii="Arial" w:hAnsi="Arial" w:cs="Arial"/>
          <w:color w:val="7B7B7B" w:themeColor="accent3" w:themeShade="BF"/>
          <w:sz w:val="22"/>
          <w:szCs w:val="22"/>
          <w:lang w:val="en-GB"/>
        </w:rPr>
        <w:t>instituted</w:t>
      </w:r>
      <w:proofErr w:type="gramEnd"/>
      <w:r w:rsidR="00465FFE">
        <w:rPr>
          <w:rFonts w:ascii="Arial" w:hAnsi="Arial" w:cs="Arial"/>
          <w:color w:val="7B7B7B" w:themeColor="accent3" w:themeShade="BF"/>
          <w:sz w:val="22"/>
          <w:szCs w:val="22"/>
          <w:lang w:val="en-GB"/>
        </w:rPr>
        <w:t xml:space="preserve"> or continued </w:t>
      </w:r>
      <w:r w:rsidR="00AA33CE">
        <w:rPr>
          <w:rFonts w:ascii="Arial" w:hAnsi="Arial" w:cs="Arial"/>
          <w:color w:val="7B7B7B" w:themeColor="accent3" w:themeShade="BF"/>
          <w:sz w:val="22"/>
          <w:szCs w:val="22"/>
          <w:lang w:val="en-GB"/>
        </w:rPr>
        <w:t xml:space="preserve">against the company except with the consent of the administrator or </w:t>
      </w:r>
      <w:r w:rsidR="00465FFE">
        <w:rPr>
          <w:rFonts w:ascii="Arial" w:hAnsi="Arial" w:cs="Arial"/>
          <w:color w:val="7B7B7B" w:themeColor="accent3" w:themeShade="BF"/>
          <w:sz w:val="22"/>
          <w:szCs w:val="22"/>
          <w:lang w:val="en-GB"/>
        </w:rPr>
        <w:t>the Court’s permission.</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0343CD65" w:rsidR="00FA417D" w:rsidRPr="002A37BB" w:rsidRDefault="00FA417D" w:rsidP="00FA417D">
      <w:pPr>
        <w:jc w:val="both"/>
        <w:rPr>
          <w:rFonts w:ascii="Arial" w:hAnsi="Arial" w:cs="Arial"/>
          <w:sz w:val="22"/>
          <w:szCs w:val="22"/>
          <w:lang w:val="en-GB"/>
        </w:rPr>
      </w:pPr>
      <w:r>
        <w:rPr>
          <w:rFonts w:ascii="Arial" w:hAnsi="Arial" w:cs="Arial"/>
          <w:sz w:val="22"/>
          <w:szCs w:val="22"/>
          <w:lang w:val="en-GB"/>
        </w:rPr>
        <w:t>Explain the main differences between a Part 26 Scheme of Arrangement and a Part 26A Restructuring Plan</w:t>
      </w:r>
      <w:r w:rsidR="00763348">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4024A332" w14:textId="6C40CC87" w:rsidR="00544127" w:rsidRDefault="00C6753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main differences between a Part 26 Scheme of Arrangement and a Part 26 A Restructuring Plan are </w:t>
      </w:r>
      <w:proofErr w:type="gramStart"/>
      <w:r>
        <w:rPr>
          <w:rFonts w:ascii="Arial" w:hAnsi="Arial" w:cs="Arial"/>
          <w:color w:val="7B7B7B" w:themeColor="accent3" w:themeShade="BF"/>
          <w:sz w:val="22"/>
          <w:szCs w:val="22"/>
          <w:lang w:val="en-GB"/>
        </w:rPr>
        <w:t>3 fold</w:t>
      </w:r>
      <w:proofErr w:type="gramEnd"/>
      <w:r>
        <w:rPr>
          <w:rFonts w:ascii="Arial" w:hAnsi="Arial" w:cs="Arial"/>
          <w:color w:val="7B7B7B" w:themeColor="accent3" w:themeShade="BF"/>
          <w:sz w:val="22"/>
          <w:szCs w:val="22"/>
          <w:lang w:val="en-GB"/>
        </w:rPr>
        <w:t xml:space="preserve"> as follows:</w:t>
      </w:r>
      <w:r w:rsidR="00607D6C">
        <w:rPr>
          <w:rFonts w:ascii="Arial" w:hAnsi="Arial" w:cs="Arial"/>
          <w:color w:val="7B7B7B" w:themeColor="accent3" w:themeShade="BF"/>
          <w:sz w:val="22"/>
          <w:szCs w:val="22"/>
          <w:lang w:val="en-GB"/>
        </w:rPr>
        <w:t xml:space="preserve"> i) the conditions to be met for adopting the process; ii) </w:t>
      </w:r>
      <w:r w:rsidR="003166AF">
        <w:rPr>
          <w:rFonts w:ascii="Arial" w:hAnsi="Arial" w:cs="Arial"/>
          <w:color w:val="7B7B7B" w:themeColor="accent3" w:themeShade="BF"/>
          <w:sz w:val="22"/>
          <w:szCs w:val="22"/>
          <w:lang w:val="en-GB"/>
        </w:rPr>
        <w:t>the approval percentage required to enter into the arrangement and iii) the</w:t>
      </w:r>
      <w:r w:rsidR="00F649F8">
        <w:rPr>
          <w:rFonts w:ascii="Arial" w:hAnsi="Arial" w:cs="Arial"/>
          <w:color w:val="7B7B7B" w:themeColor="accent3" w:themeShade="BF"/>
          <w:sz w:val="22"/>
          <w:szCs w:val="22"/>
          <w:lang w:val="en-GB"/>
        </w:rPr>
        <w:t xml:space="preserve"> cram down of dissenting creditors.</w:t>
      </w:r>
    </w:p>
    <w:p w14:paraId="0CF33A8D" w14:textId="55FED001" w:rsidR="00F649F8" w:rsidRDefault="00F4343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Conditions for </w:t>
      </w:r>
      <w:r w:rsidR="00F649F8">
        <w:rPr>
          <w:rFonts w:ascii="Arial" w:hAnsi="Arial" w:cs="Arial"/>
          <w:color w:val="7B7B7B" w:themeColor="accent3" w:themeShade="BF"/>
          <w:sz w:val="22"/>
          <w:szCs w:val="22"/>
          <w:lang w:val="en-GB"/>
        </w:rPr>
        <w:t xml:space="preserve">a Part </w:t>
      </w:r>
      <w:r>
        <w:rPr>
          <w:rFonts w:ascii="Arial" w:hAnsi="Arial" w:cs="Arial"/>
          <w:color w:val="7B7B7B" w:themeColor="accent3" w:themeShade="BF"/>
          <w:sz w:val="22"/>
          <w:szCs w:val="22"/>
          <w:lang w:val="en-GB"/>
        </w:rPr>
        <w:t xml:space="preserve">26 Scheme of Arrangement </w:t>
      </w:r>
      <w:r w:rsidR="007406C7">
        <w:rPr>
          <w:rFonts w:ascii="Arial" w:hAnsi="Arial" w:cs="Arial"/>
          <w:color w:val="7B7B7B" w:themeColor="accent3" w:themeShade="BF"/>
          <w:sz w:val="22"/>
          <w:szCs w:val="22"/>
          <w:lang w:val="en-GB"/>
        </w:rPr>
        <w:t xml:space="preserve">– it was designed for the reorganisation of a </w:t>
      </w:r>
      <w:r w:rsidR="003E5AC1">
        <w:rPr>
          <w:rFonts w:ascii="Arial" w:hAnsi="Arial" w:cs="Arial"/>
          <w:color w:val="7B7B7B" w:themeColor="accent3" w:themeShade="BF"/>
          <w:sz w:val="22"/>
          <w:szCs w:val="22"/>
          <w:lang w:val="en-GB"/>
        </w:rPr>
        <w:t xml:space="preserve">solvent </w:t>
      </w:r>
      <w:r w:rsidR="007406C7">
        <w:rPr>
          <w:rFonts w:ascii="Arial" w:hAnsi="Arial" w:cs="Arial"/>
          <w:color w:val="7B7B7B" w:themeColor="accent3" w:themeShade="BF"/>
          <w:sz w:val="22"/>
          <w:szCs w:val="22"/>
          <w:lang w:val="en-GB"/>
        </w:rPr>
        <w:t xml:space="preserve">company </w:t>
      </w:r>
      <w:r w:rsidR="003E5AC1">
        <w:rPr>
          <w:rFonts w:ascii="Arial" w:hAnsi="Arial" w:cs="Arial"/>
          <w:color w:val="7B7B7B" w:themeColor="accent3" w:themeShade="BF"/>
          <w:sz w:val="22"/>
          <w:szCs w:val="22"/>
          <w:lang w:val="en-GB"/>
        </w:rPr>
        <w:t>but can be used for a solvent or insolvent company.</w:t>
      </w:r>
      <w:r w:rsidR="00435831">
        <w:rPr>
          <w:rFonts w:ascii="Arial" w:hAnsi="Arial" w:cs="Arial"/>
          <w:color w:val="7B7B7B" w:themeColor="accent3" w:themeShade="BF"/>
          <w:sz w:val="22"/>
          <w:szCs w:val="22"/>
          <w:lang w:val="en-GB"/>
        </w:rPr>
        <w:t xml:space="preserve"> On the other hand a Part 26 A </w:t>
      </w:r>
      <w:r w:rsidR="007F4953">
        <w:rPr>
          <w:rFonts w:ascii="Arial" w:hAnsi="Arial" w:cs="Arial"/>
          <w:color w:val="7B7B7B" w:themeColor="accent3" w:themeShade="BF"/>
          <w:sz w:val="22"/>
          <w:szCs w:val="22"/>
          <w:lang w:val="en-GB"/>
        </w:rPr>
        <w:t xml:space="preserve">restructuring plan is only available where </w:t>
      </w:r>
      <w:r w:rsidR="00846D0F">
        <w:rPr>
          <w:rFonts w:ascii="Arial" w:hAnsi="Arial" w:cs="Arial"/>
          <w:color w:val="7B7B7B" w:themeColor="accent3" w:themeShade="BF"/>
          <w:sz w:val="22"/>
          <w:szCs w:val="22"/>
          <w:lang w:val="en-GB"/>
        </w:rPr>
        <w:t xml:space="preserve">two conditions are met: (i) </w:t>
      </w:r>
      <w:r w:rsidR="007F4953">
        <w:rPr>
          <w:rFonts w:ascii="Arial" w:hAnsi="Arial" w:cs="Arial"/>
          <w:color w:val="7B7B7B" w:themeColor="accent3" w:themeShade="BF"/>
          <w:sz w:val="22"/>
          <w:szCs w:val="22"/>
          <w:lang w:val="en-GB"/>
        </w:rPr>
        <w:t>the relevant company has encountered or is likely to encounter financial difficulties that are affecting or will affect its ability to carry on busine</w:t>
      </w:r>
      <w:r w:rsidR="0034656D">
        <w:rPr>
          <w:rFonts w:ascii="Arial" w:hAnsi="Arial" w:cs="Arial"/>
          <w:color w:val="7B7B7B" w:themeColor="accent3" w:themeShade="BF"/>
          <w:sz w:val="22"/>
          <w:szCs w:val="22"/>
          <w:lang w:val="en-GB"/>
        </w:rPr>
        <w:t>s</w:t>
      </w:r>
      <w:r w:rsidR="007F4953">
        <w:rPr>
          <w:rFonts w:ascii="Arial" w:hAnsi="Arial" w:cs="Arial"/>
          <w:color w:val="7B7B7B" w:themeColor="accent3" w:themeShade="BF"/>
          <w:sz w:val="22"/>
          <w:szCs w:val="22"/>
          <w:lang w:val="en-GB"/>
        </w:rPr>
        <w:t>s as a going concern</w:t>
      </w:r>
      <w:r w:rsidR="004A2316">
        <w:rPr>
          <w:rFonts w:ascii="Arial" w:hAnsi="Arial" w:cs="Arial"/>
          <w:color w:val="7B7B7B" w:themeColor="accent3" w:themeShade="BF"/>
          <w:sz w:val="22"/>
          <w:szCs w:val="22"/>
          <w:lang w:val="en-GB"/>
        </w:rPr>
        <w:t>;</w:t>
      </w:r>
      <w:r w:rsidR="00846D0F">
        <w:rPr>
          <w:rFonts w:ascii="Arial" w:hAnsi="Arial" w:cs="Arial"/>
          <w:color w:val="7B7B7B" w:themeColor="accent3" w:themeShade="BF"/>
          <w:sz w:val="22"/>
          <w:szCs w:val="22"/>
          <w:lang w:val="en-GB"/>
        </w:rPr>
        <w:t xml:space="preserve"> (ii)</w:t>
      </w:r>
      <w:r w:rsidR="00F779CD">
        <w:rPr>
          <w:rFonts w:ascii="Arial" w:hAnsi="Arial" w:cs="Arial"/>
          <w:color w:val="7B7B7B" w:themeColor="accent3" w:themeShade="BF"/>
          <w:sz w:val="22"/>
          <w:szCs w:val="22"/>
          <w:lang w:val="en-GB"/>
        </w:rPr>
        <w:t xml:space="preserve"> a compromise or arrangement is proposed between the company and its creditors or any class of them or </w:t>
      </w:r>
      <w:r w:rsidR="00C300B7">
        <w:rPr>
          <w:rFonts w:ascii="Arial" w:hAnsi="Arial" w:cs="Arial"/>
          <w:color w:val="7B7B7B" w:themeColor="accent3" w:themeShade="BF"/>
          <w:sz w:val="22"/>
          <w:szCs w:val="22"/>
          <w:lang w:val="en-GB"/>
        </w:rPr>
        <w:t xml:space="preserve">proposed between the company and its members or any class of them and the purpose of the compromise is </w:t>
      </w:r>
      <w:r w:rsidR="00D02039">
        <w:rPr>
          <w:rFonts w:ascii="Arial" w:hAnsi="Arial" w:cs="Arial"/>
          <w:color w:val="7B7B7B" w:themeColor="accent3" w:themeShade="BF"/>
          <w:sz w:val="22"/>
          <w:szCs w:val="22"/>
          <w:lang w:val="en-GB"/>
        </w:rPr>
        <w:t>to eliminate, reduce, prevent or mitigate the effect of</w:t>
      </w:r>
      <w:r w:rsidR="00244ECC">
        <w:rPr>
          <w:rFonts w:ascii="Arial" w:hAnsi="Arial" w:cs="Arial"/>
          <w:color w:val="7B7B7B" w:themeColor="accent3" w:themeShade="BF"/>
          <w:sz w:val="22"/>
          <w:szCs w:val="22"/>
          <w:lang w:val="en-GB"/>
        </w:rPr>
        <w:t xml:space="preserve"> the financial difficulties.</w:t>
      </w:r>
    </w:p>
    <w:p w14:paraId="6E260B10" w14:textId="77777777" w:rsidR="00244ECC" w:rsidRDefault="00244ECC" w:rsidP="002A37BB">
      <w:pPr>
        <w:jc w:val="both"/>
        <w:rPr>
          <w:rFonts w:ascii="Arial" w:hAnsi="Arial" w:cs="Arial"/>
          <w:color w:val="7B7B7B" w:themeColor="accent3" w:themeShade="BF"/>
          <w:sz w:val="22"/>
          <w:szCs w:val="22"/>
          <w:lang w:val="en-GB"/>
        </w:rPr>
      </w:pPr>
    </w:p>
    <w:p w14:paraId="0EF46490" w14:textId="2C74ED59" w:rsidR="00244ECC" w:rsidRDefault="00244EC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voting approval needed for a Part </w:t>
      </w:r>
      <w:r w:rsidR="00194FBD">
        <w:rPr>
          <w:rFonts w:ascii="Arial" w:hAnsi="Arial" w:cs="Arial"/>
          <w:color w:val="7B7B7B" w:themeColor="accent3" w:themeShade="BF"/>
          <w:sz w:val="22"/>
          <w:szCs w:val="22"/>
          <w:lang w:val="en-GB"/>
        </w:rPr>
        <w:t>26 Scheme of Arrangement is that each meeting or class meeting must approve the scheme by a simple majority in num</w:t>
      </w:r>
      <w:r w:rsidR="00CA2414">
        <w:rPr>
          <w:rFonts w:ascii="Arial" w:hAnsi="Arial" w:cs="Arial"/>
          <w:color w:val="7B7B7B" w:themeColor="accent3" w:themeShade="BF"/>
          <w:sz w:val="22"/>
          <w:szCs w:val="22"/>
          <w:lang w:val="en-GB"/>
        </w:rPr>
        <w:t xml:space="preserve">ber </w:t>
      </w:r>
      <w:r w:rsidR="0093196D">
        <w:rPr>
          <w:rFonts w:ascii="Arial" w:hAnsi="Arial" w:cs="Arial"/>
          <w:color w:val="7B7B7B" w:themeColor="accent3" w:themeShade="BF"/>
          <w:sz w:val="22"/>
          <w:szCs w:val="22"/>
          <w:lang w:val="en-GB"/>
        </w:rPr>
        <w:t xml:space="preserve">plus </w:t>
      </w:r>
      <w:r w:rsidR="00CA2414">
        <w:rPr>
          <w:rFonts w:ascii="Arial" w:hAnsi="Arial" w:cs="Arial"/>
          <w:color w:val="7B7B7B" w:themeColor="accent3" w:themeShade="BF"/>
          <w:sz w:val="22"/>
          <w:szCs w:val="22"/>
          <w:lang w:val="en-GB"/>
        </w:rPr>
        <w:t xml:space="preserve">a majority of </w:t>
      </w:r>
      <w:r w:rsidR="00CA2414">
        <w:rPr>
          <w:rFonts w:ascii="Arial" w:hAnsi="Arial" w:cs="Arial"/>
          <w:color w:val="7B7B7B" w:themeColor="accent3" w:themeShade="BF"/>
          <w:sz w:val="22"/>
          <w:szCs w:val="22"/>
          <w:lang w:val="en-GB"/>
        </w:rPr>
        <w:lastRenderedPageBreak/>
        <w:t>75% or more in value of the creditors or members present and voting. For the Part 26A restructuring</w:t>
      </w:r>
      <w:r w:rsidR="0093196D">
        <w:rPr>
          <w:rFonts w:ascii="Arial" w:hAnsi="Arial" w:cs="Arial"/>
          <w:color w:val="7B7B7B" w:themeColor="accent3" w:themeShade="BF"/>
          <w:sz w:val="22"/>
          <w:szCs w:val="22"/>
          <w:lang w:val="en-GB"/>
        </w:rPr>
        <w:t>,</w:t>
      </w:r>
      <w:r w:rsidR="00CA2414">
        <w:rPr>
          <w:rFonts w:ascii="Arial" w:hAnsi="Arial" w:cs="Arial"/>
          <w:color w:val="7B7B7B" w:themeColor="accent3" w:themeShade="BF"/>
          <w:sz w:val="22"/>
          <w:szCs w:val="22"/>
          <w:lang w:val="en-GB"/>
        </w:rPr>
        <w:t xml:space="preserve"> the vote required is </w:t>
      </w:r>
      <w:r w:rsidR="00D120BA">
        <w:rPr>
          <w:rFonts w:ascii="Arial" w:hAnsi="Arial" w:cs="Arial"/>
          <w:color w:val="7B7B7B" w:themeColor="accent3" w:themeShade="BF"/>
          <w:sz w:val="22"/>
          <w:szCs w:val="22"/>
          <w:lang w:val="en-GB"/>
        </w:rPr>
        <w:t>75% or more in value of the creditors or class of creditors or member</w:t>
      </w:r>
      <w:r w:rsidR="00C54E86">
        <w:rPr>
          <w:rFonts w:ascii="Arial" w:hAnsi="Arial" w:cs="Arial"/>
          <w:color w:val="7B7B7B" w:themeColor="accent3" w:themeShade="BF"/>
          <w:sz w:val="22"/>
          <w:szCs w:val="22"/>
          <w:lang w:val="en-GB"/>
        </w:rPr>
        <w:t>s or class of members</w:t>
      </w:r>
      <w:r w:rsidR="00F20408">
        <w:rPr>
          <w:rFonts w:ascii="Arial" w:hAnsi="Arial" w:cs="Arial"/>
          <w:color w:val="7B7B7B" w:themeColor="accent3" w:themeShade="BF"/>
          <w:sz w:val="22"/>
          <w:szCs w:val="22"/>
          <w:lang w:val="en-GB"/>
        </w:rPr>
        <w:t>,</w:t>
      </w:r>
      <w:r w:rsidR="00C54E86">
        <w:rPr>
          <w:rFonts w:ascii="Arial" w:hAnsi="Arial" w:cs="Arial"/>
          <w:color w:val="7B7B7B" w:themeColor="accent3" w:themeShade="BF"/>
          <w:sz w:val="22"/>
          <w:szCs w:val="22"/>
          <w:lang w:val="en-GB"/>
        </w:rPr>
        <w:t xml:space="preserve"> as </w:t>
      </w:r>
      <w:r w:rsidR="00F20408">
        <w:rPr>
          <w:rFonts w:ascii="Arial" w:hAnsi="Arial" w:cs="Arial"/>
          <w:color w:val="7B7B7B" w:themeColor="accent3" w:themeShade="BF"/>
          <w:sz w:val="22"/>
          <w:szCs w:val="22"/>
          <w:lang w:val="en-GB"/>
        </w:rPr>
        <w:t>is relevant</w:t>
      </w:r>
      <w:r w:rsidR="00C54E86">
        <w:rPr>
          <w:rFonts w:ascii="Arial" w:hAnsi="Arial" w:cs="Arial"/>
          <w:color w:val="7B7B7B" w:themeColor="accent3" w:themeShade="BF"/>
          <w:sz w:val="22"/>
          <w:szCs w:val="22"/>
          <w:lang w:val="en-GB"/>
        </w:rPr>
        <w:t>, approv</w:t>
      </w:r>
      <w:r w:rsidR="0093196D">
        <w:rPr>
          <w:rFonts w:ascii="Arial" w:hAnsi="Arial" w:cs="Arial"/>
          <w:color w:val="7B7B7B" w:themeColor="accent3" w:themeShade="BF"/>
          <w:sz w:val="22"/>
          <w:szCs w:val="22"/>
          <w:lang w:val="en-GB"/>
        </w:rPr>
        <w:t>ing</w:t>
      </w:r>
      <w:r w:rsidR="00C54E86">
        <w:rPr>
          <w:rFonts w:ascii="Arial" w:hAnsi="Arial" w:cs="Arial"/>
          <w:color w:val="7B7B7B" w:themeColor="accent3" w:themeShade="BF"/>
          <w:sz w:val="22"/>
          <w:szCs w:val="22"/>
          <w:lang w:val="en-GB"/>
        </w:rPr>
        <w:t xml:space="preserve"> the restructuring plan.</w:t>
      </w:r>
    </w:p>
    <w:p w14:paraId="677B31FF" w14:textId="7C3A02F0" w:rsidR="00F20408" w:rsidRDefault="00F20408" w:rsidP="002A37BB">
      <w:pPr>
        <w:jc w:val="both"/>
        <w:rPr>
          <w:rFonts w:ascii="Arial" w:hAnsi="Arial" w:cs="Arial"/>
          <w:color w:val="7B7B7B" w:themeColor="accent3" w:themeShade="BF"/>
          <w:sz w:val="22"/>
          <w:szCs w:val="22"/>
          <w:lang w:val="en-GB"/>
        </w:rPr>
      </w:pPr>
    </w:p>
    <w:p w14:paraId="588FADCB" w14:textId="45C2F12F" w:rsidR="00F20408" w:rsidRDefault="00F2040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w:t>
      </w:r>
      <w:r w:rsidR="0040732F">
        <w:rPr>
          <w:rFonts w:ascii="Arial" w:hAnsi="Arial" w:cs="Arial"/>
          <w:color w:val="7B7B7B" w:themeColor="accent3" w:themeShade="BF"/>
          <w:sz w:val="22"/>
          <w:szCs w:val="22"/>
          <w:lang w:val="en-GB"/>
        </w:rPr>
        <w:t>on a Part 26</w:t>
      </w:r>
      <w:r w:rsidR="0064231A">
        <w:rPr>
          <w:rFonts w:ascii="Arial" w:hAnsi="Arial" w:cs="Arial"/>
          <w:color w:val="7B7B7B" w:themeColor="accent3" w:themeShade="BF"/>
          <w:sz w:val="22"/>
          <w:szCs w:val="22"/>
          <w:lang w:val="en-GB"/>
        </w:rPr>
        <w:t>,</w:t>
      </w:r>
      <w:r w:rsidR="0040732F">
        <w:rPr>
          <w:rFonts w:ascii="Arial" w:hAnsi="Arial" w:cs="Arial"/>
          <w:color w:val="7B7B7B" w:themeColor="accent3" w:themeShade="BF"/>
          <w:sz w:val="22"/>
          <w:szCs w:val="22"/>
          <w:lang w:val="en-GB"/>
        </w:rPr>
        <w:t xml:space="preserve"> </w:t>
      </w:r>
      <w:r w:rsidR="009F38B3">
        <w:rPr>
          <w:rFonts w:ascii="Arial" w:hAnsi="Arial" w:cs="Arial"/>
          <w:color w:val="7B7B7B" w:themeColor="accent3" w:themeShade="BF"/>
          <w:sz w:val="22"/>
          <w:szCs w:val="22"/>
          <w:lang w:val="en-GB"/>
        </w:rPr>
        <w:t>a scheme can be made binding on creditors of a same class who have voted against it. The scheme cannot however be made binding on creditors of a different class.</w:t>
      </w:r>
      <w:r w:rsidR="000B5D03">
        <w:rPr>
          <w:rFonts w:ascii="Arial" w:hAnsi="Arial" w:cs="Arial"/>
          <w:color w:val="7B7B7B" w:themeColor="accent3" w:themeShade="BF"/>
          <w:sz w:val="22"/>
          <w:szCs w:val="22"/>
          <w:lang w:val="en-GB"/>
        </w:rPr>
        <w:t xml:space="preserve"> For a Part 26A restructuring, the plan can be made binding on creditors of a different class </w:t>
      </w:r>
      <w:proofErr w:type="gramStart"/>
      <w:r w:rsidR="000B5D03">
        <w:rPr>
          <w:rFonts w:ascii="Arial" w:hAnsi="Arial" w:cs="Arial"/>
          <w:color w:val="7B7B7B" w:themeColor="accent3" w:themeShade="BF"/>
          <w:sz w:val="22"/>
          <w:szCs w:val="22"/>
          <w:lang w:val="en-GB"/>
        </w:rPr>
        <w:t>if</w:t>
      </w:r>
      <w:proofErr w:type="gramEnd"/>
      <w:r w:rsidR="000B5D03">
        <w:rPr>
          <w:rFonts w:ascii="Arial" w:hAnsi="Arial" w:cs="Arial"/>
          <w:color w:val="7B7B7B" w:themeColor="accent3" w:themeShade="BF"/>
          <w:sz w:val="22"/>
          <w:szCs w:val="22"/>
          <w:lang w:val="en-GB"/>
        </w:rPr>
        <w:t xml:space="preserve"> </w:t>
      </w:r>
    </w:p>
    <w:p w14:paraId="2CD40C14" w14:textId="70E4E077" w:rsidR="00F20408" w:rsidRPr="002A37BB" w:rsidRDefault="005F04DE" w:rsidP="002A37BB">
      <w:pPr>
        <w:jc w:val="both"/>
        <w:rPr>
          <w:rFonts w:ascii="Arial" w:hAnsi="Arial" w:cs="Arial"/>
          <w:sz w:val="22"/>
          <w:szCs w:val="22"/>
        </w:rPr>
      </w:pPr>
      <w:r>
        <w:rPr>
          <w:rFonts w:ascii="Arial" w:hAnsi="Arial" w:cs="Arial"/>
          <w:color w:val="7B7B7B" w:themeColor="accent3" w:themeShade="BF"/>
          <w:sz w:val="22"/>
          <w:szCs w:val="22"/>
          <w:lang w:val="en-GB"/>
        </w:rPr>
        <w:t xml:space="preserve">Conditions A and B are met. Condition A provides that the Court must be satisfied that if sanctioned, none of the dissenting class would be any worse off than they would be </w:t>
      </w:r>
      <w:r w:rsidR="009B40FD">
        <w:rPr>
          <w:rFonts w:ascii="Arial" w:hAnsi="Arial" w:cs="Arial"/>
          <w:color w:val="7B7B7B" w:themeColor="accent3" w:themeShade="BF"/>
          <w:sz w:val="22"/>
          <w:szCs w:val="22"/>
          <w:lang w:val="en-GB"/>
        </w:rPr>
        <w:t xml:space="preserve">in the event of the relevant alternative </w:t>
      </w:r>
      <w:proofErr w:type="gramStart"/>
      <w:r w:rsidR="009B40FD">
        <w:rPr>
          <w:rFonts w:ascii="Arial" w:hAnsi="Arial" w:cs="Arial"/>
          <w:color w:val="7B7B7B" w:themeColor="accent3" w:themeShade="BF"/>
          <w:sz w:val="22"/>
          <w:szCs w:val="22"/>
          <w:lang w:val="en-GB"/>
        </w:rPr>
        <w:t>ie</w:t>
      </w:r>
      <w:proofErr w:type="gramEnd"/>
      <w:r w:rsidR="009B40FD">
        <w:rPr>
          <w:rFonts w:ascii="Arial" w:hAnsi="Arial" w:cs="Arial"/>
          <w:color w:val="7B7B7B" w:themeColor="accent3" w:themeShade="BF"/>
          <w:sz w:val="22"/>
          <w:szCs w:val="22"/>
          <w:lang w:val="en-GB"/>
        </w:rPr>
        <w:t xml:space="preserve"> liquidation or administration. Condition B </w:t>
      </w:r>
      <w:r w:rsidR="0082632B">
        <w:rPr>
          <w:rFonts w:ascii="Arial" w:hAnsi="Arial" w:cs="Arial"/>
          <w:color w:val="7B7B7B" w:themeColor="accent3" w:themeShade="BF"/>
          <w:sz w:val="22"/>
          <w:szCs w:val="22"/>
          <w:lang w:val="en-GB"/>
        </w:rPr>
        <w:t xml:space="preserve">considers if the arrangement has been agreed by 75% in value of at least </w:t>
      </w:r>
      <w:r w:rsidR="00E91DFA">
        <w:rPr>
          <w:rFonts w:ascii="Arial" w:hAnsi="Arial" w:cs="Arial"/>
          <w:color w:val="7B7B7B" w:themeColor="accent3" w:themeShade="BF"/>
          <w:sz w:val="22"/>
          <w:szCs w:val="22"/>
          <w:lang w:val="en-GB"/>
        </w:rPr>
        <w:t>one class of creditors o</w:t>
      </w:r>
      <w:r w:rsidR="00BE65D4">
        <w:rPr>
          <w:rFonts w:ascii="Arial" w:hAnsi="Arial" w:cs="Arial"/>
          <w:color w:val="7B7B7B" w:themeColor="accent3" w:themeShade="BF"/>
          <w:sz w:val="22"/>
          <w:szCs w:val="22"/>
          <w:lang w:val="en-GB"/>
        </w:rPr>
        <w:t>r</w:t>
      </w:r>
      <w:r w:rsidR="00E91DFA">
        <w:rPr>
          <w:rFonts w:ascii="Arial" w:hAnsi="Arial" w:cs="Arial"/>
          <w:color w:val="7B7B7B" w:themeColor="accent3" w:themeShade="BF"/>
          <w:sz w:val="22"/>
          <w:szCs w:val="22"/>
          <w:lang w:val="en-GB"/>
        </w:rPr>
        <w:t xml:space="preserve"> member</w:t>
      </w:r>
      <w:r w:rsidR="00BE65D4">
        <w:rPr>
          <w:rFonts w:ascii="Arial" w:hAnsi="Arial" w:cs="Arial"/>
          <w:color w:val="7B7B7B" w:themeColor="accent3" w:themeShade="BF"/>
          <w:sz w:val="22"/>
          <w:szCs w:val="22"/>
          <w:lang w:val="en-GB"/>
        </w:rPr>
        <w:t>s</w:t>
      </w:r>
      <w:r w:rsidR="00E91DFA">
        <w:rPr>
          <w:rFonts w:ascii="Arial" w:hAnsi="Arial" w:cs="Arial"/>
          <w:color w:val="7B7B7B" w:themeColor="accent3" w:themeShade="BF"/>
          <w:sz w:val="22"/>
          <w:szCs w:val="22"/>
          <w:lang w:val="en-GB"/>
        </w:rPr>
        <w:t xml:space="preserve"> who would receive a payment or have a genuine </w:t>
      </w:r>
      <w:r w:rsidR="00F1114E">
        <w:rPr>
          <w:rFonts w:ascii="Arial" w:hAnsi="Arial" w:cs="Arial"/>
          <w:color w:val="7B7B7B" w:themeColor="accent3" w:themeShade="BF"/>
          <w:sz w:val="22"/>
          <w:szCs w:val="22"/>
          <w:lang w:val="en-GB"/>
        </w:rPr>
        <w:t xml:space="preserve">economic interest in the company in the event of the “relevant alternative” </w:t>
      </w:r>
      <w:r w:rsidR="00BE65D4">
        <w:rPr>
          <w:rFonts w:ascii="Arial" w:hAnsi="Arial" w:cs="Arial"/>
          <w:color w:val="7B7B7B" w:themeColor="accent3" w:themeShade="BF"/>
          <w:sz w:val="22"/>
          <w:szCs w:val="22"/>
          <w:lang w:val="en-GB"/>
        </w:rPr>
        <w:t xml:space="preserve">being </w:t>
      </w:r>
      <w:r w:rsidR="00F1114E">
        <w:rPr>
          <w:rFonts w:ascii="Arial" w:hAnsi="Arial" w:cs="Arial"/>
          <w:color w:val="7B7B7B" w:themeColor="accent3" w:themeShade="BF"/>
          <w:sz w:val="22"/>
          <w:szCs w:val="22"/>
          <w:lang w:val="en-GB"/>
        </w:rPr>
        <w:t xml:space="preserve">its liquidation or administration. </w:t>
      </w:r>
    </w:p>
    <w:p w14:paraId="4A637290" w14:textId="0E2506F5" w:rsidR="00544127" w:rsidRPr="002A37BB" w:rsidRDefault="00544127" w:rsidP="002A37BB">
      <w:pPr>
        <w:ind w:left="720" w:hanging="720"/>
        <w:jc w:val="both"/>
        <w:rPr>
          <w:rFonts w:ascii="Arial" w:hAnsi="Arial" w:cs="Arial"/>
          <w:sz w:val="22"/>
          <w:szCs w:val="22"/>
        </w:rPr>
      </w:pPr>
    </w:p>
    <w:p w14:paraId="5D5A1FA5" w14:textId="77777777" w:rsidR="00D17FDC" w:rsidRPr="002A37BB" w:rsidRDefault="00D17FDC" w:rsidP="002A37BB">
      <w:pPr>
        <w:ind w:left="720" w:hanging="720"/>
        <w:jc w:val="both"/>
        <w:rPr>
          <w:rFonts w:ascii="Arial" w:hAnsi="Arial" w:cs="Arial"/>
          <w:sz w:val="22"/>
          <w:szCs w:val="22"/>
        </w:rPr>
      </w:pPr>
    </w:p>
    <w:p w14:paraId="755D6AFF" w14:textId="2598521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6DCD5783"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E833F4">
        <w:rPr>
          <w:rFonts w:ascii="Arial" w:hAnsi="Arial" w:cs="Arial"/>
          <w:sz w:val="22"/>
          <w:szCs w:val="22"/>
          <w:lang w:val="en-GB"/>
        </w:rPr>
        <w:t>different way</w:t>
      </w:r>
      <w:r w:rsidR="00763348">
        <w:rPr>
          <w:rFonts w:ascii="Arial" w:hAnsi="Arial" w:cs="Arial"/>
          <w:sz w:val="22"/>
          <w:szCs w:val="22"/>
          <w:lang w:val="en-GB"/>
        </w:rPr>
        <w:t>s</w:t>
      </w:r>
      <w:r w:rsidR="00E833F4">
        <w:rPr>
          <w:rFonts w:ascii="Arial" w:hAnsi="Arial" w:cs="Arial"/>
          <w:sz w:val="22"/>
          <w:szCs w:val="22"/>
          <w:lang w:val="en-GB"/>
        </w:rPr>
        <w:t xml:space="preserve"> in which overseas officeholders may be recognised and request the assistance of the court in England and Wales</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7940D274" w14:textId="5787B38D" w:rsidR="00DF75F8" w:rsidRDefault="008164D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currently </w:t>
      </w:r>
      <w:r w:rsidR="00AD162E">
        <w:rPr>
          <w:rFonts w:ascii="Arial" w:hAnsi="Arial" w:cs="Arial"/>
          <w:color w:val="7B7B7B" w:themeColor="accent3" w:themeShade="BF"/>
          <w:sz w:val="22"/>
          <w:szCs w:val="22"/>
          <w:lang w:val="en-GB"/>
        </w:rPr>
        <w:t>4</w:t>
      </w:r>
      <w:r>
        <w:rPr>
          <w:rFonts w:ascii="Arial" w:hAnsi="Arial" w:cs="Arial"/>
          <w:color w:val="7B7B7B" w:themeColor="accent3" w:themeShade="BF"/>
          <w:sz w:val="22"/>
          <w:szCs w:val="22"/>
          <w:lang w:val="en-GB"/>
        </w:rPr>
        <w:t xml:space="preserve"> ways</w:t>
      </w:r>
      <w:r w:rsidR="00564897">
        <w:rPr>
          <w:rFonts w:ascii="Arial" w:hAnsi="Arial" w:cs="Arial"/>
          <w:color w:val="7B7B7B" w:themeColor="accent3" w:themeShade="BF"/>
          <w:sz w:val="22"/>
          <w:szCs w:val="22"/>
          <w:lang w:val="en-GB"/>
        </w:rPr>
        <w:t xml:space="preserve"> overseas officeholders may be recognised and request the assistance of the court in England and Wales. They are as follows</w:t>
      </w:r>
      <w:r w:rsidR="00AD162E">
        <w:rPr>
          <w:rFonts w:ascii="Arial" w:hAnsi="Arial" w:cs="Arial"/>
          <w:color w:val="7B7B7B" w:themeColor="accent3" w:themeShade="BF"/>
          <w:sz w:val="22"/>
          <w:szCs w:val="22"/>
          <w:lang w:val="en-GB"/>
        </w:rPr>
        <w:t>: i) EU Regulation on Insolvency Proceedings</w:t>
      </w:r>
      <w:r w:rsidR="009B2057">
        <w:rPr>
          <w:rFonts w:ascii="Arial" w:hAnsi="Arial" w:cs="Arial"/>
          <w:color w:val="7B7B7B" w:themeColor="accent3" w:themeShade="BF"/>
          <w:sz w:val="22"/>
          <w:szCs w:val="22"/>
          <w:lang w:val="en-GB"/>
        </w:rPr>
        <w:t xml:space="preserve"> the effects of Brexit on this option </w:t>
      </w:r>
      <w:r w:rsidR="00CD2445">
        <w:rPr>
          <w:rFonts w:ascii="Arial" w:hAnsi="Arial" w:cs="Arial"/>
          <w:color w:val="7B7B7B" w:themeColor="accent3" w:themeShade="BF"/>
          <w:sz w:val="22"/>
          <w:szCs w:val="22"/>
          <w:lang w:val="en-GB"/>
        </w:rPr>
        <w:t xml:space="preserve">are </w:t>
      </w:r>
      <w:r w:rsidR="009B2057">
        <w:rPr>
          <w:rFonts w:ascii="Arial" w:hAnsi="Arial" w:cs="Arial"/>
          <w:color w:val="7B7B7B" w:themeColor="accent3" w:themeShade="BF"/>
          <w:sz w:val="22"/>
          <w:szCs w:val="22"/>
          <w:lang w:val="en-GB"/>
        </w:rPr>
        <w:t xml:space="preserve">yet to be seen; ii) Model Law on Cross </w:t>
      </w:r>
      <w:r w:rsidR="0063769C">
        <w:rPr>
          <w:rFonts w:ascii="Arial" w:hAnsi="Arial" w:cs="Arial"/>
          <w:color w:val="7B7B7B" w:themeColor="accent3" w:themeShade="BF"/>
          <w:sz w:val="22"/>
          <w:szCs w:val="22"/>
          <w:lang w:val="en-GB"/>
        </w:rPr>
        <w:t>Bo</w:t>
      </w:r>
      <w:r w:rsidR="009B2057">
        <w:rPr>
          <w:rFonts w:ascii="Arial" w:hAnsi="Arial" w:cs="Arial"/>
          <w:color w:val="7B7B7B" w:themeColor="accent3" w:themeShade="BF"/>
          <w:sz w:val="22"/>
          <w:szCs w:val="22"/>
          <w:lang w:val="en-GB"/>
        </w:rPr>
        <w:t>rder</w:t>
      </w:r>
      <w:r w:rsidR="0063769C">
        <w:rPr>
          <w:rFonts w:ascii="Arial" w:hAnsi="Arial" w:cs="Arial"/>
          <w:color w:val="7B7B7B" w:themeColor="accent3" w:themeShade="BF"/>
          <w:sz w:val="22"/>
          <w:szCs w:val="22"/>
          <w:lang w:val="en-GB"/>
        </w:rPr>
        <w:t xml:space="preserve"> insolvency; iii) Section 426 of the Insolvency Act and iv) common law jurisdiction.</w:t>
      </w:r>
    </w:p>
    <w:p w14:paraId="676AEF29" w14:textId="76D25DEA" w:rsidR="00CD2445" w:rsidRDefault="00CD2445" w:rsidP="002A37BB">
      <w:pPr>
        <w:jc w:val="both"/>
        <w:rPr>
          <w:rFonts w:ascii="Arial" w:hAnsi="Arial" w:cs="Arial"/>
          <w:color w:val="7B7B7B" w:themeColor="accent3" w:themeShade="BF"/>
          <w:sz w:val="22"/>
          <w:szCs w:val="22"/>
          <w:lang w:val="en-GB"/>
        </w:rPr>
      </w:pPr>
    </w:p>
    <w:p w14:paraId="530D25BF" w14:textId="1AB9E850" w:rsidR="00CD2445" w:rsidRDefault="00CD244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EU Regulation</w:t>
      </w:r>
      <w:r w:rsidR="00E05DD3">
        <w:rPr>
          <w:rFonts w:ascii="Arial" w:hAnsi="Arial" w:cs="Arial"/>
          <w:color w:val="7B7B7B" w:themeColor="accent3" w:themeShade="BF"/>
          <w:sz w:val="22"/>
          <w:szCs w:val="22"/>
          <w:lang w:val="en-GB"/>
        </w:rPr>
        <w:t xml:space="preserve"> on Insolvency Proceedings</w:t>
      </w:r>
      <w:r w:rsidR="001A1E2C">
        <w:rPr>
          <w:rFonts w:ascii="Arial" w:hAnsi="Arial" w:cs="Arial"/>
          <w:color w:val="7B7B7B" w:themeColor="accent3" w:themeShade="BF"/>
          <w:sz w:val="22"/>
          <w:szCs w:val="22"/>
          <w:lang w:val="en-GB"/>
        </w:rPr>
        <w:t xml:space="preserve"> (the </w:t>
      </w:r>
      <w:r w:rsidR="001326A3">
        <w:rPr>
          <w:rFonts w:ascii="Arial" w:hAnsi="Arial" w:cs="Arial"/>
          <w:color w:val="7B7B7B" w:themeColor="accent3" w:themeShade="BF"/>
          <w:sz w:val="22"/>
          <w:szCs w:val="22"/>
          <w:lang w:val="en-GB"/>
        </w:rPr>
        <w:t>“</w:t>
      </w:r>
      <w:r w:rsidR="001A1E2C">
        <w:rPr>
          <w:rFonts w:ascii="Arial" w:hAnsi="Arial" w:cs="Arial"/>
          <w:color w:val="7B7B7B" w:themeColor="accent3" w:themeShade="BF"/>
          <w:sz w:val="22"/>
          <w:szCs w:val="22"/>
          <w:lang w:val="en-GB"/>
        </w:rPr>
        <w:t>Regulation</w:t>
      </w:r>
      <w:r w:rsidR="001326A3">
        <w:rPr>
          <w:rFonts w:ascii="Arial" w:hAnsi="Arial" w:cs="Arial"/>
          <w:color w:val="7B7B7B" w:themeColor="accent3" w:themeShade="BF"/>
          <w:sz w:val="22"/>
          <w:szCs w:val="22"/>
          <w:lang w:val="en-GB"/>
        </w:rPr>
        <w:t>”</w:t>
      </w:r>
      <w:r w:rsidR="001A1E2C">
        <w:rPr>
          <w:rFonts w:ascii="Arial" w:hAnsi="Arial" w:cs="Arial"/>
          <w:color w:val="7B7B7B" w:themeColor="accent3" w:themeShade="BF"/>
          <w:sz w:val="22"/>
          <w:szCs w:val="22"/>
          <w:lang w:val="en-GB"/>
        </w:rPr>
        <w:t>)</w:t>
      </w:r>
      <w:r w:rsidR="00E05DD3">
        <w:rPr>
          <w:rFonts w:ascii="Arial" w:hAnsi="Arial" w:cs="Arial"/>
          <w:color w:val="7B7B7B" w:themeColor="accent3" w:themeShade="BF"/>
          <w:sz w:val="22"/>
          <w:szCs w:val="22"/>
          <w:lang w:val="en-GB"/>
        </w:rPr>
        <w:t xml:space="preserve"> is useful </w:t>
      </w:r>
      <w:r w:rsidR="002D7DB6">
        <w:rPr>
          <w:rFonts w:ascii="Arial" w:hAnsi="Arial" w:cs="Arial"/>
          <w:color w:val="7B7B7B" w:themeColor="accent3" w:themeShade="BF"/>
          <w:sz w:val="22"/>
          <w:szCs w:val="22"/>
          <w:lang w:val="en-GB"/>
        </w:rPr>
        <w:t>to cross border proceedings which involve companies with their centre of main interests in any EU Member State apart from Denmark</w:t>
      </w:r>
      <w:r w:rsidR="001A1E2C">
        <w:rPr>
          <w:rFonts w:ascii="Arial" w:hAnsi="Arial" w:cs="Arial"/>
          <w:color w:val="7B7B7B" w:themeColor="accent3" w:themeShade="BF"/>
          <w:sz w:val="22"/>
          <w:szCs w:val="22"/>
          <w:lang w:val="en-GB"/>
        </w:rPr>
        <w:t xml:space="preserve">. </w:t>
      </w:r>
      <w:r w:rsidR="001326A3">
        <w:rPr>
          <w:rFonts w:ascii="Arial" w:hAnsi="Arial" w:cs="Arial"/>
          <w:color w:val="7B7B7B" w:themeColor="accent3" w:themeShade="BF"/>
          <w:sz w:val="22"/>
          <w:szCs w:val="22"/>
          <w:lang w:val="en-GB"/>
        </w:rPr>
        <w:t>Th Regulation does not try to harmonise the different insolvency regimes in the EU but instead provides rules for deciding which of the individual juris</w:t>
      </w:r>
      <w:r w:rsidR="009471CF">
        <w:rPr>
          <w:rFonts w:ascii="Arial" w:hAnsi="Arial" w:cs="Arial"/>
          <w:color w:val="7B7B7B" w:themeColor="accent3" w:themeShade="BF"/>
          <w:sz w:val="22"/>
          <w:szCs w:val="22"/>
          <w:lang w:val="en-GB"/>
        </w:rPr>
        <w:t>dictions’ insolvency regime applies in a particular case</w:t>
      </w:r>
      <w:r w:rsidR="00D76B00">
        <w:rPr>
          <w:rFonts w:ascii="Arial" w:hAnsi="Arial" w:cs="Arial"/>
          <w:color w:val="7B7B7B" w:themeColor="accent3" w:themeShade="BF"/>
          <w:sz w:val="22"/>
          <w:szCs w:val="22"/>
          <w:lang w:val="en-GB"/>
        </w:rPr>
        <w:t xml:space="preserve">. </w:t>
      </w:r>
      <w:r w:rsidR="00B60E75">
        <w:rPr>
          <w:rFonts w:ascii="Arial" w:hAnsi="Arial" w:cs="Arial"/>
          <w:color w:val="7B7B7B" w:themeColor="accent3" w:themeShade="BF"/>
          <w:sz w:val="22"/>
          <w:szCs w:val="22"/>
          <w:lang w:val="en-GB"/>
        </w:rPr>
        <w:t xml:space="preserve">If a company’s COMI is determined to be the UK for example, using its </w:t>
      </w:r>
      <w:r w:rsidR="009553D1">
        <w:rPr>
          <w:rFonts w:ascii="Arial" w:hAnsi="Arial" w:cs="Arial"/>
          <w:color w:val="7B7B7B" w:themeColor="accent3" w:themeShade="BF"/>
          <w:sz w:val="22"/>
          <w:szCs w:val="22"/>
          <w:lang w:val="en-GB"/>
        </w:rPr>
        <w:t>registered office or main place of business, it is UK insolvency laws that will apply to the company placed in liquidation or insolvency</w:t>
      </w:r>
      <w:r w:rsidR="009672C3">
        <w:rPr>
          <w:rFonts w:ascii="Arial" w:hAnsi="Arial" w:cs="Arial"/>
          <w:color w:val="7B7B7B" w:themeColor="accent3" w:themeShade="BF"/>
          <w:sz w:val="22"/>
          <w:szCs w:val="22"/>
          <w:lang w:val="en-GB"/>
        </w:rPr>
        <w:t xml:space="preserve"> across the EU with some exceptions. </w:t>
      </w:r>
      <w:r w:rsidR="00762477">
        <w:rPr>
          <w:rFonts w:ascii="Arial" w:hAnsi="Arial" w:cs="Arial"/>
          <w:color w:val="7B7B7B" w:themeColor="accent3" w:themeShade="BF"/>
          <w:sz w:val="22"/>
          <w:szCs w:val="22"/>
          <w:lang w:val="en-GB"/>
        </w:rPr>
        <w:t>Further, only the UK will have jurisdiction to</w:t>
      </w:r>
      <w:r w:rsidR="000C7EAB">
        <w:rPr>
          <w:rFonts w:ascii="Arial" w:hAnsi="Arial" w:cs="Arial"/>
          <w:color w:val="7B7B7B" w:themeColor="accent3" w:themeShade="BF"/>
          <w:sz w:val="22"/>
          <w:szCs w:val="22"/>
          <w:lang w:val="en-GB"/>
        </w:rPr>
        <w:t xml:space="preserve"> open main insolvency proceedings such as administration. </w:t>
      </w:r>
      <w:r w:rsidR="009672C3">
        <w:rPr>
          <w:rFonts w:ascii="Arial" w:hAnsi="Arial" w:cs="Arial"/>
          <w:color w:val="7B7B7B" w:themeColor="accent3" w:themeShade="BF"/>
          <w:sz w:val="22"/>
          <w:szCs w:val="22"/>
          <w:lang w:val="en-GB"/>
        </w:rPr>
        <w:t>Other EU</w:t>
      </w:r>
      <w:r w:rsidR="00DA16AF">
        <w:rPr>
          <w:rFonts w:ascii="Arial" w:hAnsi="Arial" w:cs="Arial"/>
          <w:color w:val="7B7B7B" w:themeColor="accent3" w:themeShade="BF"/>
          <w:sz w:val="22"/>
          <w:szCs w:val="22"/>
          <w:lang w:val="en-GB"/>
        </w:rPr>
        <w:t xml:space="preserve"> jurisdictions will automatically recognise the procedure and the officeholder will be able to exercise </w:t>
      </w:r>
      <w:r w:rsidR="00F21931">
        <w:rPr>
          <w:rFonts w:ascii="Arial" w:hAnsi="Arial" w:cs="Arial"/>
          <w:color w:val="7B7B7B" w:themeColor="accent3" w:themeShade="BF"/>
          <w:sz w:val="22"/>
          <w:szCs w:val="22"/>
          <w:lang w:val="en-GB"/>
        </w:rPr>
        <w:t>all his powers over assets situated in other member states.</w:t>
      </w:r>
      <w:r w:rsidR="001D59C9">
        <w:rPr>
          <w:rFonts w:ascii="Arial" w:hAnsi="Arial" w:cs="Arial"/>
          <w:color w:val="7B7B7B" w:themeColor="accent3" w:themeShade="BF"/>
          <w:sz w:val="22"/>
          <w:szCs w:val="22"/>
          <w:lang w:val="en-GB"/>
        </w:rPr>
        <w:t xml:space="preserve"> The Regulations operate to across the EU for inward bound and outward</w:t>
      </w:r>
      <w:r w:rsidR="00F756FD">
        <w:rPr>
          <w:rFonts w:ascii="Arial" w:hAnsi="Arial" w:cs="Arial"/>
          <w:color w:val="7B7B7B" w:themeColor="accent3" w:themeShade="BF"/>
          <w:sz w:val="22"/>
          <w:szCs w:val="22"/>
          <w:lang w:val="en-GB"/>
        </w:rPr>
        <w:t>-</w:t>
      </w:r>
      <w:r w:rsidR="001D59C9">
        <w:rPr>
          <w:rFonts w:ascii="Arial" w:hAnsi="Arial" w:cs="Arial"/>
          <w:color w:val="7B7B7B" w:themeColor="accent3" w:themeShade="BF"/>
          <w:sz w:val="22"/>
          <w:szCs w:val="22"/>
          <w:lang w:val="en-GB"/>
        </w:rPr>
        <w:t>bound</w:t>
      </w:r>
      <w:r w:rsidR="00F756FD">
        <w:rPr>
          <w:rFonts w:ascii="Arial" w:hAnsi="Arial" w:cs="Arial"/>
          <w:color w:val="7B7B7B" w:themeColor="accent3" w:themeShade="BF"/>
          <w:sz w:val="22"/>
          <w:szCs w:val="22"/>
          <w:lang w:val="en-GB"/>
        </w:rPr>
        <w:t xml:space="preserve"> insolvencies. The inward bound refers to a Member state office holder being automatically recognised in the UK</w:t>
      </w:r>
      <w:r w:rsidR="004B6EA9">
        <w:rPr>
          <w:rFonts w:ascii="Arial" w:hAnsi="Arial" w:cs="Arial"/>
          <w:color w:val="7B7B7B" w:themeColor="accent3" w:themeShade="BF"/>
          <w:sz w:val="22"/>
          <w:szCs w:val="22"/>
          <w:lang w:val="en-GB"/>
        </w:rPr>
        <w:t xml:space="preserve"> and the </w:t>
      </w:r>
      <w:proofErr w:type="gramStart"/>
      <w:r w:rsidR="004B6EA9">
        <w:rPr>
          <w:rFonts w:ascii="Arial" w:hAnsi="Arial" w:cs="Arial"/>
          <w:color w:val="7B7B7B" w:themeColor="accent3" w:themeShade="BF"/>
          <w:sz w:val="22"/>
          <w:szCs w:val="22"/>
          <w:lang w:val="en-GB"/>
        </w:rPr>
        <w:t>outward bound</w:t>
      </w:r>
      <w:proofErr w:type="gramEnd"/>
      <w:r w:rsidR="004B6EA9">
        <w:rPr>
          <w:rFonts w:ascii="Arial" w:hAnsi="Arial" w:cs="Arial"/>
          <w:color w:val="7B7B7B" w:themeColor="accent3" w:themeShade="BF"/>
          <w:sz w:val="22"/>
          <w:szCs w:val="22"/>
          <w:lang w:val="en-GB"/>
        </w:rPr>
        <w:t xml:space="preserve"> insolvency applies to a UK officeholder being recognised in other Member states.</w:t>
      </w:r>
    </w:p>
    <w:p w14:paraId="69120DBE" w14:textId="74A61334" w:rsidR="004B0DCD" w:rsidRDefault="004B0DCD" w:rsidP="002A37BB">
      <w:pPr>
        <w:jc w:val="both"/>
        <w:rPr>
          <w:rFonts w:ascii="Arial" w:hAnsi="Arial" w:cs="Arial"/>
          <w:color w:val="7B7B7B" w:themeColor="accent3" w:themeShade="BF"/>
          <w:sz w:val="22"/>
          <w:szCs w:val="22"/>
          <w:lang w:val="en-GB"/>
        </w:rPr>
      </w:pPr>
    </w:p>
    <w:p w14:paraId="223BA249" w14:textId="77483E4F" w:rsidR="004B0DCD" w:rsidRDefault="004B0DC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UNCITRAL Model Law on Cross Border Insolvency (the “Model Law”) is another option. The UK inco</w:t>
      </w:r>
      <w:r w:rsidR="00CC0C93">
        <w:rPr>
          <w:rFonts w:ascii="Arial" w:hAnsi="Arial" w:cs="Arial"/>
          <w:color w:val="7B7B7B" w:themeColor="accent3" w:themeShade="BF"/>
          <w:sz w:val="22"/>
          <w:szCs w:val="22"/>
          <w:lang w:val="en-GB"/>
        </w:rPr>
        <w:t>rporated the Model Law into UK law by the Cross Border Insolvency Regulations 2006</w:t>
      </w:r>
      <w:r w:rsidR="00AF56CF">
        <w:rPr>
          <w:rFonts w:ascii="Arial" w:hAnsi="Arial" w:cs="Arial"/>
          <w:color w:val="7B7B7B" w:themeColor="accent3" w:themeShade="BF"/>
          <w:sz w:val="22"/>
          <w:szCs w:val="22"/>
          <w:lang w:val="en-GB"/>
        </w:rPr>
        <w:t xml:space="preserve">. There are no reciprocity provisions so there is not much limit on </w:t>
      </w:r>
      <w:r w:rsidR="00F873C0">
        <w:rPr>
          <w:rFonts w:ascii="Arial" w:hAnsi="Arial" w:cs="Arial"/>
          <w:color w:val="7B7B7B" w:themeColor="accent3" w:themeShade="BF"/>
          <w:sz w:val="22"/>
          <w:szCs w:val="22"/>
          <w:lang w:val="en-GB"/>
        </w:rPr>
        <w:t xml:space="preserve">inward bound insolvencies- </w:t>
      </w:r>
      <w:proofErr w:type="gramStart"/>
      <w:r w:rsidR="00F873C0">
        <w:rPr>
          <w:rFonts w:ascii="Arial" w:hAnsi="Arial" w:cs="Arial"/>
          <w:color w:val="7B7B7B" w:themeColor="accent3" w:themeShade="BF"/>
          <w:sz w:val="22"/>
          <w:szCs w:val="22"/>
          <w:lang w:val="en-GB"/>
        </w:rPr>
        <w:t>ie</w:t>
      </w:r>
      <w:proofErr w:type="gramEnd"/>
      <w:r w:rsidR="00F873C0">
        <w:rPr>
          <w:rFonts w:ascii="Arial" w:hAnsi="Arial" w:cs="Arial"/>
          <w:color w:val="7B7B7B" w:themeColor="accent3" w:themeShade="BF"/>
          <w:sz w:val="22"/>
          <w:szCs w:val="22"/>
          <w:lang w:val="en-GB"/>
        </w:rPr>
        <w:t xml:space="preserve"> recognising </w:t>
      </w:r>
      <w:r w:rsidR="00481EA7">
        <w:rPr>
          <w:rFonts w:ascii="Arial" w:hAnsi="Arial" w:cs="Arial"/>
          <w:color w:val="7B7B7B" w:themeColor="accent3" w:themeShade="BF"/>
          <w:sz w:val="22"/>
          <w:szCs w:val="22"/>
          <w:lang w:val="en-GB"/>
        </w:rPr>
        <w:t>insolvency practitioners from overseas</w:t>
      </w:r>
      <w:r w:rsidR="00127774">
        <w:rPr>
          <w:rFonts w:ascii="Arial" w:hAnsi="Arial" w:cs="Arial"/>
          <w:color w:val="7B7B7B" w:themeColor="accent3" w:themeShade="BF"/>
          <w:sz w:val="22"/>
          <w:szCs w:val="22"/>
          <w:lang w:val="en-GB"/>
        </w:rPr>
        <w:t xml:space="preserve">, they are able to apply </w:t>
      </w:r>
      <w:r w:rsidR="005A2E49">
        <w:rPr>
          <w:rFonts w:ascii="Arial" w:hAnsi="Arial" w:cs="Arial"/>
          <w:color w:val="7B7B7B" w:themeColor="accent3" w:themeShade="BF"/>
          <w:sz w:val="22"/>
          <w:szCs w:val="22"/>
          <w:lang w:val="en-GB"/>
        </w:rPr>
        <w:t xml:space="preserve">to the UK court </w:t>
      </w:r>
      <w:r w:rsidR="00127774">
        <w:rPr>
          <w:rFonts w:ascii="Arial" w:hAnsi="Arial" w:cs="Arial"/>
          <w:color w:val="7B7B7B" w:themeColor="accent3" w:themeShade="BF"/>
          <w:sz w:val="22"/>
          <w:szCs w:val="22"/>
          <w:lang w:val="en-GB"/>
        </w:rPr>
        <w:t>and be recognised</w:t>
      </w:r>
      <w:r w:rsidR="005A2E49">
        <w:rPr>
          <w:rFonts w:ascii="Arial" w:hAnsi="Arial" w:cs="Arial"/>
          <w:color w:val="7B7B7B" w:themeColor="accent3" w:themeShade="BF"/>
          <w:sz w:val="22"/>
          <w:szCs w:val="22"/>
          <w:lang w:val="en-GB"/>
        </w:rPr>
        <w:t xml:space="preserve">. However, outward bound recognitions are limited </w:t>
      </w:r>
      <w:r w:rsidR="00B75DAB">
        <w:rPr>
          <w:rFonts w:ascii="Arial" w:hAnsi="Arial" w:cs="Arial"/>
          <w:color w:val="7B7B7B" w:themeColor="accent3" w:themeShade="BF"/>
          <w:sz w:val="22"/>
          <w:szCs w:val="22"/>
          <w:lang w:val="en-GB"/>
        </w:rPr>
        <w:t>only to other States that have adopted the Model Law.</w:t>
      </w:r>
      <w:r w:rsidR="005A537E">
        <w:rPr>
          <w:rFonts w:ascii="Arial" w:hAnsi="Arial" w:cs="Arial"/>
          <w:color w:val="7B7B7B" w:themeColor="accent3" w:themeShade="BF"/>
          <w:sz w:val="22"/>
          <w:szCs w:val="22"/>
          <w:lang w:val="en-GB"/>
        </w:rPr>
        <w:t xml:space="preserve"> There are approximately 44 countries that have adopted the Model Law. </w:t>
      </w:r>
      <w:r w:rsidR="00551769">
        <w:rPr>
          <w:rFonts w:ascii="Arial" w:hAnsi="Arial" w:cs="Arial"/>
          <w:color w:val="7B7B7B" w:themeColor="accent3" w:themeShade="BF"/>
          <w:sz w:val="22"/>
          <w:szCs w:val="22"/>
          <w:lang w:val="en-GB"/>
        </w:rPr>
        <w:t xml:space="preserve">Another limitation is the fact that while recognition of foreign insolvency proceedings is automatic </w:t>
      </w:r>
      <w:r w:rsidR="00DB7604">
        <w:rPr>
          <w:rFonts w:ascii="Arial" w:hAnsi="Arial" w:cs="Arial"/>
          <w:color w:val="7B7B7B" w:themeColor="accent3" w:themeShade="BF"/>
          <w:sz w:val="22"/>
          <w:szCs w:val="22"/>
          <w:lang w:val="en-GB"/>
        </w:rPr>
        <w:t>with the Regulation, it is not automatic with Model Law but requires an application to the court to obtain recognition and relief.</w:t>
      </w:r>
    </w:p>
    <w:p w14:paraId="298B4513" w14:textId="5EE5C4CA" w:rsidR="003F5EAE" w:rsidRDefault="003F5EAE" w:rsidP="002A37BB">
      <w:pPr>
        <w:jc w:val="both"/>
        <w:rPr>
          <w:rFonts w:ascii="Arial" w:hAnsi="Arial" w:cs="Arial"/>
          <w:color w:val="7B7B7B" w:themeColor="accent3" w:themeShade="BF"/>
          <w:sz w:val="22"/>
          <w:szCs w:val="22"/>
          <w:lang w:val="en-GB"/>
        </w:rPr>
      </w:pPr>
    </w:p>
    <w:p w14:paraId="2FBB5FE3" w14:textId="73F4AA33" w:rsidR="003F5EAE" w:rsidRDefault="003F5EA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426 of the Insolvency Act</w:t>
      </w:r>
      <w:r w:rsidR="00A66CE7">
        <w:rPr>
          <w:rFonts w:ascii="Arial" w:hAnsi="Arial" w:cs="Arial"/>
          <w:color w:val="7B7B7B" w:themeColor="accent3" w:themeShade="BF"/>
          <w:sz w:val="22"/>
          <w:szCs w:val="22"/>
          <w:lang w:val="en-GB"/>
        </w:rPr>
        <w:t xml:space="preserve"> gives the UK power</w:t>
      </w:r>
      <w:r w:rsidR="00EE1EF3">
        <w:rPr>
          <w:rFonts w:ascii="Arial" w:hAnsi="Arial" w:cs="Arial"/>
          <w:color w:val="7B7B7B" w:themeColor="accent3" w:themeShade="BF"/>
          <w:sz w:val="22"/>
          <w:szCs w:val="22"/>
          <w:lang w:val="en-GB"/>
        </w:rPr>
        <w:t xml:space="preserve"> to assist overseas court from certain listed jurisdictions.</w:t>
      </w:r>
      <w:r w:rsidR="00D33573">
        <w:rPr>
          <w:rFonts w:ascii="Arial" w:hAnsi="Arial" w:cs="Arial"/>
          <w:color w:val="7B7B7B" w:themeColor="accent3" w:themeShade="BF"/>
          <w:sz w:val="22"/>
          <w:szCs w:val="22"/>
          <w:lang w:val="en-GB"/>
        </w:rPr>
        <w:t xml:space="preserve"> By this provision orders made in insolvency matters by a court in the UK are enforceable </w:t>
      </w:r>
      <w:r w:rsidR="00450067">
        <w:rPr>
          <w:rFonts w:ascii="Arial" w:hAnsi="Arial" w:cs="Arial"/>
          <w:color w:val="7B7B7B" w:themeColor="accent3" w:themeShade="BF"/>
          <w:sz w:val="22"/>
          <w:szCs w:val="22"/>
          <w:lang w:val="en-GB"/>
        </w:rPr>
        <w:t>in all parts of the United Kingdom.</w:t>
      </w:r>
      <w:r w:rsidR="008F30BF">
        <w:rPr>
          <w:rFonts w:ascii="Arial" w:hAnsi="Arial" w:cs="Arial"/>
          <w:color w:val="7B7B7B" w:themeColor="accent3" w:themeShade="BF"/>
          <w:sz w:val="22"/>
          <w:szCs w:val="22"/>
          <w:lang w:val="en-GB"/>
        </w:rPr>
        <w:t xml:space="preserve"> There is a positive obligation on </w:t>
      </w:r>
      <w:r w:rsidR="00475D90">
        <w:rPr>
          <w:rFonts w:ascii="Arial" w:hAnsi="Arial" w:cs="Arial"/>
          <w:color w:val="7B7B7B" w:themeColor="accent3" w:themeShade="BF"/>
          <w:sz w:val="22"/>
          <w:szCs w:val="22"/>
          <w:lang w:val="en-GB"/>
        </w:rPr>
        <w:t xml:space="preserve">the courts of </w:t>
      </w:r>
      <w:r w:rsidR="00B62DE0">
        <w:rPr>
          <w:rFonts w:ascii="Arial" w:hAnsi="Arial" w:cs="Arial"/>
          <w:color w:val="7B7B7B" w:themeColor="accent3" w:themeShade="BF"/>
          <w:sz w:val="22"/>
          <w:szCs w:val="22"/>
          <w:lang w:val="en-GB"/>
        </w:rPr>
        <w:t xml:space="preserve">any </w:t>
      </w:r>
      <w:r w:rsidR="008F30BF">
        <w:rPr>
          <w:rFonts w:ascii="Arial" w:hAnsi="Arial" w:cs="Arial"/>
          <w:color w:val="7B7B7B" w:themeColor="accent3" w:themeShade="BF"/>
          <w:sz w:val="22"/>
          <w:szCs w:val="22"/>
          <w:lang w:val="en-GB"/>
        </w:rPr>
        <w:t>“relevant</w:t>
      </w:r>
      <w:r w:rsidR="00B62DE0">
        <w:rPr>
          <w:rFonts w:ascii="Arial" w:hAnsi="Arial" w:cs="Arial"/>
          <w:color w:val="7B7B7B" w:themeColor="accent3" w:themeShade="BF"/>
          <w:sz w:val="22"/>
          <w:szCs w:val="22"/>
          <w:lang w:val="en-GB"/>
        </w:rPr>
        <w:t xml:space="preserve"> country or territory</w:t>
      </w:r>
      <w:r w:rsidR="008F30BF">
        <w:rPr>
          <w:rFonts w:ascii="Arial" w:hAnsi="Arial" w:cs="Arial"/>
          <w:color w:val="7B7B7B" w:themeColor="accent3" w:themeShade="BF"/>
          <w:sz w:val="22"/>
          <w:szCs w:val="22"/>
          <w:lang w:val="en-GB"/>
        </w:rPr>
        <w:t>”</w:t>
      </w:r>
      <w:r w:rsidR="005A47F6">
        <w:rPr>
          <w:rFonts w:ascii="Arial" w:hAnsi="Arial" w:cs="Arial"/>
          <w:color w:val="7B7B7B" w:themeColor="accent3" w:themeShade="BF"/>
          <w:sz w:val="22"/>
          <w:szCs w:val="22"/>
          <w:lang w:val="en-GB"/>
        </w:rPr>
        <w:t xml:space="preserve"> which include the Channel Islands and Isle of Man and </w:t>
      </w:r>
      <w:r w:rsidR="005A47F6">
        <w:rPr>
          <w:rFonts w:ascii="Arial" w:hAnsi="Arial" w:cs="Arial"/>
          <w:color w:val="7B7B7B" w:themeColor="accent3" w:themeShade="BF"/>
          <w:sz w:val="22"/>
          <w:szCs w:val="22"/>
          <w:lang w:val="en-GB"/>
        </w:rPr>
        <w:lastRenderedPageBreak/>
        <w:t>any other country specified by the Secretary of State to</w:t>
      </w:r>
      <w:r w:rsidR="00475D90">
        <w:rPr>
          <w:rFonts w:ascii="Arial" w:hAnsi="Arial" w:cs="Arial"/>
          <w:color w:val="7B7B7B" w:themeColor="accent3" w:themeShade="BF"/>
          <w:sz w:val="22"/>
          <w:szCs w:val="22"/>
          <w:lang w:val="en-GB"/>
        </w:rPr>
        <w:t xml:space="preserve"> assist </w:t>
      </w:r>
      <w:r w:rsidR="009F5A77">
        <w:rPr>
          <w:rFonts w:ascii="Arial" w:hAnsi="Arial" w:cs="Arial"/>
          <w:color w:val="7B7B7B" w:themeColor="accent3" w:themeShade="BF"/>
          <w:sz w:val="22"/>
          <w:szCs w:val="22"/>
          <w:lang w:val="en-GB"/>
        </w:rPr>
        <w:t xml:space="preserve">each other. Countries that can enjoy the benefit of having </w:t>
      </w:r>
      <w:r w:rsidR="003D56F5">
        <w:rPr>
          <w:rFonts w:ascii="Arial" w:hAnsi="Arial" w:cs="Arial"/>
          <w:color w:val="7B7B7B" w:themeColor="accent3" w:themeShade="BF"/>
          <w:sz w:val="22"/>
          <w:szCs w:val="22"/>
          <w:lang w:val="en-GB"/>
        </w:rPr>
        <w:t xml:space="preserve">the officeholder automatically recognised in the UK </w:t>
      </w:r>
      <w:proofErr w:type="gramStart"/>
      <w:r w:rsidR="003D56F5">
        <w:rPr>
          <w:rFonts w:ascii="Arial" w:hAnsi="Arial" w:cs="Arial"/>
          <w:color w:val="7B7B7B" w:themeColor="accent3" w:themeShade="BF"/>
          <w:sz w:val="22"/>
          <w:szCs w:val="22"/>
          <w:lang w:val="en-GB"/>
        </w:rPr>
        <w:t>ie</w:t>
      </w:r>
      <w:proofErr w:type="gramEnd"/>
      <w:r w:rsidR="003D56F5">
        <w:rPr>
          <w:rFonts w:ascii="Arial" w:hAnsi="Arial" w:cs="Arial"/>
          <w:color w:val="7B7B7B" w:themeColor="accent3" w:themeShade="BF"/>
          <w:sz w:val="22"/>
          <w:szCs w:val="22"/>
          <w:lang w:val="en-GB"/>
        </w:rPr>
        <w:t xml:space="preserve"> the inward bound effect, are Australia, Canada, Hong Kong, Ireland, Malaysia</w:t>
      </w:r>
      <w:r w:rsidR="002A4096">
        <w:rPr>
          <w:rFonts w:ascii="Arial" w:hAnsi="Arial" w:cs="Arial"/>
          <w:color w:val="7B7B7B" w:themeColor="accent3" w:themeShade="BF"/>
          <w:sz w:val="22"/>
          <w:szCs w:val="22"/>
          <w:lang w:val="en-GB"/>
        </w:rPr>
        <w:t xml:space="preserve">, New Zealand and South Africa. The UK Court retains discretion to </w:t>
      </w:r>
      <w:r w:rsidR="001029CF">
        <w:rPr>
          <w:rFonts w:ascii="Arial" w:hAnsi="Arial" w:cs="Arial"/>
          <w:color w:val="7B7B7B" w:themeColor="accent3" w:themeShade="BF"/>
          <w:sz w:val="22"/>
          <w:szCs w:val="22"/>
          <w:lang w:val="en-GB"/>
        </w:rPr>
        <w:t>determine whether any assistance should be granted.</w:t>
      </w:r>
      <w:r w:rsidR="00CD27B0">
        <w:rPr>
          <w:rFonts w:ascii="Arial" w:hAnsi="Arial" w:cs="Arial"/>
          <w:color w:val="7B7B7B" w:themeColor="accent3" w:themeShade="BF"/>
          <w:sz w:val="22"/>
          <w:szCs w:val="22"/>
          <w:lang w:val="en-GB"/>
        </w:rPr>
        <w:t xml:space="preserve"> The Court will generally </w:t>
      </w:r>
      <w:proofErr w:type="gramStart"/>
      <w:r w:rsidR="00CD27B0">
        <w:rPr>
          <w:rFonts w:ascii="Arial" w:hAnsi="Arial" w:cs="Arial"/>
          <w:color w:val="7B7B7B" w:themeColor="accent3" w:themeShade="BF"/>
          <w:sz w:val="22"/>
          <w:szCs w:val="22"/>
          <w:lang w:val="en-GB"/>
        </w:rPr>
        <w:t>offer assistance</w:t>
      </w:r>
      <w:proofErr w:type="gramEnd"/>
      <w:r w:rsidR="00CD27B0">
        <w:rPr>
          <w:rFonts w:ascii="Arial" w:hAnsi="Arial" w:cs="Arial"/>
          <w:color w:val="7B7B7B" w:themeColor="accent3" w:themeShade="BF"/>
          <w:sz w:val="22"/>
          <w:szCs w:val="22"/>
          <w:lang w:val="en-GB"/>
        </w:rPr>
        <w:t xml:space="preserve"> unless it would be improper to do so. The laws </w:t>
      </w:r>
      <w:r w:rsidR="003624DA">
        <w:rPr>
          <w:rFonts w:ascii="Arial" w:hAnsi="Arial" w:cs="Arial"/>
          <w:color w:val="7B7B7B" w:themeColor="accent3" w:themeShade="BF"/>
          <w:sz w:val="22"/>
          <w:szCs w:val="22"/>
          <w:lang w:val="en-GB"/>
        </w:rPr>
        <w:t>to be applied will be UK law or the law of the overseas territory.</w:t>
      </w:r>
    </w:p>
    <w:p w14:paraId="362FF482" w14:textId="77777777" w:rsidR="003624DA" w:rsidRDefault="003624DA" w:rsidP="002A37BB">
      <w:pPr>
        <w:jc w:val="both"/>
        <w:rPr>
          <w:rFonts w:ascii="Arial" w:hAnsi="Arial" w:cs="Arial"/>
          <w:color w:val="7B7B7B" w:themeColor="accent3" w:themeShade="BF"/>
          <w:sz w:val="22"/>
          <w:szCs w:val="22"/>
          <w:lang w:val="en-GB"/>
        </w:rPr>
      </w:pPr>
    </w:p>
    <w:p w14:paraId="0C3259B2" w14:textId="2D8A91C0" w:rsidR="003624DA" w:rsidRPr="002A37BB" w:rsidRDefault="003624DA" w:rsidP="002A37BB">
      <w:pPr>
        <w:jc w:val="both"/>
        <w:rPr>
          <w:rFonts w:ascii="Arial" w:hAnsi="Arial" w:cs="Arial"/>
          <w:sz w:val="22"/>
          <w:szCs w:val="22"/>
          <w:lang w:val="en-GB"/>
        </w:rPr>
      </w:pPr>
      <w:r>
        <w:rPr>
          <w:rFonts w:ascii="Arial" w:hAnsi="Arial" w:cs="Arial"/>
          <w:color w:val="7B7B7B" w:themeColor="accent3" w:themeShade="BF"/>
          <w:sz w:val="22"/>
          <w:szCs w:val="22"/>
          <w:lang w:val="en-GB"/>
        </w:rPr>
        <w:t>Fourth option is the common law.</w:t>
      </w:r>
      <w:r w:rsidR="007906A1">
        <w:rPr>
          <w:rFonts w:ascii="Arial" w:hAnsi="Arial" w:cs="Arial"/>
          <w:color w:val="7B7B7B" w:themeColor="accent3" w:themeShade="BF"/>
          <w:sz w:val="22"/>
          <w:szCs w:val="22"/>
          <w:lang w:val="en-GB"/>
        </w:rPr>
        <w:t xml:space="preserve"> The common law position has become more circumscribed by case law. Originally it was considered that the Court had power</w:t>
      </w:r>
      <w:r w:rsidR="005D2676">
        <w:rPr>
          <w:rFonts w:ascii="Arial" w:hAnsi="Arial" w:cs="Arial"/>
          <w:color w:val="7B7B7B" w:themeColor="accent3" w:themeShade="BF"/>
          <w:sz w:val="22"/>
          <w:szCs w:val="22"/>
          <w:lang w:val="en-GB"/>
        </w:rPr>
        <w:t xml:space="preserve"> at common law to exercise any powers which would </w:t>
      </w:r>
      <w:r w:rsidR="00996BCF">
        <w:rPr>
          <w:rFonts w:ascii="Arial" w:hAnsi="Arial" w:cs="Arial"/>
          <w:color w:val="7B7B7B" w:themeColor="accent3" w:themeShade="BF"/>
          <w:sz w:val="22"/>
          <w:szCs w:val="22"/>
          <w:lang w:val="en-GB"/>
        </w:rPr>
        <w:t xml:space="preserve">be available </w:t>
      </w:r>
      <w:r w:rsidR="001C3AFA">
        <w:rPr>
          <w:rFonts w:ascii="Arial" w:hAnsi="Arial" w:cs="Arial"/>
          <w:color w:val="7B7B7B" w:themeColor="accent3" w:themeShade="BF"/>
          <w:sz w:val="22"/>
          <w:szCs w:val="22"/>
          <w:lang w:val="en-GB"/>
        </w:rPr>
        <w:t>to the overseas jurisdiction requesting assistance in a domestic insolvency</w:t>
      </w:r>
      <w:r w:rsidR="00696D66">
        <w:rPr>
          <w:rFonts w:ascii="Arial" w:hAnsi="Arial" w:cs="Arial"/>
          <w:color w:val="7B7B7B" w:themeColor="accent3" w:themeShade="BF"/>
          <w:sz w:val="22"/>
          <w:szCs w:val="22"/>
          <w:lang w:val="en-GB"/>
        </w:rPr>
        <w:t xml:space="preserve">. The Privy Council decision Cambridge Gas Transport Corp v </w:t>
      </w:r>
      <w:r w:rsidR="002161B7">
        <w:rPr>
          <w:rFonts w:ascii="Arial" w:hAnsi="Arial" w:cs="Arial"/>
          <w:color w:val="7B7B7B" w:themeColor="accent3" w:themeShade="BF"/>
          <w:sz w:val="22"/>
          <w:szCs w:val="22"/>
          <w:lang w:val="en-GB"/>
        </w:rPr>
        <w:t xml:space="preserve">The Official Committee of Unsecured Creditors of Navigator Holdings Plc originally embraced the </w:t>
      </w:r>
      <w:r w:rsidR="00B5359B">
        <w:rPr>
          <w:rFonts w:ascii="Arial" w:hAnsi="Arial" w:cs="Arial"/>
          <w:color w:val="7B7B7B" w:themeColor="accent3" w:themeShade="BF"/>
          <w:sz w:val="22"/>
          <w:szCs w:val="22"/>
          <w:lang w:val="en-GB"/>
        </w:rPr>
        <w:t xml:space="preserve">principles of modified universalism where 3 principles were embraced: </w:t>
      </w:r>
      <w:r w:rsidR="004F5D78">
        <w:rPr>
          <w:rFonts w:ascii="Arial" w:hAnsi="Arial" w:cs="Arial"/>
          <w:color w:val="7B7B7B" w:themeColor="accent3" w:themeShade="BF"/>
          <w:sz w:val="22"/>
          <w:szCs w:val="22"/>
          <w:lang w:val="en-GB"/>
        </w:rPr>
        <w:t>i. a domestic court has a common law power to assist a foreign insolvency office holder</w:t>
      </w:r>
      <w:r w:rsidR="00170319">
        <w:rPr>
          <w:rFonts w:ascii="Arial" w:hAnsi="Arial" w:cs="Arial"/>
          <w:color w:val="7B7B7B" w:themeColor="accent3" w:themeShade="BF"/>
          <w:sz w:val="22"/>
          <w:szCs w:val="22"/>
          <w:lang w:val="en-GB"/>
        </w:rPr>
        <w:t xml:space="preserve"> as far as it can be subject to domestic law and public policy; ii.</w:t>
      </w:r>
      <w:r w:rsidR="007A725B">
        <w:rPr>
          <w:rFonts w:ascii="Arial" w:hAnsi="Arial" w:cs="Arial"/>
          <w:color w:val="7B7B7B" w:themeColor="accent3" w:themeShade="BF"/>
          <w:sz w:val="22"/>
          <w:szCs w:val="22"/>
          <w:lang w:val="en-GB"/>
        </w:rPr>
        <w:t xml:space="preserve"> A domestic court has a common law power to assist a foreign court by doing whatsoever it could have done in a domestic insolvency including exercising any </w:t>
      </w:r>
      <w:r w:rsidR="00E504F0">
        <w:rPr>
          <w:rFonts w:ascii="Arial" w:hAnsi="Arial" w:cs="Arial"/>
          <w:color w:val="7B7B7B" w:themeColor="accent3" w:themeShade="BF"/>
          <w:sz w:val="22"/>
          <w:szCs w:val="22"/>
          <w:lang w:val="en-GB"/>
        </w:rPr>
        <w:t xml:space="preserve">domestic </w:t>
      </w:r>
      <w:r w:rsidR="007A725B">
        <w:rPr>
          <w:rFonts w:ascii="Arial" w:hAnsi="Arial" w:cs="Arial"/>
          <w:color w:val="7B7B7B" w:themeColor="accent3" w:themeShade="BF"/>
          <w:sz w:val="22"/>
          <w:szCs w:val="22"/>
          <w:lang w:val="en-GB"/>
        </w:rPr>
        <w:t>statutory powers</w:t>
      </w:r>
      <w:r w:rsidR="00E504F0">
        <w:rPr>
          <w:rFonts w:ascii="Arial" w:hAnsi="Arial" w:cs="Arial"/>
          <w:color w:val="7B7B7B" w:themeColor="accent3" w:themeShade="BF"/>
          <w:sz w:val="22"/>
          <w:szCs w:val="22"/>
          <w:lang w:val="en-GB"/>
        </w:rPr>
        <w:t xml:space="preserve"> and iii. A domestic court has jurisdiction over the </w:t>
      </w:r>
      <w:r w:rsidR="007F38D2">
        <w:rPr>
          <w:rFonts w:ascii="Arial" w:hAnsi="Arial" w:cs="Arial"/>
          <w:color w:val="7B7B7B" w:themeColor="accent3" w:themeShade="BF"/>
          <w:sz w:val="22"/>
          <w:szCs w:val="22"/>
          <w:lang w:val="en-GB"/>
        </w:rPr>
        <w:t>parties in an insolvency by virtue of its power to assist</w:t>
      </w:r>
      <w:r w:rsidR="00FC51B3">
        <w:rPr>
          <w:rFonts w:ascii="Arial" w:hAnsi="Arial" w:cs="Arial"/>
          <w:color w:val="7B7B7B" w:themeColor="accent3" w:themeShade="BF"/>
          <w:sz w:val="22"/>
          <w:szCs w:val="22"/>
          <w:lang w:val="en-GB"/>
        </w:rPr>
        <w:t xml:space="preserve"> even if the court has no in rem or in personam jurisdiction over the party. However, </w:t>
      </w:r>
      <w:r w:rsidR="001637ED">
        <w:rPr>
          <w:rFonts w:ascii="Arial" w:hAnsi="Arial" w:cs="Arial"/>
          <w:color w:val="7B7B7B" w:themeColor="accent3" w:themeShade="BF"/>
          <w:sz w:val="22"/>
          <w:szCs w:val="22"/>
          <w:lang w:val="en-GB"/>
        </w:rPr>
        <w:t>Singularis Holdings Ltd v Pricewaterhouse Coopers decision has altered this second principle and</w:t>
      </w:r>
      <w:r w:rsidR="008A5021">
        <w:rPr>
          <w:rFonts w:ascii="Arial" w:hAnsi="Arial" w:cs="Arial"/>
          <w:color w:val="7B7B7B" w:themeColor="accent3" w:themeShade="BF"/>
          <w:sz w:val="22"/>
          <w:szCs w:val="22"/>
          <w:lang w:val="en-GB"/>
        </w:rPr>
        <w:t xml:space="preserve"> </w:t>
      </w:r>
      <w:r w:rsidR="0046231D">
        <w:rPr>
          <w:rFonts w:ascii="Arial" w:hAnsi="Arial" w:cs="Arial"/>
          <w:color w:val="7B7B7B" w:themeColor="accent3" w:themeShade="BF"/>
          <w:sz w:val="22"/>
          <w:szCs w:val="22"/>
          <w:lang w:val="en-GB"/>
        </w:rPr>
        <w:t xml:space="preserve">provides that the </w:t>
      </w:r>
      <w:r w:rsidR="000E3B9F">
        <w:rPr>
          <w:rFonts w:ascii="Arial" w:hAnsi="Arial" w:cs="Arial"/>
          <w:color w:val="7B7B7B" w:themeColor="accent3" w:themeShade="BF"/>
          <w:sz w:val="22"/>
          <w:szCs w:val="22"/>
          <w:lang w:val="en-GB"/>
        </w:rPr>
        <w:t>power of assistance exists where the power sought to be exercised</w:t>
      </w:r>
      <w:r w:rsidR="00BC2232">
        <w:rPr>
          <w:rFonts w:ascii="Arial" w:hAnsi="Arial" w:cs="Arial"/>
          <w:color w:val="7B7B7B" w:themeColor="accent3" w:themeShade="BF"/>
          <w:sz w:val="22"/>
          <w:szCs w:val="22"/>
          <w:lang w:val="en-GB"/>
        </w:rPr>
        <w:t xml:space="preserve"> first exists in the jurisdiction of principal liquidation and the power exists in the assisting jurisdiction.</w:t>
      </w:r>
      <w:r w:rsidR="008A5021">
        <w:rPr>
          <w:rFonts w:ascii="Arial" w:hAnsi="Arial" w:cs="Arial"/>
          <w:color w:val="7B7B7B" w:themeColor="accent3" w:themeShade="BF"/>
          <w:sz w:val="22"/>
          <w:szCs w:val="22"/>
          <w:lang w:val="en-GB"/>
        </w:rPr>
        <w:t xml:space="preserve"> </w:t>
      </w:r>
      <w:r w:rsidR="00C26CA5">
        <w:rPr>
          <w:rFonts w:ascii="Arial" w:hAnsi="Arial" w:cs="Arial"/>
          <w:color w:val="7B7B7B" w:themeColor="accent3" w:themeShade="BF"/>
          <w:sz w:val="22"/>
          <w:szCs w:val="22"/>
          <w:lang w:val="en-GB"/>
        </w:rPr>
        <w:t xml:space="preserve">The decision Rubin v Eurofinance SA has also altered the third principle and provides that </w:t>
      </w:r>
      <w:r w:rsidR="00336E54">
        <w:rPr>
          <w:rFonts w:ascii="Arial" w:hAnsi="Arial" w:cs="Arial"/>
          <w:color w:val="7B7B7B" w:themeColor="accent3" w:themeShade="BF"/>
          <w:sz w:val="22"/>
          <w:szCs w:val="22"/>
          <w:lang w:val="en-GB"/>
        </w:rPr>
        <w:t>the criteria under common law for recognition of foreign judgments will not change</w:t>
      </w:r>
      <w:r w:rsidR="00FC4FD4">
        <w:rPr>
          <w:rFonts w:ascii="Arial" w:hAnsi="Arial" w:cs="Arial"/>
          <w:color w:val="7B7B7B" w:themeColor="accent3" w:themeShade="BF"/>
          <w:sz w:val="22"/>
          <w:szCs w:val="22"/>
          <w:lang w:val="en-GB"/>
        </w:rPr>
        <w:t xml:space="preserve"> for insolvency related proceedings.</w:t>
      </w:r>
      <w:r w:rsidR="00157263">
        <w:rPr>
          <w:rFonts w:ascii="Arial" w:hAnsi="Arial" w:cs="Arial"/>
          <w:color w:val="7B7B7B" w:themeColor="accent3" w:themeShade="BF"/>
          <w:sz w:val="22"/>
          <w:szCs w:val="22"/>
          <w:lang w:val="en-GB"/>
        </w:rPr>
        <w:t xml:space="preserve"> The common law route is therefore </w:t>
      </w:r>
      <w:r w:rsidR="009D579D">
        <w:rPr>
          <w:rFonts w:ascii="Arial" w:hAnsi="Arial" w:cs="Arial"/>
          <w:color w:val="7B7B7B" w:themeColor="accent3" w:themeShade="BF"/>
          <w:sz w:val="22"/>
          <w:szCs w:val="22"/>
          <w:lang w:val="en-GB"/>
        </w:rPr>
        <w:t>more restrictive than statutory options</w:t>
      </w:r>
      <w:r w:rsidR="00157263">
        <w:rPr>
          <w:rFonts w:ascii="Arial" w:hAnsi="Arial" w:cs="Arial"/>
          <w:color w:val="7B7B7B" w:themeColor="accent3" w:themeShade="BF"/>
          <w:sz w:val="22"/>
          <w:szCs w:val="22"/>
          <w:lang w:val="en-GB"/>
        </w:rPr>
        <w:t>.</w:t>
      </w:r>
    </w:p>
    <w:p w14:paraId="3DAA6780" w14:textId="657CEFE1" w:rsidR="00962045" w:rsidRPr="002A37BB" w:rsidRDefault="00962045" w:rsidP="002A37BB">
      <w:pPr>
        <w:jc w:val="both"/>
        <w:rPr>
          <w:rFonts w:ascii="Arial" w:hAnsi="Arial" w:cs="Arial"/>
          <w:sz w:val="22"/>
          <w:szCs w:val="22"/>
          <w:shd w:val="clear" w:color="auto" w:fill="FFFFFF"/>
        </w:rPr>
      </w:pPr>
    </w:p>
    <w:p w14:paraId="050B7D02" w14:textId="77777777" w:rsidR="00D17FDC" w:rsidRPr="002A37BB" w:rsidRDefault="00D17FDC"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446203AC"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Prior to going into liquidation</w:t>
      </w:r>
      <w:r>
        <w:rPr>
          <w:rFonts w:ascii="Arial" w:hAnsi="Arial" w:cs="Arial"/>
        </w:rPr>
        <w:t xml:space="preserve"> in November 2020</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w:t>
      </w:r>
      <w:proofErr w:type="gramStart"/>
      <w:r w:rsidRPr="00CB79E4">
        <w:rPr>
          <w:rFonts w:ascii="Arial" w:hAnsi="Arial" w:cs="Arial"/>
        </w:rPr>
        <w:t>in order to</w:t>
      </w:r>
      <w:proofErr w:type="gramEnd"/>
      <w:r w:rsidRPr="00CB79E4">
        <w:rPr>
          <w:rFonts w:ascii="Arial" w:hAnsi="Arial" w:cs="Arial"/>
        </w:rPr>
        <w:t xml:space="preserve"> prevent it from demanding repayment of the company’s loans, Cork-In Limited g</w:t>
      </w:r>
      <w:r w:rsidR="00564897">
        <w:rPr>
          <w:rFonts w:ascii="Arial" w:hAnsi="Arial" w:cs="Arial"/>
        </w:rPr>
        <w:t>r</w:t>
      </w:r>
      <w:r w:rsidRPr="00CB79E4">
        <w:rPr>
          <w:rFonts w:ascii="Arial" w:hAnsi="Arial" w:cs="Arial"/>
        </w:rPr>
        <w:t xml:space="preserve">anted a debenture in favour of </w:t>
      </w:r>
      <w:r>
        <w:rPr>
          <w:rFonts w:ascii="Arial" w:hAnsi="Arial" w:cs="Arial"/>
        </w:rPr>
        <w:t>Stercus</w:t>
      </w:r>
      <w:r w:rsidRPr="00CB79E4">
        <w:rPr>
          <w:rFonts w:ascii="Arial" w:hAnsi="Arial" w:cs="Arial"/>
        </w:rPr>
        <w:t xml:space="preserve"> Bank plc in January 20</w:t>
      </w:r>
      <w:r>
        <w:rPr>
          <w:rFonts w:ascii="Arial" w:hAnsi="Arial" w:cs="Arial"/>
        </w:rPr>
        <w:t>20</w:t>
      </w:r>
      <w:r w:rsidRPr="00CB79E4">
        <w:rPr>
          <w:rFonts w:ascii="Arial" w:hAnsi="Arial" w:cs="Arial"/>
        </w:rPr>
        <w:t>. The debenture contained a floating charge over the whole of the company’s undertaking.</w:t>
      </w:r>
    </w:p>
    <w:p w14:paraId="446FD66A" w14:textId="77777777" w:rsidR="007E2919" w:rsidRPr="00CB79E4" w:rsidRDefault="007E2919" w:rsidP="007E2919">
      <w:pPr>
        <w:pStyle w:val="NormalWeb"/>
        <w:spacing w:before="0" w:beforeAutospacing="0" w:after="0" w:afterAutospacing="0"/>
        <w:rPr>
          <w:rFonts w:ascii="Arial" w:hAnsi="Arial" w:cs="Arial"/>
        </w:rPr>
      </w:pPr>
    </w:p>
    <w:p w14:paraId="11816931"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In June 20</w:t>
      </w:r>
      <w:r>
        <w:rPr>
          <w:rFonts w:ascii="Arial" w:hAnsi="Arial" w:cs="Arial"/>
        </w:rPr>
        <w:t>20</w:t>
      </w:r>
      <w:r w:rsidRPr="00CB79E4">
        <w:rPr>
          <w:rFonts w:ascii="Arial" w:hAnsi="Arial" w:cs="Arial"/>
        </w:rPr>
        <w:t xml:space="preserve">, as the company continued to struggle, the directors approved the </w:t>
      </w:r>
    </w:p>
    <w:p w14:paraId="2CAD379F" w14:textId="77777777" w:rsidR="007E2919" w:rsidRDefault="007E2919" w:rsidP="007E2919">
      <w:pPr>
        <w:pStyle w:val="NormalWeb"/>
        <w:spacing w:before="0" w:beforeAutospacing="0" w:after="0" w:afterAutospacing="0"/>
        <w:ind w:left="720" w:hanging="720"/>
        <w:rPr>
          <w:rFonts w:ascii="Arial" w:hAnsi="Arial" w:cs="Arial"/>
        </w:rPr>
      </w:pPr>
      <w:r w:rsidRPr="00CB79E4">
        <w:rPr>
          <w:rFonts w:ascii="Arial" w:hAnsi="Arial" w:cs="Arial"/>
        </w:rPr>
        <w:t>sale of a company delivery van to Paul Watson</w:t>
      </w:r>
      <w:r>
        <w:rPr>
          <w:rFonts w:ascii="Arial" w:hAnsi="Arial" w:cs="Arial"/>
        </w:rPr>
        <w:t xml:space="preserve"> (a director)</w:t>
      </w:r>
      <w:r w:rsidRPr="00CB79E4">
        <w:rPr>
          <w:rFonts w:ascii="Arial" w:hAnsi="Arial" w:cs="Arial"/>
        </w:rPr>
        <w:t xml:space="preserve"> for £5,000 in </w:t>
      </w:r>
      <w:r>
        <w:rPr>
          <w:rFonts w:ascii="Arial" w:hAnsi="Arial" w:cs="Arial"/>
        </w:rPr>
        <w:t xml:space="preserve">cash. The </w:t>
      </w:r>
    </w:p>
    <w:p w14:paraId="0C3B98CB" w14:textId="77777777" w:rsidR="007E2919" w:rsidRPr="00CB79E4" w:rsidRDefault="007E2919" w:rsidP="007E2919">
      <w:pPr>
        <w:pStyle w:val="NormalWeb"/>
        <w:spacing w:before="0" w:beforeAutospacing="0" w:after="0" w:afterAutospacing="0"/>
        <w:ind w:left="720" w:hanging="720"/>
        <w:rPr>
          <w:rFonts w:ascii="Arial" w:hAnsi="Arial" w:cs="Arial"/>
        </w:rPr>
      </w:pPr>
      <w:r>
        <w:rPr>
          <w:rFonts w:ascii="Arial" w:hAnsi="Arial" w:cs="Arial"/>
        </w:rPr>
        <w:t xml:space="preserve">van had </w:t>
      </w:r>
      <w:r w:rsidRPr="00CB79E4">
        <w:rPr>
          <w:rFonts w:ascii="Arial" w:hAnsi="Arial" w:cs="Arial"/>
        </w:rPr>
        <w:t>been bought for £10,000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468AD5BF"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company went into liquidation, Paul Watson received an irate phone call from one of the company’s key suppliers, Gary’s Grapes Limited. The supplier demanded immediate payment of all sums owing to it (even those invoices </w:t>
      </w:r>
      <w:r w:rsidR="008B72B8">
        <w:rPr>
          <w:rFonts w:ascii="Arial" w:hAnsi="Arial" w:cs="Arial"/>
        </w:rPr>
        <w:t xml:space="preserve">that </w:t>
      </w:r>
      <w:r w:rsidRPr="00CB79E4">
        <w:rPr>
          <w:rFonts w:ascii="Arial" w:hAnsi="Arial" w:cs="Arial"/>
        </w:rPr>
        <w:t>had not become payable). Fearing being cut off by the supplier, Paul arranged for a cheque for the full amount to be sent that day.</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77777777"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favour of Stercus Bank </w:t>
      </w:r>
      <w:proofErr w:type="gramStart"/>
      <w:r w:rsidRPr="007E2919">
        <w:rPr>
          <w:rFonts w:ascii="Arial" w:hAnsi="Arial" w:cs="Arial"/>
          <w:sz w:val="24"/>
        </w:rPr>
        <w:t>plc;</w:t>
      </w:r>
      <w:proofErr w:type="gramEnd"/>
    </w:p>
    <w:p w14:paraId="451B70BA" w14:textId="61081683" w:rsidR="007E2919" w:rsidRDefault="007E2919" w:rsidP="007E2919">
      <w:pPr>
        <w:rPr>
          <w:rFonts w:ascii="Arial" w:hAnsi="Arial" w:cs="Arial"/>
          <w:b/>
          <w:sz w:val="24"/>
        </w:rPr>
      </w:pPr>
    </w:p>
    <w:p w14:paraId="6462CBF3" w14:textId="1403343A" w:rsidR="007E2919" w:rsidRPr="002A37BB" w:rsidRDefault="00A41E74" w:rsidP="007E2919">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The relevant provision is </w:t>
      </w:r>
      <w:r w:rsidR="00083DE1">
        <w:rPr>
          <w:rFonts w:ascii="Arial" w:hAnsi="Arial" w:cs="Arial"/>
          <w:color w:val="7B7B7B" w:themeColor="accent3" w:themeShade="BF"/>
          <w:sz w:val="22"/>
          <w:szCs w:val="22"/>
          <w:lang w:val="en-GB"/>
        </w:rPr>
        <w:t xml:space="preserve">section 245 of the Insolvency Act which </w:t>
      </w:r>
      <w:r w:rsidR="00B24576">
        <w:rPr>
          <w:rFonts w:ascii="Arial" w:hAnsi="Arial" w:cs="Arial"/>
          <w:color w:val="7B7B7B" w:themeColor="accent3" w:themeShade="BF"/>
          <w:sz w:val="22"/>
          <w:szCs w:val="22"/>
          <w:lang w:val="en-GB"/>
        </w:rPr>
        <w:t>deals with the avoidance of</w:t>
      </w:r>
      <w:r w:rsidR="00696A0C">
        <w:rPr>
          <w:rFonts w:ascii="Arial" w:hAnsi="Arial" w:cs="Arial"/>
          <w:color w:val="7B7B7B" w:themeColor="accent3" w:themeShade="BF"/>
          <w:sz w:val="22"/>
          <w:szCs w:val="22"/>
          <w:lang w:val="en-GB"/>
        </w:rPr>
        <w:t xml:space="preserve"> floating charges if three criteria are not met. The section operates to prevent, for companies in liquidation or administration, pre-existing unsecured creditors obtaining the security of a floating charge shortly before the company enters formal insolvency procedure. </w:t>
      </w:r>
      <w:r w:rsidR="00670DC6">
        <w:rPr>
          <w:rFonts w:ascii="Arial" w:hAnsi="Arial" w:cs="Arial"/>
          <w:color w:val="7B7B7B" w:themeColor="accent3" w:themeShade="BF"/>
          <w:sz w:val="22"/>
          <w:szCs w:val="22"/>
          <w:lang w:val="en-GB"/>
        </w:rPr>
        <w:t xml:space="preserve">The liquidator </w:t>
      </w:r>
      <w:proofErr w:type="gramStart"/>
      <w:r w:rsidR="00670DC6">
        <w:rPr>
          <w:rFonts w:ascii="Arial" w:hAnsi="Arial" w:cs="Arial"/>
          <w:color w:val="7B7B7B" w:themeColor="accent3" w:themeShade="BF"/>
          <w:sz w:val="22"/>
          <w:szCs w:val="22"/>
          <w:lang w:val="en-GB"/>
        </w:rPr>
        <w:t>has to</w:t>
      </w:r>
      <w:proofErr w:type="gramEnd"/>
      <w:r w:rsidR="00670DC6">
        <w:rPr>
          <w:rFonts w:ascii="Arial" w:hAnsi="Arial" w:cs="Arial"/>
          <w:color w:val="7B7B7B" w:themeColor="accent3" w:themeShade="BF"/>
          <w:sz w:val="22"/>
          <w:szCs w:val="22"/>
          <w:lang w:val="en-GB"/>
        </w:rPr>
        <w:t xml:space="preserve"> therefore assess </w:t>
      </w:r>
      <w:r w:rsidR="00752DA9">
        <w:rPr>
          <w:rFonts w:ascii="Arial" w:hAnsi="Arial" w:cs="Arial"/>
          <w:color w:val="7B7B7B" w:themeColor="accent3" w:themeShade="BF"/>
          <w:sz w:val="22"/>
          <w:szCs w:val="22"/>
          <w:lang w:val="en-GB"/>
        </w:rPr>
        <w:t xml:space="preserve">whether there is some new consideration from Stercus Bank plc which justifies the grant of the floating charge. There is nothing in the facts to </w:t>
      </w:r>
      <w:r w:rsidR="00AD6F2E">
        <w:rPr>
          <w:rFonts w:ascii="Arial" w:hAnsi="Arial" w:cs="Arial"/>
          <w:color w:val="7B7B7B" w:themeColor="accent3" w:themeShade="BF"/>
          <w:sz w:val="22"/>
          <w:szCs w:val="22"/>
          <w:lang w:val="en-GB"/>
        </w:rPr>
        <w:t xml:space="preserve">say that Stercus Bank plc is connected to the company </w:t>
      </w:r>
      <w:r w:rsidR="001D5980">
        <w:rPr>
          <w:rFonts w:ascii="Arial" w:hAnsi="Arial" w:cs="Arial"/>
          <w:color w:val="7B7B7B" w:themeColor="accent3" w:themeShade="BF"/>
          <w:sz w:val="22"/>
          <w:szCs w:val="22"/>
          <w:lang w:val="en-GB"/>
        </w:rPr>
        <w:t>the relevant period will be 12 months prior to the onset of insolvency</w:t>
      </w:r>
      <w:r w:rsidR="007E094A">
        <w:rPr>
          <w:rFonts w:ascii="Arial" w:hAnsi="Arial" w:cs="Arial"/>
          <w:color w:val="7B7B7B" w:themeColor="accent3" w:themeShade="BF"/>
          <w:sz w:val="22"/>
          <w:szCs w:val="22"/>
          <w:lang w:val="en-GB"/>
        </w:rPr>
        <w:t xml:space="preserve">. The liquidator would be assessing to see whether </w:t>
      </w:r>
      <w:proofErr w:type="gramStart"/>
      <w:r w:rsidR="007E094A">
        <w:rPr>
          <w:rFonts w:ascii="Arial" w:hAnsi="Arial" w:cs="Arial"/>
          <w:color w:val="7B7B7B" w:themeColor="accent3" w:themeShade="BF"/>
          <w:sz w:val="22"/>
          <w:szCs w:val="22"/>
          <w:lang w:val="en-GB"/>
        </w:rPr>
        <w:t>as a result of</w:t>
      </w:r>
      <w:proofErr w:type="gramEnd"/>
      <w:r w:rsidR="007E094A">
        <w:rPr>
          <w:rFonts w:ascii="Arial" w:hAnsi="Arial" w:cs="Arial"/>
          <w:color w:val="7B7B7B" w:themeColor="accent3" w:themeShade="BF"/>
          <w:sz w:val="22"/>
          <w:szCs w:val="22"/>
          <w:lang w:val="en-GB"/>
        </w:rPr>
        <w:t xml:space="preserve"> the floating charge to Stercus Bank, the</w:t>
      </w:r>
      <w:r w:rsidR="00AD2958">
        <w:rPr>
          <w:rFonts w:ascii="Arial" w:hAnsi="Arial" w:cs="Arial"/>
          <w:color w:val="7B7B7B" w:themeColor="accent3" w:themeShade="BF"/>
          <w:sz w:val="22"/>
          <w:szCs w:val="22"/>
          <w:lang w:val="en-GB"/>
        </w:rPr>
        <w:t xml:space="preserve"> company becomes unable to pay its debts as they fall due or because of the transaction, they become insolvent.</w:t>
      </w:r>
      <w:r w:rsidR="00FC639A">
        <w:rPr>
          <w:rFonts w:ascii="Arial" w:hAnsi="Arial" w:cs="Arial"/>
          <w:color w:val="7B7B7B" w:themeColor="accent3" w:themeShade="BF"/>
          <w:sz w:val="22"/>
          <w:szCs w:val="22"/>
          <w:lang w:val="en-GB"/>
        </w:rPr>
        <w:t xml:space="preserve"> </w:t>
      </w:r>
      <w:r w:rsidR="00E23172">
        <w:rPr>
          <w:rFonts w:ascii="Arial" w:hAnsi="Arial" w:cs="Arial"/>
          <w:color w:val="7B7B7B" w:themeColor="accent3" w:themeShade="BF"/>
          <w:sz w:val="22"/>
          <w:szCs w:val="22"/>
          <w:lang w:val="en-GB"/>
        </w:rPr>
        <w:t xml:space="preserve">According to the facts, the transaction falls within the </w:t>
      </w:r>
      <w:proofErr w:type="gramStart"/>
      <w:r w:rsidR="003D081E">
        <w:rPr>
          <w:rFonts w:ascii="Arial" w:hAnsi="Arial" w:cs="Arial"/>
          <w:color w:val="7B7B7B" w:themeColor="accent3" w:themeShade="BF"/>
          <w:sz w:val="22"/>
          <w:szCs w:val="22"/>
          <w:lang w:val="en-GB"/>
        </w:rPr>
        <w:t>12 month</w:t>
      </w:r>
      <w:proofErr w:type="gramEnd"/>
      <w:r w:rsidR="003D081E">
        <w:rPr>
          <w:rFonts w:ascii="Arial" w:hAnsi="Arial" w:cs="Arial"/>
          <w:color w:val="7B7B7B" w:themeColor="accent3" w:themeShade="BF"/>
          <w:sz w:val="22"/>
          <w:szCs w:val="22"/>
          <w:lang w:val="en-GB"/>
        </w:rPr>
        <w:t xml:space="preserve"> period, there is nothing to indicate any new consideration was granted by the Bank, and it would appear the company </w:t>
      </w:r>
      <w:r w:rsidR="00AB4ADD">
        <w:rPr>
          <w:rFonts w:ascii="Arial" w:hAnsi="Arial" w:cs="Arial"/>
          <w:color w:val="7B7B7B" w:themeColor="accent3" w:themeShade="BF"/>
          <w:sz w:val="22"/>
          <w:szCs w:val="22"/>
          <w:lang w:val="en-GB"/>
        </w:rPr>
        <w:t>became unable to pay its debts. The liquidator can therefore seek to avoid this floating charge as invalid.</w:t>
      </w:r>
    </w:p>
    <w:p w14:paraId="74C366AC" w14:textId="6BD8484D" w:rsidR="007E2919" w:rsidRDefault="007E2919" w:rsidP="007E2919">
      <w:pPr>
        <w:rPr>
          <w:rFonts w:ascii="Arial" w:hAnsi="Arial" w:cs="Arial"/>
          <w:b/>
          <w:sz w:val="24"/>
        </w:rPr>
      </w:pPr>
    </w:p>
    <w:p w14:paraId="635AABF4" w14:textId="77777777" w:rsidR="00B04033" w:rsidRDefault="00B04033" w:rsidP="007E2919">
      <w:pPr>
        <w:rPr>
          <w:rFonts w:ascii="Arial" w:hAnsi="Arial" w:cs="Arial"/>
          <w:b/>
          <w:sz w:val="24"/>
        </w:rPr>
      </w:pPr>
    </w:p>
    <w:p w14:paraId="0E549215" w14:textId="06C5FE8F" w:rsidR="007E2919" w:rsidRDefault="007E2919" w:rsidP="007E2919">
      <w:pPr>
        <w:rPr>
          <w:rFonts w:ascii="Arial" w:hAnsi="Arial" w:cs="Arial"/>
          <w:b/>
          <w:sz w:val="24"/>
        </w:rPr>
      </w:pPr>
      <w:r>
        <w:rPr>
          <w:rFonts w:ascii="Arial" w:hAnsi="Arial" w:cs="Arial"/>
          <w:b/>
          <w:sz w:val="24"/>
        </w:rPr>
        <w:t>Question 4.2 [maximum 5 marks]</w:t>
      </w:r>
    </w:p>
    <w:p w14:paraId="7916647F" w14:textId="470BBF53" w:rsidR="007E2919" w:rsidRDefault="007E2919" w:rsidP="007E2919">
      <w:pPr>
        <w:rPr>
          <w:rFonts w:ascii="Arial" w:hAnsi="Arial" w:cs="Arial"/>
          <w:b/>
          <w:sz w:val="24"/>
        </w:rPr>
      </w:pPr>
    </w:p>
    <w:p w14:paraId="28B7B160" w14:textId="44F15157" w:rsidR="007E2919" w:rsidRPr="007E2919" w:rsidRDefault="007E2919" w:rsidP="007E2919">
      <w:pPr>
        <w:rPr>
          <w:rFonts w:ascii="Arial" w:hAnsi="Arial" w:cs="Arial"/>
          <w:sz w:val="24"/>
        </w:rPr>
      </w:pPr>
      <w:r w:rsidRPr="007E2919">
        <w:rPr>
          <w:rFonts w:ascii="Arial" w:hAnsi="Arial" w:cs="Arial"/>
          <w:sz w:val="24"/>
        </w:rPr>
        <w:t>The sale of the van; and</w:t>
      </w:r>
    </w:p>
    <w:p w14:paraId="78CA5A7B" w14:textId="7BC31BB4" w:rsidR="007E2919" w:rsidRDefault="007E2919" w:rsidP="007E2919">
      <w:pPr>
        <w:rPr>
          <w:rFonts w:ascii="Arial" w:hAnsi="Arial" w:cs="Arial"/>
          <w:b/>
          <w:sz w:val="24"/>
        </w:rPr>
      </w:pPr>
    </w:p>
    <w:p w14:paraId="041D4FDF" w14:textId="60A1F986" w:rsidR="007E2919" w:rsidRPr="002A37BB" w:rsidRDefault="00B4343E" w:rsidP="007E2919">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The relevant section is </w:t>
      </w:r>
      <w:r w:rsidR="000459C2">
        <w:rPr>
          <w:rFonts w:ascii="Arial" w:hAnsi="Arial" w:cs="Arial"/>
          <w:color w:val="7B7B7B" w:themeColor="accent3" w:themeShade="BF"/>
          <w:sz w:val="22"/>
          <w:szCs w:val="22"/>
          <w:lang w:val="en-GB"/>
        </w:rPr>
        <w:t>238 of the Insolvency Act which addresses the power of a liquidator to attac</w:t>
      </w:r>
      <w:r w:rsidR="00973EBB">
        <w:rPr>
          <w:rFonts w:ascii="Arial" w:hAnsi="Arial" w:cs="Arial"/>
          <w:color w:val="7B7B7B" w:themeColor="accent3" w:themeShade="BF"/>
          <w:sz w:val="22"/>
          <w:szCs w:val="22"/>
          <w:lang w:val="en-GB"/>
        </w:rPr>
        <w:t>k a transaction which was entered into prior to the company going into liquidation where the transaction was at an undervalue.</w:t>
      </w:r>
      <w:r w:rsidR="004B5BE2">
        <w:rPr>
          <w:rFonts w:ascii="Arial" w:hAnsi="Arial" w:cs="Arial"/>
          <w:color w:val="7B7B7B" w:themeColor="accent3" w:themeShade="BF"/>
          <w:sz w:val="22"/>
          <w:szCs w:val="22"/>
          <w:lang w:val="en-GB"/>
        </w:rPr>
        <w:t xml:space="preserve"> The liquidator is required to show that the company made a gift to another </w:t>
      </w:r>
      <w:proofErr w:type="gramStart"/>
      <w:r w:rsidR="004B5BE2">
        <w:rPr>
          <w:rFonts w:ascii="Arial" w:hAnsi="Arial" w:cs="Arial"/>
          <w:color w:val="7B7B7B" w:themeColor="accent3" w:themeShade="BF"/>
          <w:sz w:val="22"/>
          <w:szCs w:val="22"/>
          <w:lang w:val="en-GB"/>
        </w:rPr>
        <w:t>person, or</w:t>
      </w:r>
      <w:proofErr w:type="gramEnd"/>
      <w:r w:rsidR="004B5BE2">
        <w:rPr>
          <w:rFonts w:ascii="Arial" w:hAnsi="Arial" w:cs="Arial"/>
          <w:color w:val="7B7B7B" w:themeColor="accent3" w:themeShade="BF"/>
          <w:sz w:val="22"/>
          <w:szCs w:val="22"/>
          <w:lang w:val="en-GB"/>
        </w:rPr>
        <w:t xml:space="preserve"> entered into a transaction with another person on terms that provided for the company to receive no consideration or </w:t>
      </w:r>
      <w:r w:rsidR="0099268F">
        <w:rPr>
          <w:rFonts w:ascii="Arial" w:hAnsi="Arial" w:cs="Arial"/>
          <w:color w:val="7B7B7B" w:themeColor="accent3" w:themeShade="BF"/>
          <w:sz w:val="22"/>
          <w:szCs w:val="22"/>
          <w:lang w:val="en-GB"/>
        </w:rPr>
        <w:t>the company entered into a transaction</w:t>
      </w:r>
      <w:r w:rsidR="00096733">
        <w:rPr>
          <w:rFonts w:ascii="Arial" w:hAnsi="Arial" w:cs="Arial"/>
          <w:color w:val="7B7B7B" w:themeColor="accent3" w:themeShade="BF"/>
          <w:sz w:val="22"/>
          <w:szCs w:val="22"/>
          <w:lang w:val="en-GB"/>
        </w:rPr>
        <w:t xml:space="preserve"> with another person for a consideration which in money or money’s worth </w:t>
      </w:r>
      <w:r w:rsidR="007243D1">
        <w:rPr>
          <w:rFonts w:ascii="Arial" w:hAnsi="Arial" w:cs="Arial"/>
          <w:color w:val="7B7B7B" w:themeColor="accent3" w:themeShade="BF"/>
          <w:sz w:val="22"/>
          <w:szCs w:val="22"/>
          <w:lang w:val="en-GB"/>
        </w:rPr>
        <w:t xml:space="preserve">was, at the date of the transaction, </w:t>
      </w:r>
      <w:r w:rsidR="00FE60D6">
        <w:rPr>
          <w:rFonts w:ascii="Arial" w:hAnsi="Arial" w:cs="Arial"/>
          <w:color w:val="7B7B7B" w:themeColor="accent3" w:themeShade="BF"/>
          <w:sz w:val="22"/>
          <w:szCs w:val="22"/>
          <w:lang w:val="en-GB"/>
        </w:rPr>
        <w:t xml:space="preserve">significantly less than the value in money or money’s worth of the consideration provided by the Company. The relevant </w:t>
      </w:r>
      <w:r w:rsidR="00E87715">
        <w:rPr>
          <w:rFonts w:ascii="Arial" w:hAnsi="Arial" w:cs="Arial"/>
          <w:color w:val="7B7B7B" w:themeColor="accent3" w:themeShade="BF"/>
          <w:sz w:val="22"/>
          <w:szCs w:val="22"/>
          <w:lang w:val="en-GB"/>
        </w:rPr>
        <w:t xml:space="preserve">issue for the liquidator to consider is whether the sale by the company of the van to the director is a transaction at an undervalue. The </w:t>
      </w:r>
      <w:r w:rsidR="00643D7A">
        <w:rPr>
          <w:rFonts w:ascii="Arial" w:hAnsi="Arial" w:cs="Arial"/>
          <w:color w:val="7B7B7B" w:themeColor="accent3" w:themeShade="BF"/>
          <w:sz w:val="22"/>
          <w:szCs w:val="22"/>
          <w:lang w:val="en-GB"/>
        </w:rPr>
        <w:t>transaction must have taken place at a relevant time which is th</w:t>
      </w:r>
      <w:r w:rsidR="00B47253">
        <w:rPr>
          <w:rFonts w:ascii="Arial" w:hAnsi="Arial" w:cs="Arial"/>
          <w:color w:val="7B7B7B" w:themeColor="accent3" w:themeShade="BF"/>
          <w:sz w:val="22"/>
          <w:szCs w:val="22"/>
          <w:lang w:val="en-GB"/>
        </w:rPr>
        <w:t>e period of 2 years prior to the commencement of liquidation</w:t>
      </w:r>
      <w:r w:rsidR="00482D79">
        <w:rPr>
          <w:rFonts w:ascii="Arial" w:hAnsi="Arial" w:cs="Arial"/>
          <w:color w:val="7B7B7B" w:themeColor="accent3" w:themeShade="BF"/>
          <w:sz w:val="22"/>
          <w:szCs w:val="22"/>
          <w:lang w:val="en-GB"/>
        </w:rPr>
        <w:t>.</w:t>
      </w:r>
      <w:r w:rsidR="002F72E2">
        <w:rPr>
          <w:rFonts w:ascii="Arial" w:hAnsi="Arial" w:cs="Arial"/>
          <w:color w:val="7B7B7B" w:themeColor="accent3" w:themeShade="BF"/>
          <w:sz w:val="22"/>
          <w:szCs w:val="22"/>
          <w:lang w:val="en-GB"/>
        </w:rPr>
        <w:t xml:space="preserve"> It is easy to consider in money’s worth </w:t>
      </w:r>
      <w:r w:rsidR="00C0079A">
        <w:rPr>
          <w:rFonts w:ascii="Arial" w:hAnsi="Arial" w:cs="Arial"/>
          <w:color w:val="7B7B7B" w:themeColor="accent3" w:themeShade="BF"/>
          <w:sz w:val="22"/>
          <w:szCs w:val="22"/>
          <w:lang w:val="en-GB"/>
        </w:rPr>
        <w:t>whether the transaction is an undervalue to the extent the ve</w:t>
      </w:r>
      <w:r w:rsidR="00F77CB6">
        <w:rPr>
          <w:rFonts w:ascii="Arial" w:hAnsi="Arial" w:cs="Arial"/>
          <w:color w:val="7B7B7B" w:themeColor="accent3" w:themeShade="BF"/>
          <w:sz w:val="22"/>
          <w:szCs w:val="22"/>
          <w:lang w:val="en-GB"/>
        </w:rPr>
        <w:t xml:space="preserve">hicle for sold for half its value from the previous year when it was purchased. As the sale of the van is to a director, who the statute regards as a connected person, </w:t>
      </w:r>
      <w:r w:rsidR="001D4D97">
        <w:rPr>
          <w:rFonts w:ascii="Arial" w:hAnsi="Arial" w:cs="Arial"/>
          <w:color w:val="7B7B7B" w:themeColor="accent3" w:themeShade="BF"/>
          <w:sz w:val="22"/>
          <w:szCs w:val="22"/>
          <w:lang w:val="en-GB"/>
        </w:rPr>
        <w:t>the is important to show under section 238 of the Act that at the time of the transaction</w:t>
      </w:r>
      <w:r w:rsidR="00C4055F">
        <w:rPr>
          <w:rFonts w:ascii="Arial" w:hAnsi="Arial" w:cs="Arial"/>
          <w:color w:val="7B7B7B" w:themeColor="accent3" w:themeShade="BF"/>
          <w:sz w:val="22"/>
          <w:szCs w:val="22"/>
          <w:lang w:val="en-GB"/>
        </w:rPr>
        <w:t xml:space="preserve">, the company was either unable to pay its debts as they fall due or became unable to pay its debts within the meaning of section 123 of the Insolvency Act </w:t>
      </w:r>
      <w:proofErr w:type="gramStart"/>
      <w:r w:rsidR="00C4055F">
        <w:rPr>
          <w:rFonts w:ascii="Arial" w:hAnsi="Arial" w:cs="Arial"/>
          <w:color w:val="7B7B7B" w:themeColor="accent3" w:themeShade="BF"/>
          <w:sz w:val="22"/>
          <w:szCs w:val="22"/>
          <w:lang w:val="en-GB"/>
        </w:rPr>
        <w:t>as a result of</w:t>
      </w:r>
      <w:proofErr w:type="gramEnd"/>
      <w:r w:rsidR="00C4055F">
        <w:rPr>
          <w:rFonts w:ascii="Arial" w:hAnsi="Arial" w:cs="Arial"/>
          <w:color w:val="7B7B7B" w:themeColor="accent3" w:themeShade="BF"/>
          <w:sz w:val="22"/>
          <w:szCs w:val="22"/>
          <w:lang w:val="en-GB"/>
        </w:rPr>
        <w:t xml:space="preserve"> the sale of the van.</w:t>
      </w:r>
      <w:r w:rsidR="0057157B">
        <w:rPr>
          <w:rFonts w:ascii="Arial" w:hAnsi="Arial" w:cs="Arial"/>
          <w:color w:val="7B7B7B" w:themeColor="accent3" w:themeShade="BF"/>
          <w:sz w:val="22"/>
          <w:szCs w:val="22"/>
          <w:lang w:val="en-GB"/>
        </w:rPr>
        <w:t xml:space="preserve"> Where the sale was made to a connected person, </w:t>
      </w:r>
      <w:r w:rsidR="00C662C1">
        <w:rPr>
          <w:rFonts w:ascii="Arial" w:hAnsi="Arial" w:cs="Arial"/>
          <w:color w:val="7B7B7B" w:themeColor="accent3" w:themeShade="BF"/>
          <w:sz w:val="22"/>
          <w:szCs w:val="22"/>
          <w:lang w:val="en-GB"/>
        </w:rPr>
        <w:t xml:space="preserve">within the relevant period, </w:t>
      </w:r>
      <w:r w:rsidR="0057157B">
        <w:rPr>
          <w:rFonts w:ascii="Arial" w:hAnsi="Arial" w:cs="Arial"/>
          <w:color w:val="7B7B7B" w:themeColor="accent3" w:themeShade="BF"/>
          <w:sz w:val="22"/>
          <w:szCs w:val="22"/>
          <w:lang w:val="en-GB"/>
        </w:rPr>
        <w:t>there is a presumption</w:t>
      </w:r>
      <w:r w:rsidR="00C662C1">
        <w:rPr>
          <w:rFonts w:ascii="Arial" w:hAnsi="Arial" w:cs="Arial"/>
          <w:color w:val="7B7B7B" w:themeColor="accent3" w:themeShade="BF"/>
          <w:sz w:val="22"/>
          <w:szCs w:val="22"/>
          <w:lang w:val="en-GB"/>
        </w:rPr>
        <w:t xml:space="preserve"> that </w:t>
      </w:r>
      <w:r w:rsidR="00DC2A14">
        <w:rPr>
          <w:rFonts w:ascii="Arial" w:hAnsi="Arial" w:cs="Arial"/>
          <w:color w:val="7B7B7B" w:themeColor="accent3" w:themeShade="BF"/>
          <w:sz w:val="22"/>
          <w:szCs w:val="22"/>
          <w:lang w:val="en-GB"/>
        </w:rPr>
        <w:t xml:space="preserve">the company is insolvent or has become insolvent </w:t>
      </w:r>
      <w:proofErr w:type="gramStart"/>
      <w:r w:rsidR="00DC2A14">
        <w:rPr>
          <w:rFonts w:ascii="Arial" w:hAnsi="Arial" w:cs="Arial"/>
          <w:color w:val="7B7B7B" w:themeColor="accent3" w:themeShade="BF"/>
          <w:sz w:val="22"/>
          <w:szCs w:val="22"/>
          <w:lang w:val="en-GB"/>
        </w:rPr>
        <w:t>as a result of</w:t>
      </w:r>
      <w:proofErr w:type="gramEnd"/>
      <w:r w:rsidR="00DC2A14">
        <w:rPr>
          <w:rFonts w:ascii="Arial" w:hAnsi="Arial" w:cs="Arial"/>
          <w:color w:val="7B7B7B" w:themeColor="accent3" w:themeShade="BF"/>
          <w:sz w:val="22"/>
          <w:szCs w:val="22"/>
          <w:lang w:val="en-GB"/>
        </w:rPr>
        <w:t xml:space="preserve"> the transaction unless the contrary is proved.</w:t>
      </w:r>
      <w:r w:rsidR="00196492">
        <w:rPr>
          <w:rFonts w:ascii="Arial" w:hAnsi="Arial" w:cs="Arial"/>
          <w:color w:val="7B7B7B" w:themeColor="accent3" w:themeShade="BF"/>
          <w:sz w:val="22"/>
          <w:szCs w:val="22"/>
          <w:lang w:val="en-GB"/>
        </w:rPr>
        <w:t xml:space="preserve"> If the transaction is deemed to be at an undervalue, the liquidator can seek an order setting aside the transaction and ordering </w:t>
      </w:r>
      <w:r w:rsidR="00683FC3">
        <w:rPr>
          <w:rFonts w:ascii="Arial" w:hAnsi="Arial" w:cs="Arial"/>
          <w:color w:val="7B7B7B" w:themeColor="accent3" w:themeShade="BF"/>
          <w:sz w:val="22"/>
          <w:szCs w:val="22"/>
          <w:lang w:val="en-GB"/>
        </w:rPr>
        <w:t xml:space="preserve">the restoring of the position to what it would have been if the preference had not been given or the transaction had not been </w:t>
      </w:r>
      <w:proofErr w:type="gramStart"/>
      <w:r w:rsidR="00683FC3">
        <w:rPr>
          <w:rFonts w:ascii="Arial" w:hAnsi="Arial" w:cs="Arial"/>
          <w:color w:val="7B7B7B" w:themeColor="accent3" w:themeShade="BF"/>
          <w:sz w:val="22"/>
          <w:szCs w:val="22"/>
          <w:lang w:val="en-GB"/>
        </w:rPr>
        <w:t>entered into</w:t>
      </w:r>
      <w:proofErr w:type="gramEnd"/>
      <w:r w:rsidR="00683FC3">
        <w:rPr>
          <w:rFonts w:ascii="Arial" w:hAnsi="Arial" w:cs="Arial"/>
          <w:color w:val="7B7B7B" w:themeColor="accent3" w:themeShade="BF"/>
          <w:sz w:val="22"/>
          <w:szCs w:val="22"/>
          <w:lang w:val="en-GB"/>
        </w:rPr>
        <w:t>.</w:t>
      </w:r>
    </w:p>
    <w:p w14:paraId="070ABF9B" w14:textId="2883A4C1" w:rsidR="007E2919" w:rsidRDefault="007E2919" w:rsidP="007E2919">
      <w:pPr>
        <w:rPr>
          <w:rFonts w:ascii="Arial" w:hAnsi="Arial" w:cs="Arial"/>
          <w:b/>
          <w:sz w:val="24"/>
        </w:rPr>
      </w:pPr>
    </w:p>
    <w:p w14:paraId="5D545648" w14:textId="77777777" w:rsidR="00B04033" w:rsidRDefault="00B04033" w:rsidP="007E2919">
      <w:pPr>
        <w:rPr>
          <w:rFonts w:ascii="Arial" w:hAnsi="Arial" w:cs="Arial"/>
          <w:b/>
          <w:sz w:val="24"/>
        </w:rPr>
      </w:pPr>
    </w:p>
    <w:p w14:paraId="642039AC" w14:textId="04F15298" w:rsidR="007E2919" w:rsidRDefault="007E2919" w:rsidP="007E2919">
      <w:pPr>
        <w:rPr>
          <w:rFonts w:ascii="Arial" w:hAnsi="Arial" w:cs="Arial"/>
          <w:b/>
          <w:sz w:val="24"/>
        </w:rPr>
      </w:pPr>
      <w:r>
        <w:rPr>
          <w:rFonts w:ascii="Arial" w:hAnsi="Arial" w:cs="Arial"/>
          <w:b/>
          <w:sz w:val="24"/>
        </w:rPr>
        <w:t>Question 4.3 [maximum 5 marks]</w:t>
      </w:r>
    </w:p>
    <w:p w14:paraId="38FA4FC9" w14:textId="6BBF8182" w:rsidR="007E2919" w:rsidRDefault="007E2919" w:rsidP="007E2919">
      <w:pPr>
        <w:rPr>
          <w:rFonts w:ascii="Arial" w:hAnsi="Arial" w:cs="Arial"/>
          <w:b/>
          <w:sz w:val="24"/>
        </w:rPr>
      </w:pPr>
    </w:p>
    <w:p w14:paraId="2CD8591B" w14:textId="66E6B918" w:rsidR="007E2919" w:rsidRPr="007E2919" w:rsidRDefault="007E2919" w:rsidP="007E2919">
      <w:pPr>
        <w:rPr>
          <w:rFonts w:ascii="Arial" w:hAnsi="Arial" w:cs="Arial"/>
          <w:sz w:val="24"/>
        </w:rPr>
      </w:pPr>
      <w:r w:rsidRPr="007E2919">
        <w:rPr>
          <w:rFonts w:ascii="Arial" w:hAnsi="Arial" w:cs="Arial"/>
          <w:sz w:val="24"/>
        </w:rPr>
        <w:t>The payment to Gary’s Grapes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626FA5C6" w14:textId="18BC5FCF" w:rsidR="002D3473" w:rsidRDefault="00256431" w:rsidP="00543B91">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relevant section is </w:t>
      </w:r>
      <w:r w:rsidR="00F26FA2">
        <w:rPr>
          <w:rFonts w:ascii="Arial" w:hAnsi="Arial" w:cs="Arial"/>
          <w:color w:val="7B7B7B" w:themeColor="accent3" w:themeShade="BF"/>
          <w:sz w:val="22"/>
          <w:szCs w:val="22"/>
          <w:lang w:val="en-GB"/>
        </w:rPr>
        <w:t xml:space="preserve">239 of the Insolvency Act which relates to </w:t>
      </w:r>
      <w:r w:rsidR="00057951">
        <w:rPr>
          <w:rFonts w:ascii="Arial" w:hAnsi="Arial" w:cs="Arial"/>
          <w:color w:val="7B7B7B" w:themeColor="accent3" w:themeShade="BF"/>
          <w:sz w:val="22"/>
          <w:szCs w:val="22"/>
          <w:lang w:val="en-GB"/>
        </w:rPr>
        <w:t xml:space="preserve">preferences. </w:t>
      </w:r>
      <w:r w:rsidR="00DE4250">
        <w:rPr>
          <w:rFonts w:ascii="Arial" w:hAnsi="Arial" w:cs="Arial"/>
          <w:color w:val="7B7B7B" w:themeColor="accent3" w:themeShade="BF"/>
          <w:sz w:val="22"/>
          <w:szCs w:val="22"/>
          <w:lang w:val="en-GB"/>
        </w:rPr>
        <w:t>These are transactions that a liquidator can apply to the Court to set aside. The provision is aimed at</w:t>
      </w:r>
      <w:r w:rsidR="00A17B28">
        <w:rPr>
          <w:rFonts w:ascii="Arial" w:hAnsi="Arial" w:cs="Arial"/>
          <w:color w:val="7B7B7B" w:themeColor="accent3" w:themeShade="BF"/>
          <w:sz w:val="22"/>
          <w:szCs w:val="22"/>
          <w:lang w:val="en-GB"/>
        </w:rPr>
        <w:t xml:space="preserve"> preventing a company, shortly before entering a formal insolvency procedure, from</w:t>
      </w:r>
      <w:r w:rsidR="007A2326">
        <w:rPr>
          <w:rFonts w:ascii="Arial" w:hAnsi="Arial" w:cs="Arial"/>
          <w:color w:val="7B7B7B" w:themeColor="accent3" w:themeShade="BF"/>
          <w:sz w:val="22"/>
          <w:szCs w:val="22"/>
          <w:lang w:val="en-GB"/>
        </w:rPr>
        <w:t xml:space="preserve"> </w:t>
      </w:r>
      <w:r w:rsidR="00F270C2">
        <w:rPr>
          <w:rFonts w:ascii="Arial" w:hAnsi="Arial" w:cs="Arial"/>
          <w:color w:val="7B7B7B" w:themeColor="accent3" w:themeShade="BF"/>
          <w:sz w:val="22"/>
          <w:szCs w:val="22"/>
          <w:lang w:val="en-GB"/>
        </w:rPr>
        <w:t>placing one of its creditors in a better position than others</w:t>
      </w:r>
      <w:r w:rsidR="002E4F6C">
        <w:rPr>
          <w:rFonts w:ascii="Arial" w:hAnsi="Arial" w:cs="Arial"/>
          <w:color w:val="7B7B7B" w:themeColor="accent3" w:themeShade="BF"/>
          <w:sz w:val="22"/>
          <w:szCs w:val="22"/>
          <w:lang w:val="en-GB"/>
        </w:rPr>
        <w:t xml:space="preserve">. Gary’s Grapes Ltd </w:t>
      </w:r>
      <w:r w:rsidR="006241D3">
        <w:rPr>
          <w:rFonts w:ascii="Arial" w:hAnsi="Arial" w:cs="Arial"/>
          <w:color w:val="7B7B7B" w:themeColor="accent3" w:themeShade="BF"/>
          <w:sz w:val="22"/>
          <w:szCs w:val="22"/>
          <w:lang w:val="en-GB"/>
        </w:rPr>
        <w:t xml:space="preserve">demanded and received payment for all monies owed to it including monies not yet owed. To challenge this payment to Gary’s Grapes Ltd, the liquidator </w:t>
      </w:r>
      <w:r w:rsidR="000243BD">
        <w:rPr>
          <w:rFonts w:ascii="Arial" w:hAnsi="Arial" w:cs="Arial"/>
          <w:color w:val="7B7B7B" w:themeColor="accent3" w:themeShade="BF"/>
          <w:sz w:val="22"/>
          <w:szCs w:val="22"/>
          <w:lang w:val="en-GB"/>
        </w:rPr>
        <w:t xml:space="preserve">must apply to the Court </w:t>
      </w:r>
      <w:r w:rsidR="00BC2601">
        <w:rPr>
          <w:rFonts w:ascii="Arial" w:hAnsi="Arial" w:cs="Arial"/>
          <w:color w:val="7B7B7B" w:themeColor="accent3" w:themeShade="BF"/>
          <w:sz w:val="22"/>
          <w:szCs w:val="22"/>
          <w:lang w:val="en-GB"/>
        </w:rPr>
        <w:t xml:space="preserve">and has the burden to prove </w:t>
      </w:r>
      <w:r w:rsidR="000243BD">
        <w:rPr>
          <w:rFonts w:ascii="Arial" w:hAnsi="Arial" w:cs="Arial"/>
          <w:color w:val="7B7B7B" w:themeColor="accent3" w:themeShade="BF"/>
          <w:sz w:val="22"/>
          <w:szCs w:val="22"/>
          <w:lang w:val="en-GB"/>
        </w:rPr>
        <w:t>4 things:</w:t>
      </w:r>
      <w:r w:rsidR="00ED6DF0">
        <w:rPr>
          <w:rFonts w:ascii="Arial" w:hAnsi="Arial" w:cs="Arial"/>
          <w:color w:val="7B7B7B" w:themeColor="accent3" w:themeShade="BF"/>
          <w:sz w:val="22"/>
          <w:szCs w:val="22"/>
          <w:lang w:val="en-GB"/>
        </w:rPr>
        <w:t xml:space="preserve"> i) </w:t>
      </w:r>
      <w:r w:rsidR="000243BD" w:rsidRPr="00543B91">
        <w:rPr>
          <w:rFonts w:ascii="Arial" w:hAnsi="Arial" w:cs="Arial"/>
          <w:color w:val="7B7B7B" w:themeColor="accent3" w:themeShade="BF"/>
          <w:sz w:val="22"/>
          <w:szCs w:val="22"/>
          <w:lang w:val="en-GB"/>
        </w:rPr>
        <w:t xml:space="preserve">The person who </w:t>
      </w:r>
      <w:r w:rsidR="00414CFE" w:rsidRPr="00543B91">
        <w:rPr>
          <w:rFonts w:ascii="Arial" w:hAnsi="Arial" w:cs="Arial"/>
          <w:color w:val="7B7B7B" w:themeColor="accent3" w:themeShade="BF"/>
          <w:sz w:val="22"/>
          <w:szCs w:val="22"/>
          <w:lang w:val="en-GB"/>
        </w:rPr>
        <w:t>is alleged to be preferred was at the time of the transaction a creditor of the company</w:t>
      </w:r>
      <w:r w:rsidR="008E20B0" w:rsidRPr="00543B91">
        <w:rPr>
          <w:rFonts w:ascii="Arial" w:hAnsi="Arial" w:cs="Arial"/>
          <w:color w:val="7B7B7B" w:themeColor="accent3" w:themeShade="BF"/>
          <w:sz w:val="22"/>
          <w:szCs w:val="22"/>
          <w:lang w:val="en-GB"/>
        </w:rPr>
        <w:t>; ii</w:t>
      </w:r>
      <w:r w:rsidR="00ED6DF0">
        <w:rPr>
          <w:rFonts w:ascii="Arial" w:hAnsi="Arial" w:cs="Arial"/>
          <w:color w:val="7B7B7B" w:themeColor="accent3" w:themeShade="BF"/>
          <w:sz w:val="22"/>
          <w:szCs w:val="22"/>
          <w:lang w:val="en-GB"/>
        </w:rPr>
        <w:t>)</w:t>
      </w:r>
      <w:r w:rsidR="008E20B0" w:rsidRPr="00543B91">
        <w:rPr>
          <w:rFonts w:ascii="Arial" w:hAnsi="Arial" w:cs="Arial"/>
          <w:color w:val="7B7B7B" w:themeColor="accent3" w:themeShade="BF"/>
          <w:sz w:val="22"/>
          <w:szCs w:val="22"/>
          <w:lang w:val="en-GB"/>
        </w:rPr>
        <w:t xml:space="preserve"> Something was done by the company which had the effect of putting that person in a better position</w:t>
      </w:r>
      <w:r w:rsidR="002530E1" w:rsidRPr="00543B91">
        <w:rPr>
          <w:rFonts w:ascii="Arial" w:hAnsi="Arial" w:cs="Arial"/>
          <w:color w:val="7B7B7B" w:themeColor="accent3" w:themeShade="BF"/>
          <w:sz w:val="22"/>
          <w:szCs w:val="22"/>
          <w:lang w:val="en-GB"/>
        </w:rPr>
        <w:t xml:space="preserve"> in the event of the company going into insolvent liquidation</w:t>
      </w:r>
      <w:r w:rsidR="006241D3" w:rsidRPr="00543B91">
        <w:rPr>
          <w:rFonts w:ascii="Arial" w:hAnsi="Arial" w:cs="Arial"/>
          <w:color w:val="7B7B7B" w:themeColor="accent3" w:themeShade="BF"/>
          <w:sz w:val="22"/>
          <w:szCs w:val="22"/>
          <w:lang w:val="en-GB"/>
        </w:rPr>
        <w:t xml:space="preserve"> </w:t>
      </w:r>
      <w:r w:rsidR="002530E1" w:rsidRPr="00543B91">
        <w:rPr>
          <w:rFonts w:ascii="Arial" w:hAnsi="Arial" w:cs="Arial"/>
          <w:color w:val="7B7B7B" w:themeColor="accent3" w:themeShade="BF"/>
          <w:sz w:val="22"/>
          <w:szCs w:val="22"/>
          <w:lang w:val="en-GB"/>
        </w:rPr>
        <w:t>than the position he would have been if the</w:t>
      </w:r>
      <w:r w:rsidR="006239AB" w:rsidRPr="00543B91">
        <w:rPr>
          <w:rFonts w:ascii="Arial" w:hAnsi="Arial" w:cs="Arial"/>
          <w:color w:val="7B7B7B" w:themeColor="accent3" w:themeShade="BF"/>
          <w:sz w:val="22"/>
          <w:szCs w:val="22"/>
          <w:lang w:val="en-GB"/>
        </w:rPr>
        <w:t xml:space="preserve"> transaction had not been done</w:t>
      </w:r>
      <w:r w:rsidR="00F64634">
        <w:rPr>
          <w:rFonts w:ascii="Arial" w:hAnsi="Arial" w:cs="Arial"/>
          <w:color w:val="7B7B7B" w:themeColor="accent3" w:themeShade="BF"/>
          <w:sz w:val="22"/>
          <w:szCs w:val="22"/>
          <w:lang w:val="en-GB"/>
        </w:rPr>
        <w:t xml:space="preserve"> ie this company was not preferred</w:t>
      </w:r>
      <w:r w:rsidR="006239AB" w:rsidRPr="00543B91">
        <w:rPr>
          <w:rFonts w:ascii="Arial" w:hAnsi="Arial" w:cs="Arial"/>
          <w:color w:val="7B7B7B" w:themeColor="accent3" w:themeShade="BF"/>
          <w:sz w:val="22"/>
          <w:szCs w:val="22"/>
          <w:lang w:val="en-GB"/>
        </w:rPr>
        <w:t>;</w:t>
      </w:r>
      <w:r w:rsidR="00B43EBC">
        <w:rPr>
          <w:rFonts w:ascii="Arial" w:hAnsi="Arial" w:cs="Arial"/>
          <w:color w:val="7B7B7B" w:themeColor="accent3" w:themeShade="BF"/>
          <w:sz w:val="22"/>
          <w:szCs w:val="22"/>
          <w:lang w:val="en-GB"/>
        </w:rPr>
        <w:t xml:space="preserve"> iii)</w:t>
      </w:r>
      <w:r w:rsidR="000B007B">
        <w:rPr>
          <w:rFonts w:ascii="Arial" w:hAnsi="Arial" w:cs="Arial"/>
          <w:color w:val="7B7B7B" w:themeColor="accent3" w:themeShade="BF"/>
          <w:sz w:val="22"/>
          <w:szCs w:val="22"/>
          <w:lang w:val="en-GB"/>
        </w:rPr>
        <w:t xml:space="preserve"> the company was, in giving preference, influenced by a desire to produce</w:t>
      </w:r>
      <w:r w:rsidR="00E44C8D">
        <w:rPr>
          <w:rFonts w:ascii="Arial" w:hAnsi="Arial" w:cs="Arial"/>
          <w:color w:val="7B7B7B" w:themeColor="accent3" w:themeShade="BF"/>
          <w:sz w:val="22"/>
          <w:szCs w:val="22"/>
          <w:lang w:val="en-GB"/>
        </w:rPr>
        <w:t xml:space="preserve"> the effect referred to of putting that creditor in a better position </w:t>
      </w:r>
      <w:r w:rsidR="001D3C24">
        <w:rPr>
          <w:rFonts w:ascii="Arial" w:hAnsi="Arial" w:cs="Arial"/>
          <w:color w:val="7B7B7B" w:themeColor="accent3" w:themeShade="BF"/>
          <w:sz w:val="22"/>
          <w:szCs w:val="22"/>
          <w:lang w:val="en-GB"/>
        </w:rPr>
        <w:t>and the preference was given at a relevant time.</w:t>
      </w:r>
      <w:r w:rsidR="000B007B">
        <w:rPr>
          <w:rFonts w:ascii="Arial" w:hAnsi="Arial" w:cs="Arial"/>
          <w:color w:val="7B7B7B" w:themeColor="accent3" w:themeShade="BF"/>
          <w:sz w:val="22"/>
          <w:szCs w:val="22"/>
          <w:lang w:val="en-GB"/>
        </w:rPr>
        <w:t xml:space="preserve"> </w:t>
      </w:r>
      <w:r w:rsidR="00225E9E">
        <w:rPr>
          <w:rFonts w:ascii="Arial" w:hAnsi="Arial" w:cs="Arial"/>
          <w:color w:val="7B7B7B" w:themeColor="accent3" w:themeShade="BF"/>
          <w:sz w:val="22"/>
          <w:szCs w:val="22"/>
          <w:lang w:val="en-GB"/>
        </w:rPr>
        <w:t xml:space="preserve">If Gary Grapes Ltd were shown to be connected to the </w:t>
      </w:r>
      <w:proofErr w:type="gramStart"/>
      <w:r w:rsidR="00225E9E">
        <w:rPr>
          <w:rFonts w:ascii="Arial" w:hAnsi="Arial" w:cs="Arial"/>
          <w:color w:val="7B7B7B" w:themeColor="accent3" w:themeShade="BF"/>
          <w:sz w:val="22"/>
          <w:szCs w:val="22"/>
          <w:lang w:val="en-GB"/>
        </w:rPr>
        <w:t>company</w:t>
      </w:r>
      <w:proofErr w:type="gramEnd"/>
      <w:r w:rsidR="00225E9E">
        <w:rPr>
          <w:rFonts w:ascii="Arial" w:hAnsi="Arial" w:cs="Arial"/>
          <w:color w:val="7B7B7B" w:themeColor="accent3" w:themeShade="BF"/>
          <w:sz w:val="22"/>
          <w:szCs w:val="22"/>
          <w:lang w:val="en-GB"/>
        </w:rPr>
        <w:t xml:space="preserve"> then the</w:t>
      </w:r>
      <w:r w:rsidR="005C2110">
        <w:rPr>
          <w:rFonts w:ascii="Arial" w:hAnsi="Arial" w:cs="Arial"/>
          <w:color w:val="7B7B7B" w:themeColor="accent3" w:themeShade="BF"/>
          <w:sz w:val="22"/>
          <w:szCs w:val="22"/>
          <w:lang w:val="en-GB"/>
        </w:rPr>
        <w:t xml:space="preserve">re would be a presumption that the company intended to prefer Gary Grapes and the </w:t>
      </w:r>
      <w:r w:rsidR="00225E9E">
        <w:rPr>
          <w:rFonts w:ascii="Arial" w:hAnsi="Arial" w:cs="Arial"/>
          <w:color w:val="7B7B7B" w:themeColor="accent3" w:themeShade="BF"/>
          <w:sz w:val="22"/>
          <w:szCs w:val="22"/>
          <w:lang w:val="en-GB"/>
        </w:rPr>
        <w:t xml:space="preserve">burden would </w:t>
      </w:r>
      <w:r w:rsidR="005C2110">
        <w:rPr>
          <w:rFonts w:ascii="Arial" w:hAnsi="Arial" w:cs="Arial"/>
          <w:color w:val="7B7B7B" w:themeColor="accent3" w:themeShade="BF"/>
          <w:sz w:val="22"/>
          <w:szCs w:val="22"/>
          <w:lang w:val="en-GB"/>
        </w:rPr>
        <w:t xml:space="preserve">shift to </w:t>
      </w:r>
      <w:r w:rsidR="00225E9E">
        <w:rPr>
          <w:rFonts w:ascii="Arial" w:hAnsi="Arial" w:cs="Arial"/>
          <w:color w:val="7B7B7B" w:themeColor="accent3" w:themeShade="BF"/>
          <w:sz w:val="22"/>
          <w:szCs w:val="22"/>
          <w:lang w:val="en-GB"/>
        </w:rPr>
        <w:t>Gary Grapes Ltd to</w:t>
      </w:r>
      <w:r w:rsidR="00C7656D">
        <w:rPr>
          <w:rFonts w:ascii="Arial" w:hAnsi="Arial" w:cs="Arial"/>
          <w:color w:val="7B7B7B" w:themeColor="accent3" w:themeShade="BF"/>
          <w:sz w:val="22"/>
          <w:szCs w:val="22"/>
          <w:lang w:val="en-GB"/>
        </w:rPr>
        <w:t xml:space="preserve"> rebut the presumption.</w:t>
      </w:r>
      <w:r w:rsidR="00E37672">
        <w:rPr>
          <w:rFonts w:ascii="Arial" w:hAnsi="Arial" w:cs="Arial"/>
          <w:color w:val="7B7B7B" w:themeColor="accent3" w:themeShade="BF"/>
          <w:sz w:val="22"/>
          <w:szCs w:val="22"/>
          <w:lang w:val="en-GB"/>
        </w:rPr>
        <w:t xml:space="preserve"> The relevant period for a preference transaction is 2 years </w:t>
      </w:r>
      <w:r w:rsidR="00C51324">
        <w:rPr>
          <w:rFonts w:ascii="Arial" w:hAnsi="Arial" w:cs="Arial"/>
          <w:color w:val="7B7B7B" w:themeColor="accent3" w:themeShade="BF"/>
          <w:sz w:val="22"/>
          <w:szCs w:val="22"/>
          <w:lang w:val="en-GB"/>
        </w:rPr>
        <w:t>before liquidation for connected person and 6 months before liq</w:t>
      </w:r>
      <w:r w:rsidR="00EC42B2">
        <w:rPr>
          <w:rFonts w:ascii="Arial" w:hAnsi="Arial" w:cs="Arial"/>
          <w:color w:val="7B7B7B" w:themeColor="accent3" w:themeShade="BF"/>
          <w:sz w:val="22"/>
          <w:szCs w:val="22"/>
          <w:lang w:val="en-GB"/>
        </w:rPr>
        <w:t xml:space="preserve">uidation </w:t>
      </w:r>
      <w:r w:rsidR="00C51324">
        <w:rPr>
          <w:rFonts w:ascii="Arial" w:hAnsi="Arial" w:cs="Arial"/>
          <w:color w:val="7B7B7B" w:themeColor="accent3" w:themeShade="BF"/>
          <w:sz w:val="22"/>
          <w:szCs w:val="22"/>
          <w:lang w:val="en-GB"/>
        </w:rPr>
        <w:t>for a non-connected person</w:t>
      </w:r>
      <w:r w:rsidR="00DE02C9">
        <w:rPr>
          <w:rFonts w:ascii="Arial" w:hAnsi="Arial" w:cs="Arial"/>
          <w:color w:val="7B7B7B" w:themeColor="accent3" w:themeShade="BF"/>
          <w:sz w:val="22"/>
          <w:szCs w:val="22"/>
          <w:lang w:val="en-GB"/>
        </w:rPr>
        <w:t xml:space="preserve">. </w:t>
      </w:r>
    </w:p>
    <w:p w14:paraId="02E7A355" w14:textId="657F6083" w:rsidR="00DE02C9" w:rsidRDefault="00DE02C9" w:rsidP="00543B91">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relevant for the office holder to bear in mind that it is usually very difficult to show that the company intended to prefer a creditor</w:t>
      </w:r>
      <w:r w:rsidR="0098087C">
        <w:rPr>
          <w:rFonts w:ascii="Arial" w:hAnsi="Arial" w:cs="Arial"/>
          <w:color w:val="7B7B7B" w:themeColor="accent3" w:themeShade="BF"/>
          <w:sz w:val="22"/>
          <w:szCs w:val="22"/>
          <w:lang w:val="en-GB"/>
        </w:rPr>
        <w:t>. This is because the pressure applied by a creditor</w:t>
      </w:r>
      <w:r w:rsidR="004562D1">
        <w:rPr>
          <w:rFonts w:ascii="Arial" w:hAnsi="Arial" w:cs="Arial"/>
          <w:color w:val="7B7B7B" w:themeColor="accent3" w:themeShade="BF"/>
          <w:sz w:val="22"/>
          <w:szCs w:val="22"/>
          <w:lang w:val="en-GB"/>
        </w:rPr>
        <w:t xml:space="preserve"> to the company is not relevant to showing preference. It would only be relevant to show whether there is the requisite intention</w:t>
      </w:r>
      <w:r w:rsidR="00CE48AE">
        <w:rPr>
          <w:rFonts w:ascii="Arial" w:hAnsi="Arial" w:cs="Arial"/>
          <w:color w:val="7B7B7B" w:themeColor="accent3" w:themeShade="BF"/>
          <w:sz w:val="22"/>
          <w:szCs w:val="22"/>
          <w:lang w:val="en-GB"/>
        </w:rPr>
        <w:t>. The authority</w:t>
      </w:r>
      <w:r w:rsidR="00760B21">
        <w:rPr>
          <w:rFonts w:ascii="Arial" w:hAnsi="Arial" w:cs="Arial"/>
          <w:color w:val="7B7B7B" w:themeColor="accent3" w:themeShade="BF"/>
          <w:sz w:val="22"/>
          <w:szCs w:val="22"/>
          <w:lang w:val="en-GB"/>
        </w:rPr>
        <w:t xml:space="preserve"> Re MC Bacon Ltd is a useful guide as the court in this case found that an intention to prefer will not of itself amount to </w:t>
      </w:r>
      <w:r w:rsidR="00843CBA">
        <w:rPr>
          <w:rFonts w:ascii="Arial" w:hAnsi="Arial" w:cs="Arial"/>
          <w:color w:val="7B7B7B" w:themeColor="accent3" w:themeShade="BF"/>
          <w:sz w:val="22"/>
          <w:szCs w:val="22"/>
          <w:lang w:val="en-GB"/>
        </w:rPr>
        <w:t>a desire to prefer. In the Re MC Bacon case, it was contended that the grant by the company of a debenture for past indebtedness was a preference. The Court considered</w:t>
      </w:r>
      <w:r w:rsidR="00FA086C">
        <w:rPr>
          <w:rFonts w:ascii="Arial" w:hAnsi="Arial" w:cs="Arial"/>
          <w:color w:val="7B7B7B" w:themeColor="accent3" w:themeShade="BF"/>
          <w:sz w:val="22"/>
          <w:szCs w:val="22"/>
          <w:lang w:val="en-GB"/>
        </w:rPr>
        <w:t xml:space="preserve"> the company’s dependence on the bank for support and t</w:t>
      </w:r>
      <w:r w:rsidR="00EC42B2">
        <w:rPr>
          <w:rFonts w:ascii="Arial" w:hAnsi="Arial" w:cs="Arial"/>
          <w:color w:val="7B7B7B" w:themeColor="accent3" w:themeShade="BF"/>
          <w:sz w:val="22"/>
          <w:szCs w:val="22"/>
          <w:lang w:val="en-GB"/>
        </w:rPr>
        <w:t>o</w:t>
      </w:r>
      <w:r w:rsidR="00FA086C">
        <w:rPr>
          <w:rFonts w:ascii="Arial" w:hAnsi="Arial" w:cs="Arial"/>
          <w:color w:val="7B7B7B" w:themeColor="accent3" w:themeShade="BF"/>
          <w:sz w:val="22"/>
          <w:szCs w:val="22"/>
          <w:lang w:val="en-GB"/>
        </w:rPr>
        <w:t xml:space="preserve"> </w:t>
      </w:r>
      <w:r w:rsidR="00EC42B2">
        <w:rPr>
          <w:rFonts w:ascii="Arial" w:hAnsi="Arial" w:cs="Arial"/>
          <w:color w:val="7B7B7B" w:themeColor="accent3" w:themeShade="BF"/>
          <w:sz w:val="22"/>
          <w:szCs w:val="22"/>
          <w:lang w:val="en-GB"/>
        </w:rPr>
        <w:t xml:space="preserve">continue </w:t>
      </w:r>
      <w:proofErr w:type="gramStart"/>
      <w:r w:rsidR="00EC42B2">
        <w:rPr>
          <w:rFonts w:ascii="Arial" w:hAnsi="Arial" w:cs="Arial"/>
          <w:color w:val="7B7B7B" w:themeColor="accent3" w:themeShade="BF"/>
          <w:sz w:val="22"/>
          <w:szCs w:val="22"/>
          <w:lang w:val="en-GB"/>
        </w:rPr>
        <w:t xml:space="preserve">trading </w:t>
      </w:r>
      <w:r w:rsidR="00C92B10">
        <w:rPr>
          <w:rFonts w:ascii="Arial" w:hAnsi="Arial" w:cs="Arial"/>
          <w:color w:val="7B7B7B" w:themeColor="accent3" w:themeShade="BF"/>
          <w:sz w:val="22"/>
          <w:szCs w:val="22"/>
          <w:lang w:val="en-GB"/>
        </w:rPr>
        <w:t xml:space="preserve"> and</w:t>
      </w:r>
      <w:proofErr w:type="gramEnd"/>
      <w:r w:rsidR="00C92B10">
        <w:rPr>
          <w:rFonts w:ascii="Arial" w:hAnsi="Arial" w:cs="Arial"/>
          <w:color w:val="7B7B7B" w:themeColor="accent3" w:themeShade="BF"/>
          <w:sz w:val="22"/>
          <w:szCs w:val="22"/>
          <w:lang w:val="en-GB"/>
        </w:rPr>
        <w:t xml:space="preserve"> avoid immediate liquidation. The grant of the debenture is these circumstances </w:t>
      </w:r>
      <w:r w:rsidR="007E3A2A">
        <w:rPr>
          <w:rFonts w:ascii="Arial" w:hAnsi="Arial" w:cs="Arial"/>
          <w:color w:val="7B7B7B" w:themeColor="accent3" w:themeShade="BF"/>
          <w:sz w:val="22"/>
          <w:szCs w:val="22"/>
          <w:lang w:val="en-GB"/>
        </w:rPr>
        <w:t xml:space="preserve">did not amount to an intention to prefer. </w:t>
      </w:r>
      <w:r w:rsidR="00AE53C5">
        <w:rPr>
          <w:rFonts w:ascii="Arial" w:hAnsi="Arial" w:cs="Arial"/>
          <w:color w:val="7B7B7B" w:themeColor="accent3" w:themeShade="BF"/>
          <w:sz w:val="22"/>
          <w:szCs w:val="22"/>
          <w:lang w:val="en-GB"/>
        </w:rPr>
        <w:t>Other cases have held that where the company is influenced solely by commercial considerations, specifically attempts to ensure continued trading, no d</w:t>
      </w:r>
      <w:r w:rsidR="000A0FF4">
        <w:rPr>
          <w:rFonts w:ascii="Arial" w:hAnsi="Arial" w:cs="Arial"/>
          <w:color w:val="7B7B7B" w:themeColor="accent3" w:themeShade="BF"/>
          <w:sz w:val="22"/>
          <w:szCs w:val="22"/>
          <w:lang w:val="en-GB"/>
        </w:rPr>
        <w:t>esire by the company to prefer can be imputed.</w:t>
      </w:r>
    </w:p>
    <w:p w14:paraId="62A66086" w14:textId="23D1D3D7" w:rsidR="000A0FF4" w:rsidRDefault="000A0FF4" w:rsidP="00543B91">
      <w:pPr>
        <w:rPr>
          <w:rFonts w:ascii="Arial" w:hAnsi="Arial" w:cs="Arial"/>
          <w:color w:val="7B7B7B" w:themeColor="accent3" w:themeShade="BF"/>
          <w:sz w:val="22"/>
          <w:szCs w:val="22"/>
          <w:lang w:val="en-GB"/>
        </w:rPr>
      </w:pPr>
    </w:p>
    <w:p w14:paraId="43B8ACCE" w14:textId="0A4CA42A" w:rsidR="000A0FF4" w:rsidRDefault="0006722A" w:rsidP="00543B91">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facts state that the company made the payment out of fear of being cut off by the supplier. </w:t>
      </w:r>
      <w:r w:rsidR="000A0FF4">
        <w:rPr>
          <w:rFonts w:ascii="Arial" w:hAnsi="Arial" w:cs="Arial"/>
          <w:color w:val="7B7B7B" w:themeColor="accent3" w:themeShade="BF"/>
          <w:sz w:val="22"/>
          <w:szCs w:val="22"/>
          <w:lang w:val="en-GB"/>
        </w:rPr>
        <w:t xml:space="preserve">It may </w:t>
      </w:r>
      <w:r w:rsidR="007E241B">
        <w:rPr>
          <w:rFonts w:ascii="Arial" w:hAnsi="Arial" w:cs="Arial"/>
          <w:color w:val="7B7B7B" w:themeColor="accent3" w:themeShade="BF"/>
          <w:sz w:val="22"/>
          <w:szCs w:val="22"/>
          <w:lang w:val="en-GB"/>
        </w:rPr>
        <w:t xml:space="preserve">therefore be difficult to show an intention to prefer. </w:t>
      </w:r>
    </w:p>
    <w:p w14:paraId="07194A73" w14:textId="77777777" w:rsidR="001A3FAE" w:rsidRDefault="001A3FAE" w:rsidP="00543B91">
      <w:pPr>
        <w:rPr>
          <w:rFonts w:ascii="Arial" w:hAnsi="Arial" w:cs="Arial"/>
          <w:color w:val="7B7B7B" w:themeColor="accent3" w:themeShade="BF"/>
          <w:sz w:val="22"/>
          <w:szCs w:val="22"/>
          <w:lang w:val="en-GB"/>
        </w:rPr>
      </w:pPr>
    </w:p>
    <w:p w14:paraId="394298CE" w14:textId="1367FDD1" w:rsidR="007E241B" w:rsidRPr="00ED6DF0" w:rsidRDefault="007E241B" w:rsidP="00543B91">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can however consider </w:t>
      </w:r>
      <w:r w:rsidR="000F4ABB">
        <w:rPr>
          <w:rFonts w:ascii="Arial" w:hAnsi="Arial" w:cs="Arial"/>
          <w:color w:val="7B7B7B" w:themeColor="accent3" w:themeShade="BF"/>
          <w:sz w:val="22"/>
          <w:szCs w:val="22"/>
          <w:lang w:val="en-GB"/>
        </w:rPr>
        <w:t>bringing an action against the directors for wrongful trading under section 214 and 246ZB under the Act</w:t>
      </w:r>
      <w:r w:rsidR="00866A90">
        <w:rPr>
          <w:rFonts w:ascii="Arial" w:hAnsi="Arial" w:cs="Arial"/>
          <w:color w:val="7B7B7B" w:themeColor="accent3" w:themeShade="BF"/>
          <w:sz w:val="22"/>
          <w:szCs w:val="22"/>
          <w:lang w:val="en-GB"/>
        </w:rPr>
        <w:t>. Wrongful trading is aimed at</w:t>
      </w:r>
      <w:r w:rsidR="00D137D5">
        <w:rPr>
          <w:rFonts w:ascii="Arial" w:hAnsi="Arial" w:cs="Arial"/>
          <w:color w:val="7B7B7B" w:themeColor="accent3" w:themeShade="BF"/>
          <w:sz w:val="22"/>
          <w:szCs w:val="22"/>
          <w:lang w:val="en-GB"/>
        </w:rPr>
        <w:t xml:space="preserve"> ensuring that when directors become aware that an insolvent liquidation </w:t>
      </w:r>
      <w:r w:rsidR="00F163C9">
        <w:rPr>
          <w:rFonts w:ascii="Arial" w:hAnsi="Arial" w:cs="Arial"/>
          <w:color w:val="7B7B7B" w:themeColor="accent3" w:themeShade="BF"/>
          <w:sz w:val="22"/>
          <w:szCs w:val="22"/>
          <w:lang w:val="en-GB"/>
        </w:rPr>
        <w:t xml:space="preserve">is in prospect, they do everything possible to minimise the potential losses </w:t>
      </w:r>
      <w:r w:rsidR="007A4B3B">
        <w:rPr>
          <w:rFonts w:ascii="Arial" w:hAnsi="Arial" w:cs="Arial"/>
          <w:color w:val="7B7B7B" w:themeColor="accent3" w:themeShade="BF"/>
          <w:sz w:val="22"/>
          <w:szCs w:val="22"/>
          <w:lang w:val="en-GB"/>
        </w:rPr>
        <w:t>t</w:t>
      </w:r>
      <w:r w:rsidR="00F163C9">
        <w:rPr>
          <w:rFonts w:ascii="Arial" w:hAnsi="Arial" w:cs="Arial"/>
          <w:color w:val="7B7B7B" w:themeColor="accent3" w:themeShade="BF"/>
          <w:sz w:val="22"/>
          <w:szCs w:val="22"/>
          <w:lang w:val="en-GB"/>
        </w:rPr>
        <w:t>o the company’s creditors.</w:t>
      </w:r>
      <w:r w:rsidR="007A4B3B">
        <w:rPr>
          <w:rFonts w:ascii="Arial" w:hAnsi="Arial" w:cs="Arial"/>
          <w:color w:val="7B7B7B" w:themeColor="accent3" w:themeShade="BF"/>
          <w:sz w:val="22"/>
          <w:szCs w:val="22"/>
          <w:lang w:val="en-GB"/>
        </w:rPr>
        <w:t xml:space="preserve"> The court has discretionary power to determine </w:t>
      </w:r>
      <w:r w:rsidR="0005574B">
        <w:rPr>
          <w:rFonts w:ascii="Arial" w:hAnsi="Arial" w:cs="Arial"/>
          <w:color w:val="7B7B7B" w:themeColor="accent3" w:themeShade="BF"/>
          <w:sz w:val="22"/>
          <w:szCs w:val="22"/>
          <w:lang w:val="en-GB"/>
        </w:rPr>
        <w:t xml:space="preserve">whether a director of an insolvent company should </w:t>
      </w:r>
      <w:proofErr w:type="gramStart"/>
      <w:r w:rsidR="0005574B">
        <w:rPr>
          <w:rFonts w:ascii="Arial" w:hAnsi="Arial" w:cs="Arial"/>
          <w:color w:val="7B7B7B" w:themeColor="accent3" w:themeShade="BF"/>
          <w:sz w:val="22"/>
          <w:szCs w:val="22"/>
          <w:lang w:val="en-GB"/>
        </w:rPr>
        <w:t>make a contribution</w:t>
      </w:r>
      <w:proofErr w:type="gramEnd"/>
      <w:r w:rsidR="0005574B">
        <w:rPr>
          <w:rFonts w:ascii="Arial" w:hAnsi="Arial" w:cs="Arial"/>
          <w:color w:val="7B7B7B" w:themeColor="accent3" w:themeShade="BF"/>
          <w:sz w:val="22"/>
          <w:szCs w:val="22"/>
          <w:lang w:val="en-GB"/>
        </w:rPr>
        <w:t xml:space="preserve"> to the company’s assets.</w:t>
      </w:r>
      <w:r w:rsidR="00A46EE5">
        <w:rPr>
          <w:rFonts w:ascii="Arial" w:hAnsi="Arial" w:cs="Arial"/>
          <w:color w:val="7B7B7B" w:themeColor="accent3" w:themeShade="BF"/>
          <w:sz w:val="22"/>
          <w:szCs w:val="22"/>
          <w:lang w:val="en-GB"/>
        </w:rPr>
        <w:t xml:space="preserve"> The grounds to be satisfied </w:t>
      </w:r>
      <w:proofErr w:type="gramStart"/>
      <w:r w:rsidR="00A46EE5">
        <w:rPr>
          <w:rFonts w:ascii="Arial" w:hAnsi="Arial" w:cs="Arial"/>
          <w:color w:val="7B7B7B" w:themeColor="accent3" w:themeShade="BF"/>
          <w:sz w:val="22"/>
          <w:szCs w:val="22"/>
          <w:lang w:val="en-GB"/>
        </w:rPr>
        <w:t>are:</w:t>
      </w:r>
      <w:proofErr w:type="gramEnd"/>
      <w:r w:rsidR="00A46EE5">
        <w:rPr>
          <w:rFonts w:ascii="Arial" w:hAnsi="Arial" w:cs="Arial"/>
          <w:color w:val="7B7B7B" w:themeColor="accent3" w:themeShade="BF"/>
          <w:sz w:val="22"/>
          <w:szCs w:val="22"/>
          <w:lang w:val="en-GB"/>
        </w:rPr>
        <w:t xml:space="preserve"> a) the company has gone into insolvent liquidation; b) at some point before </w:t>
      </w:r>
      <w:r w:rsidR="00182F9E">
        <w:rPr>
          <w:rFonts w:ascii="Arial" w:hAnsi="Arial" w:cs="Arial"/>
          <w:color w:val="7B7B7B" w:themeColor="accent3" w:themeShade="BF"/>
          <w:sz w:val="22"/>
          <w:szCs w:val="22"/>
          <w:lang w:val="en-GB"/>
        </w:rPr>
        <w:t>the commencement of the winding up of the company, the person knew or ought to have concluded that there was no reasonable prospect that the company would avoid going into insolvent liquidation and that</w:t>
      </w:r>
      <w:r w:rsidR="006B2949">
        <w:rPr>
          <w:rFonts w:ascii="Arial" w:hAnsi="Arial" w:cs="Arial"/>
          <w:color w:val="7B7B7B" w:themeColor="accent3" w:themeShade="BF"/>
          <w:sz w:val="22"/>
          <w:szCs w:val="22"/>
          <w:lang w:val="en-GB"/>
        </w:rPr>
        <w:t>, c)</w:t>
      </w:r>
      <w:r w:rsidR="00182F9E">
        <w:rPr>
          <w:rFonts w:ascii="Arial" w:hAnsi="Arial" w:cs="Arial"/>
          <w:color w:val="7B7B7B" w:themeColor="accent3" w:themeShade="BF"/>
          <w:sz w:val="22"/>
          <w:szCs w:val="22"/>
          <w:lang w:val="en-GB"/>
        </w:rPr>
        <w:t xml:space="preserve"> at the time the person reach</w:t>
      </w:r>
      <w:r w:rsidR="00116692">
        <w:rPr>
          <w:rFonts w:ascii="Arial" w:hAnsi="Arial" w:cs="Arial"/>
          <w:color w:val="7B7B7B" w:themeColor="accent3" w:themeShade="BF"/>
          <w:sz w:val="22"/>
          <w:szCs w:val="22"/>
          <w:lang w:val="en-GB"/>
        </w:rPr>
        <w:t>ed</w:t>
      </w:r>
      <w:r w:rsidR="00182F9E">
        <w:rPr>
          <w:rFonts w:ascii="Arial" w:hAnsi="Arial" w:cs="Arial"/>
          <w:color w:val="7B7B7B" w:themeColor="accent3" w:themeShade="BF"/>
          <w:sz w:val="22"/>
          <w:szCs w:val="22"/>
          <w:lang w:val="en-GB"/>
        </w:rPr>
        <w:t xml:space="preserve"> that conclusion</w:t>
      </w:r>
      <w:r w:rsidR="00116692">
        <w:rPr>
          <w:rFonts w:ascii="Arial" w:hAnsi="Arial" w:cs="Arial"/>
          <w:color w:val="7B7B7B" w:themeColor="accent3" w:themeShade="BF"/>
          <w:sz w:val="22"/>
          <w:szCs w:val="22"/>
          <w:lang w:val="en-GB"/>
        </w:rPr>
        <w:t xml:space="preserve"> or ought to have reached the conclusion, they were a director of the company</w:t>
      </w:r>
      <w:r w:rsidR="006A34C1">
        <w:rPr>
          <w:rFonts w:ascii="Arial" w:hAnsi="Arial" w:cs="Arial"/>
          <w:color w:val="7B7B7B" w:themeColor="accent3" w:themeShade="BF"/>
          <w:sz w:val="22"/>
          <w:szCs w:val="22"/>
          <w:lang w:val="en-GB"/>
        </w:rPr>
        <w:t xml:space="preserve">. The defence available to the director would be </w:t>
      </w:r>
      <w:r w:rsidR="00DB40CA">
        <w:rPr>
          <w:rFonts w:ascii="Arial" w:hAnsi="Arial" w:cs="Arial"/>
          <w:color w:val="7B7B7B" w:themeColor="accent3" w:themeShade="BF"/>
          <w:sz w:val="22"/>
          <w:szCs w:val="22"/>
          <w:lang w:val="en-GB"/>
        </w:rPr>
        <w:t xml:space="preserve">that once he knew or ought to have known the company was insolvent, he took every </w:t>
      </w:r>
      <w:proofErr w:type="gramStart"/>
      <w:r w:rsidR="00DB40CA">
        <w:rPr>
          <w:rFonts w:ascii="Arial" w:hAnsi="Arial" w:cs="Arial"/>
          <w:color w:val="7B7B7B" w:themeColor="accent3" w:themeShade="BF"/>
          <w:sz w:val="22"/>
          <w:szCs w:val="22"/>
          <w:lang w:val="en-GB"/>
        </w:rPr>
        <w:t>steps</w:t>
      </w:r>
      <w:proofErr w:type="gramEnd"/>
      <w:r w:rsidR="00750375">
        <w:rPr>
          <w:rFonts w:ascii="Arial" w:hAnsi="Arial" w:cs="Arial"/>
          <w:color w:val="7B7B7B" w:themeColor="accent3" w:themeShade="BF"/>
          <w:sz w:val="22"/>
          <w:szCs w:val="22"/>
          <w:lang w:val="en-GB"/>
        </w:rPr>
        <w:t xml:space="preserve"> with a view to minimising the potential loss to the company’s creditors</w:t>
      </w:r>
      <w:r w:rsidR="00136055">
        <w:rPr>
          <w:rFonts w:ascii="Arial" w:hAnsi="Arial" w:cs="Arial"/>
          <w:color w:val="7B7B7B" w:themeColor="accent3" w:themeShade="BF"/>
          <w:sz w:val="22"/>
          <w:szCs w:val="22"/>
          <w:lang w:val="en-GB"/>
        </w:rPr>
        <w:t xml:space="preserve"> as he ought to have taken.</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7506DE1F"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01D7D">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3AD538DF" w:rsidR="00241FA3" w:rsidRPr="009B4976" w:rsidRDefault="0098563D" w:rsidP="009B4976">
    <w:pPr>
      <w:pStyle w:val="Footer"/>
      <w:ind w:right="360"/>
      <w:rPr>
        <w:rFonts w:ascii="Arial" w:hAnsi="Arial" w:cs="Arial"/>
        <w:sz w:val="18"/>
        <w:szCs w:val="18"/>
        <w:lang w:val="en-GB"/>
      </w:rPr>
    </w:pPr>
    <w:r>
      <w:rPr>
        <w:rFonts w:ascii="Arial" w:hAnsi="Arial" w:cs="Arial"/>
        <w:sz w:val="18"/>
        <w:szCs w:val="18"/>
        <w:lang w:val="en-GB"/>
      </w:rPr>
      <w:t>202021IFU-341</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04D3D"/>
    <w:multiLevelType w:val="hybridMultilevel"/>
    <w:tmpl w:val="EE3C1BFE"/>
    <w:lvl w:ilvl="0" w:tplc="FB6AA4EE">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A6A0F"/>
    <w:multiLevelType w:val="hybridMultilevel"/>
    <w:tmpl w:val="68389440"/>
    <w:lvl w:ilvl="0" w:tplc="A6C8C9FC">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8"/>
  </w:num>
  <w:num w:numId="6">
    <w:abstractNumId w:val="2"/>
  </w:num>
  <w:num w:numId="7">
    <w:abstractNumId w:val="9"/>
  </w:num>
  <w:num w:numId="8">
    <w:abstractNumId w:val="10"/>
  </w:num>
  <w:num w:numId="9">
    <w:abstractNumId w:val="7"/>
  </w:num>
  <w:num w:numId="10">
    <w:abstractNumId w:val="11"/>
  </w:num>
  <w:num w:numId="11">
    <w:abstractNumId w:val="3"/>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proofState w:grammar="clean"/>
  <w:defaultTabStop w:val="720"/>
  <w:drawingGridHorizontalSpacing w:val="100"/>
  <w:displayHorizontalDrawingGridEvery w:val="0"/>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3BD"/>
    <w:rsid w:val="000250C7"/>
    <w:rsid w:val="00026F16"/>
    <w:rsid w:val="00037621"/>
    <w:rsid w:val="00044D46"/>
    <w:rsid w:val="00045088"/>
    <w:rsid w:val="00045904"/>
    <w:rsid w:val="000459C2"/>
    <w:rsid w:val="000502FD"/>
    <w:rsid w:val="0005574B"/>
    <w:rsid w:val="00057951"/>
    <w:rsid w:val="0006196B"/>
    <w:rsid w:val="00065166"/>
    <w:rsid w:val="0006722A"/>
    <w:rsid w:val="00082609"/>
    <w:rsid w:val="00083DE1"/>
    <w:rsid w:val="000851CC"/>
    <w:rsid w:val="00087F21"/>
    <w:rsid w:val="00093BE8"/>
    <w:rsid w:val="00096733"/>
    <w:rsid w:val="000A0FF4"/>
    <w:rsid w:val="000A407B"/>
    <w:rsid w:val="000A68ED"/>
    <w:rsid w:val="000B007B"/>
    <w:rsid w:val="000B5D03"/>
    <w:rsid w:val="000B5FF1"/>
    <w:rsid w:val="000B609F"/>
    <w:rsid w:val="000C51D7"/>
    <w:rsid w:val="000C7EAB"/>
    <w:rsid w:val="000D55A8"/>
    <w:rsid w:val="000E3B9F"/>
    <w:rsid w:val="000E4841"/>
    <w:rsid w:val="000F1677"/>
    <w:rsid w:val="000F3D6C"/>
    <w:rsid w:val="000F4ABB"/>
    <w:rsid w:val="00101707"/>
    <w:rsid w:val="001029CF"/>
    <w:rsid w:val="00102CC9"/>
    <w:rsid w:val="0010593A"/>
    <w:rsid w:val="00111E03"/>
    <w:rsid w:val="0011473D"/>
    <w:rsid w:val="00115C85"/>
    <w:rsid w:val="00116692"/>
    <w:rsid w:val="00123855"/>
    <w:rsid w:val="00126A4D"/>
    <w:rsid w:val="00127774"/>
    <w:rsid w:val="001326A3"/>
    <w:rsid w:val="00136055"/>
    <w:rsid w:val="0014171F"/>
    <w:rsid w:val="0014622C"/>
    <w:rsid w:val="00152348"/>
    <w:rsid w:val="0015456D"/>
    <w:rsid w:val="00155FA2"/>
    <w:rsid w:val="00157263"/>
    <w:rsid w:val="00161F1B"/>
    <w:rsid w:val="00162829"/>
    <w:rsid w:val="001637ED"/>
    <w:rsid w:val="001701B0"/>
    <w:rsid w:val="00170319"/>
    <w:rsid w:val="00180548"/>
    <w:rsid w:val="00180AC4"/>
    <w:rsid w:val="00180CCE"/>
    <w:rsid w:val="0018267A"/>
    <w:rsid w:val="00182779"/>
    <w:rsid w:val="00182F9E"/>
    <w:rsid w:val="001830DF"/>
    <w:rsid w:val="001911A9"/>
    <w:rsid w:val="00194FBD"/>
    <w:rsid w:val="00196492"/>
    <w:rsid w:val="001966D9"/>
    <w:rsid w:val="001A007A"/>
    <w:rsid w:val="001A1E2C"/>
    <w:rsid w:val="001A3FAE"/>
    <w:rsid w:val="001A7E9A"/>
    <w:rsid w:val="001B0F70"/>
    <w:rsid w:val="001B5016"/>
    <w:rsid w:val="001C08AE"/>
    <w:rsid w:val="001C3AFA"/>
    <w:rsid w:val="001C45FC"/>
    <w:rsid w:val="001D0469"/>
    <w:rsid w:val="001D29C0"/>
    <w:rsid w:val="001D3C24"/>
    <w:rsid w:val="001D4862"/>
    <w:rsid w:val="001D4D97"/>
    <w:rsid w:val="001D5980"/>
    <w:rsid w:val="001D59C9"/>
    <w:rsid w:val="001E25B9"/>
    <w:rsid w:val="001E49E0"/>
    <w:rsid w:val="001E7B5A"/>
    <w:rsid w:val="001F7412"/>
    <w:rsid w:val="0020090A"/>
    <w:rsid w:val="00202DFE"/>
    <w:rsid w:val="0020725B"/>
    <w:rsid w:val="002110F1"/>
    <w:rsid w:val="002161B7"/>
    <w:rsid w:val="00225E9E"/>
    <w:rsid w:val="002356EA"/>
    <w:rsid w:val="0024116D"/>
    <w:rsid w:val="00241B44"/>
    <w:rsid w:val="00241FA3"/>
    <w:rsid w:val="00244ECC"/>
    <w:rsid w:val="00245EFB"/>
    <w:rsid w:val="002530E1"/>
    <w:rsid w:val="0025386E"/>
    <w:rsid w:val="00256431"/>
    <w:rsid w:val="002638B0"/>
    <w:rsid w:val="0026647A"/>
    <w:rsid w:val="002668D3"/>
    <w:rsid w:val="0027299F"/>
    <w:rsid w:val="00284EBE"/>
    <w:rsid w:val="002903A7"/>
    <w:rsid w:val="0029433F"/>
    <w:rsid w:val="00294829"/>
    <w:rsid w:val="0029690F"/>
    <w:rsid w:val="00297C8A"/>
    <w:rsid w:val="002A2A60"/>
    <w:rsid w:val="002A37BB"/>
    <w:rsid w:val="002A4096"/>
    <w:rsid w:val="002B1C45"/>
    <w:rsid w:val="002C13C8"/>
    <w:rsid w:val="002C3547"/>
    <w:rsid w:val="002C46CB"/>
    <w:rsid w:val="002D0021"/>
    <w:rsid w:val="002D299D"/>
    <w:rsid w:val="002D3473"/>
    <w:rsid w:val="002D7DB6"/>
    <w:rsid w:val="002E4F6C"/>
    <w:rsid w:val="002F1956"/>
    <w:rsid w:val="002F3440"/>
    <w:rsid w:val="002F72E2"/>
    <w:rsid w:val="002F75A3"/>
    <w:rsid w:val="002F77D6"/>
    <w:rsid w:val="00303C2F"/>
    <w:rsid w:val="0030700D"/>
    <w:rsid w:val="003144EF"/>
    <w:rsid w:val="003166AF"/>
    <w:rsid w:val="00326292"/>
    <w:rsid w:val="00326415"/>
    <w:rsid w:val="00330937"/>
    <w:rsid w:val="00330F31"/>
    <w:rsid w:val="00334648"/>
    <w:rsid w:val="00336E54"/>
    <w:rsid w:val="003370B9"/>
    <w:rsid w:val="0033768C"/>
    <w:rsid w:val="00337938"/>
    <w:rsid w:val="00340769"/>
    <w:rsid w:val="00341AA6"/>
    <w:rsid w:val="0034656D"/>
    <w:rsid w:val="00360A32"/>
    <w:rsid w:val="00361A0A"/>
    <w:rsid w:val="003624DA"/>
    <w:rsid w:val="00364836"/>
    <w:rsid w:val="0036565C"/>
    <w:rsid w:val="0036625E"/>
    <w:rsid w:val="0037465A"/>
    <w:rsid w:val="00382C98"/>
    <w:rsid w:val="0038533C"/>
    <w:rsid w:val="00386568"/>
    <w:rsid w:val="00390B57"/>
    <w:rsid w:val="003948D5"/>
    <w:rsid w:val="00396821"/>
    <w:rsid w:val="00397D3A"/>
    <w:rsid w:val="003A051E"/>
    <w:rsid w:val="003A43F3"/>
    <w:rsid w:val="003B170F"/>
    <w:rsid w:val="003B3C5F"/>
    <w:rsid w:val="003C4471"/>
    <w:rsid w:val="003D081E"/>
    <w:rsid w:val="003D0A6D"/>
    <w:rsid w:val="003D56F5"/>
    <w:rsid w:val="003E0B16"/>
    <w:rsid w:val="003E5AC1"/>
    <w:rsid w:val="003E67D1"/>
    <w:rsid w:val="003F5EAE"/>
    <w:rsid w:val="00404329"/>
    <w:rsid w:val="00405DC1"/>
    <w:rsid w:val="0040732F"/>
    <w:rsid w:val="00414CFE"/>
    <w:rsid w:val="00415F1F"/>
    <w:rsid w:val="0042108F"/>
    <w:rsid w:val="00430FED"/>
    <w:rsid w:val="00434A8C"/>
    <w:rsid w:val="00435831"/>
    <w:rsid w:val="00437297"/>
    <w:rsid w:val="00444284"/>
    <w:rsid w:val="00445CE6"/>
    <w:rsid w:val="00450067"/>
    <w:rsid w:val="004534C2"/>
    <w:rsid w:val="0045446F"/>
    <w:rsid w:val="004562D1"/>
    <w:rsid w:val="0045683E"/>
    <w:rsid w:val="0046231D"/>
    <w:rsid w:val="00465FFE"/>
    <w:rsid w:val="00474C2B"/>
    <w:rsid w:val="00475D90"/>
    <w:rsid w:val="00477C72"/>
    <w:rsid w:val="00481EA7"/>
    <w:rsid w:val="00482D79"/>
    <w:rsid w:val="00491675"/>
    <w:rsid w:val="00493855"/>
    <w:rsid w:val="00495E79"/>
    <w:rsid w:val="004A2316"/>
    <w:rsid w:val="004A2D83"/>
    <w:rsid w:val="004A57DD"/>
    <w:rsid w:val="004A7B51"/>
    <w:rsid w:val="004A7D71"/>
    <w:rsid w:val="004A7EF3"/>
    <w:rsid w:val="004B0DCD"/>
    <w:rsid w:val="004B11FD"/>
    <w:rsid w:val="004B23A2"/>
    <w:rsid w:val="004B2500"/>
    <w:rsid w:val="004B5BE2"/>
    <w:rsid w:val="004B6EA9"/>
    <w:rsid w:val="004D1A5A"/>
    <w:rsid w:val="004D2FFF"/>
    <w:rsid w:val="004D3721"/>
    <w:rsid w:val="004D64F9"/>
    <w:rsid w:val="004E3A6B"/>
    <w:rsid w:val="004E622C"/>
    <w:rsid w:val="004F5D78"/>
    <w:rsid w:val="004F5FDF"/>
    <w:rsid w:val="00512883"/>
    <w:rsid w:val="005177FE"/>
    <w:rsid w:val="0052263B"/>
    <w:rsid w:val="00524728"/>
    <w:rsid w:val="005331CA"/>
    <w:rsid w:val="005359C2"/>
    <w:rsid w:val="00537970"/>
    <w:rsid w:val="00540E3A"/>
    <w:rsid w:val="00543B91"/>
    <w:rsid w:val="00544127"/>
    <w:rsid w:val="005463A9"/>
    <w:rsid w:val="00551769"/>
    <w:rsid w:val="00553EB2"/>
    <w:rsid w:val="00560534"/>
    <w:rsid w:val="0056391B"/>
    <w:rsid w:val="00564897"/>
    <w:rsid w:val="005650E2"/>
    <w:rsid w:val="00567AD7"/>
    <w:rsid w:val="0057157B"/>
    <w:rsid w:val="00575B2D"/>
    <w:rsid w:val="005833D0"/>
    <w:rsid w:val="005846F3"/>
    <w:rsid w:val="0058622F"/>
    <w:rsid w:val="00592F82"/>
    <w:rsid w:val="005A0CCA"/>
    <w:rsid w:val="005A2E49"/>
    <w:rsid w:val="005A47F6"/>
    <w:rsid w:val="005A537E"/>
    <w:rsid w:val="005A6FF2"/>
    <w:rsid w:val="005A726D"/>
    <w:rsid w:val="005B67AC"/>
    <w:rsid w:val="005B79F4"/>
    <w:rsid w:val="005C2110"/>
    <w:rsid w:val="005D16DD"/>
    <w:rsid w:val="005D2676"/>
    <w:rsid w:val="005D43E0"/>
    <w:rsid w:val="005D58A3"/>
    <w:rsid w:val="005E1B79"/>
    <w:rsid w:val="005E6076"/>
    <w:rsid w:val="005E7008"/>
    <w:rsid w:val="005F026D"/>
    <w:rsid w:val="005F04DE"/>
    <w:rsid w:val="005F2AEA"/>
    <w:rsid w:val="005F2D0B"/>
    <w:rsid w:val="005F4B31"/>
    <w:rsid w:val="00607D6C"/>
    <w:rsid w:val="00610388"/>
    <w:rsid w:val="00610AC7"/>
    <w:rsid w:val="00612CA5"/>
    <w:rsid w:val="006153EC"/>
    <w:rsid w:val="00621A17"/>
    <w:rsid w:val="006239AB"/>
    <w:rsid w:val="006241D3"/>
    <w:rsid w:val="00627CC9"/>
    <w:rsid w:val="00627E7B"/>
    <w:rsid w:val="00630542"/>
    <w:rsid w:val="00632E44"/>
    <w:rsid w:val="00634622"/>
    <w:rsid w:val="00636808"/>
    <w:rsid w:val="0063769C"/>
    <w:rsid w:val="00641515"/>
    <w:rsid w:val="0064231A"/>
    <w:rsid w:val="00643D7A"/>
    <w:rsid w:val="00654C2F"/>
    <w:rsid w:val="00657087"/>
    <w:rsid w:val="006639DB"/>
    <w:rsid w:val="006661EF"/>
    <w:rsid w:val="00670DC6"/>
    <w:rsid w:val="00677AEB"/>
    <w:rsid w:val="00680EF2"/>
    <w:rsid w:val="00683FC3"/>
    <w:rsid w:val="00687A1D"/>
    <w:rsid w:val="00696A0C"/>
    <w:rsid w:val="00696D66"/>
    <w:rsid w:val="00697EA1"/>
    <w:rsid w:val="006A2646"/>
    <w:rsid w:val="006A34C1"/>
    <w:rsid w:val="006A6530"/>
    <w:rsid w:val="006B2949"/>
    <w:rsid w:val="006B435A"/>
    <w:rsid w:val="006B4C64"/>
    <w:rsid w:val="006D282B"/>
    <w:rsid w:val="006D6BD5"/>
    <w:rsid w:val="006E481A"/>
    <w:rsid w:val="006E4FA6"/>
    <w:rsid w:val="006E5298"/>
    <w:rsid w:val="006F4A78"/>
    <w:rsid w:val="006F734A"/>
    <w:rsid w:val="00700D83"/>
    <w:rsid w:val="00704852"/>
    <w:rsid w:val="007074E9"/>
    <w:rsid w:val="00713DA4"/>
    <w:rsid w:val="00714BF1"/>
    <w:rsid w:val="00721383"/>
    <w:rsid w:val="007243D1"/>
    <w:rsid w:val="0073158B"/>
    <w:rsid w:val="007333CC"/>
    <w:rsid w:val="0073399A"/>
    <w:rsid w:val="007406C7"/>
    <w:rsid w:val="00740DAD"/>
    <w:rsid w:val="00742AF3"/>
    <w:rsid w:val="00750375"/>
    <w:rsid w:val="00752DA9"/>
    <w:rsid w:val="007603F5"/>
    <w:rsid w:val="00760B21"/>
    <w:rsid w:val="00762477"/>
    <w:rsid w:val="00763348"/>
    <w:rsid w:val="00764DB0"/>
    <w:rsid w:val="0076764D"/>
    <w:rsid w:val="0077498C"/>
    <w:rsid w:val="007809BC"/>
    <w:rsid w:val="00784128"/>
    <w:rsid w:val="00787A95"/>
    <w:rsid w:val="00787BCC"/>
    <w:rsid w:val="007906A1"/>
    <w:rsid w:val="00793173"/>
    <w:rsid w:val="007A2326"/>
    <w:rsid w:val="007A2A33"/>
    <w:rsid w:val="007A4B3B"/>
    <w:rsid w:val="007A5171"/>
    <w:rsid w:val="007A725B"/>
    <w:rsid w:val="007B5C89"/>
    <w:rsid w:val="007C1FCC"/>
    <w:rsid w:val="007C6201"/>
    <w:rsid w:val="007D3068"/>
    <w:rsid w:val="007D7C92"/>
    <w:rsid w:val="007E094A"/>
    <w:rsid w:val="007E1154"/>
    <w:rsid w:val="007E241B"/>
    <w:rsid w:val="007E2919"/>
    <w:rsid w:val="007E3A2A"/>
    <w:rsid w:val="007E6BA4"/>
    <w:rsid w:val="007F38D2"/>
    <w:rsid w:val="007F41F8"/>
    <w:rsid w:val="007F4953"/>
    <w:rsid w:val="007F659B"/>
    <w:rsid w:val="0080454E"/>
    <w:rsid w:val="00804C32"/>
    <w:rsid w:val="00806302"/>
    <w:rsid w:val="00807119"/>
    <w:rsid w:val="008164D6"/>
    <w:rsid w:val="0082483F"/>
    <w:rsid w:val="00825964"/>
    <w:rsid w:val="0082632B"/>
    <w:rsid w:val="008279C0"/>
    <w:rsid w:val="00841068"/>
    <w:rsid w:val="00843CBA"/>
    <w:rsid w:val="00846D0F"/>
    <w:rsid w:val="00866A90"/>
    <w:rsid w:val="00867701"/>
    <w:rsid w:val="008723F3"/>
    <w:rsid w:val="00876F56"/>
    <w:rsid w:val="00881DE6"/>
    <w:rsid w:val="008837A6"/>
    <w:rsid w:val="008839FE"/>
    <w:rsid w:val="0089145D"/>
    <w:rsid w:val="00891626"/>
    <w:rsid w:val="008A4DF2"/>
    <w:rsid w:val="008A5021"/>
    <w:rsid w:val="008A6CFE"/>
    <w:rsid w:val="008B5333"/>
    <w:rsid w:val="008B6223"/>
    <w:rsid w:val="008B72B8"/>
    <w:rsid w:val="008C66E0"/>
    <w:rsid w:val="008D1616"/>
    <w:rsid w:val="008E20B0"/>
    <w:rsid w:val="008E3339"/>
    <w:rsid w:val="008E4F93"/>
    <w:rsid w:val="008F20FC"/>
    <w:rsid w:val="008F30BF"/>
    <w:rsid w:val="008F5FFE"/>
    <w:rsid w:val="00905A43"/>
    <w:rsid w:val="00912C79"/>
    <w:rsid w:val="00921B8C"/>
    <w:rsid w:val="00924DAF"/>
    <w:rsid w:val="0093196D"/>
    <w:rsid w:val="00931D14"/>
    <w:rsid w:val="00942123"/>
    <w:rsid w:val="00943F30"/>
    <w:rsid w:val="009471CF"/>
    <w:rsid w:val="00951AA8"/>
    <w:rsid w:val="0095207B"/>
    <w:rsid w:val="009553D1"/>
    <w:rsid w:val="00962045"/>
    <w:rsid w:val="009672C3"/>
    <w:rsid w:val="00973EBB"/>
    <w:rsid w:val="0098087C"/>
    <w:rsid w:val="00980E61"/>
    <w:rsid w:val="00984E7F"/>
    <w:rsid w:val="0098563D"/>
    <w:rsid w:val="00991428"/>
    <w:rsid w:val="00992676"/>
    <w:rsid w:val="0099268F"/>
    <w:rsid w:val="009954B2"/>
    <w:rsid w:val="00996691"/>
    <w:rsid w:val="00996BCF"/>
    <w:rsid w:val="009A3AB7"/>
    <w:rsid w:val="009B0723"/>
    <w:rsid w:val="009B07AD"/>
    <w:rsid w:val="009B0883"/>
    <w:rsid w:val="009B15E2"/>
    <w:rsid w:val="009B2057"/>
    <w:rsid w:val="009B40FD"/>
    <w:rsid w:val="009B4976"/>
    <w:rsid w:val="009B71DD"/>
    <w:rsid w:val="009C0B8E"/>
    <w:rsid w:val="009C1BC8"/>
    <w:rsid w:val="009C2442"/>
    <w:rsid w:val="009D0811"/>
    <w:rsid w:val="009D0EE1"/>
    <w:rsid w:val="009D579D"/>
    <w:rsid w:val="009E2AEB"/>
    <w:rsid w:val="009E2E27"/>
    <w:rsid w:val="009E45DF"/>
    <w:rsid w:val="009E4DE3"/>
    <w:rsid w:val="009F275E"/>
    <w:rsid w:val="009F38B3"/>
    <w:rsid w:val="009F5A77"/>
    <w:rsid w:val="00A047EE"/>
    <w:rsid w:val="00A17B28"/>
    <w:rsid w:val="00A2274A"/>
    <w:rsid w:val="00A235B7"/>
    <w:rsid w:val="00A27A7A"/>
    <w:rsid w:val="00A34ABE"/>
    <w:rsid w:val="00A407EF"/>
    <w:rsid w:val="00A41307"/>
    <w:rsid w:val="00A41E74"/>
    <w:rsid w:val="00A46B4C"/>
    <w:rsid w:val="00A46EE5"/>
    <w:rsid w:val="00A5117B"/>
    <w:rsid w:val="00A56D34"/>
    <w:rsid w:val="00A60074"/>
    <w:rsid w:val="00A62291"/>
    <w:rsid w:val="00A6627C"/>
    <w:rsid w:val="00A66CE7"/>
    <w:rsid w:val="00A71019"/>
    <w:rsid w:val="00A81029"/>
    <w:rsid w:val="00A845F5"/>
    <w:rsid w:val="00A96489"/>
    <w:rsid w:val="00AA33CE"/>
    <w:rsid w:val="00AB2425"/>
    <w:rsid w:val="00AB4ADD"/>
    <w:rsid w:val="00AB685C"/>
    <w:rsid w:val="00AB6C2D"/>
    <w:rsid w:val="00AC08F7"/>
    <w:rsid w:val="00AC3839"/>
    <w:rsid w:val="00AC7082"/>
    <w:rsid w:val="00AD162E"/>
    <w:rsid w:val="00AD2958"/>
    <w:rsid w:val="00AD4BE8"/>
    <w:rsid w:val="00AD6F2E"/>
    <w:rsid w:val="00AE53C5"/>
    <w:rsid w:val="00AF228E"/>
    <w:rsid w:val="00AF56CF"/>
    <w:rsid w:val="00B016A8"/>
    <w:rsid w:val="00B04033"/>
    <w:rsid w:val="00B05A95"/>
    <w:rsid w:val="00B14819"/>
    <w:rsid w:val="00B15E2F"/>
    <w:rsid w:val="00B17AA9"/>
    <w:rsid w:val="00B24576"/>
    <w:rsid w:val="00B4343E"/>
    <w:rsid w:val="00B43EBC"/>
    <w:rsid w:val="00B44713"/>
    <w:rsid w:val="00B47253"/>
    <w:rsid w:val="00B51B95"/>
    <w:rsid w:val="00B5359B"/>
    <w:rsid w:val="00B56103"/>
    <w:rsid w:val="00B60E75"/>
    <w:rsid w:val="00B62DE0"/>
    <w:rsid w:val="00B64929"/>
    <w:rsid w:val="00B736DF"/>
    <w:rsid w:val="00B743D6"/>
    <w:rsid w:val="00B74FBD"/>
    <w:rsid w:val="00B75DAB"/>
    <w:rsid w:val="00B77F46"/>
    <w:rsid w:val="00B82586"/>
    <w:rsid w:val="00B829A3"/>
    <w:rsid w:val="00B86DB1"/>
    <w:rsid w:val="00B87869"/>
    <w:rsid w:val="00B9639B"/>
    <w:rsid w:val="00BA1CFD"/>
    <w:rsid w:val="00BB0F2B"/>
    <w:rsid w:val="00BC2232"/>
    <w:rsid w:val="00BC2601"/>
    <w:rsid w:val="00BE4FF3"/>
    <w:rsid w:val="00BE65D4"/>
    <w:rsid w:val="00BF2C93"/>
    <w:rsid w:val="00BF50F7"/>
    <w:rsid w:val="00C0079A"/>
    <w:rsid w:val="00C02F29"/>
    <w:rsid w:val="00C17718"/>
    <w:rsid w:val="00C20AFE"/>
    <w:rsid w:val="00C22A25"/>
    <w:rsid w:val="00C26CA5"/>
    <w:rsid w:val="00C300B7"/>
    <w:rsid w:val="00C35671"/>
    <w:rsid w:val="00C35B77"/>
    <w:rsid w:val="00C376EB"/>
    <w:rsid w:val="00C4055F"/>
    <w:rsid w:val="00C46A92"/>
    <w:rsid w:val="00C46EC1"/>
    <w:rsid w:val="00C51324"/>
    <w:rsid w:val="00C52796"/>
    <w:rsid w:val="00C53E2C"/>
    <w:rsid w:val="00C54E86"/>
    <w:rsid w:val="00C550C8"/>
    <w:rsid w:val="00C55824"/>
    <w:rsid w:val="00C56B61"/>
    <w:rsid w:val="00C606C3"/>
    <w:rsid w:val="00C620F4"/>
    <w:rsid w:val="00C6327B"/>
    <w:rsid w:val="00C662C1"/>
    <w:rsid w:val="00C67537"/>
    <w:rsid w:val="00C72848"/>
    <w:rsid w:val="00C7656D"/>
    <w:rsid w:val="00C7736C"/>
    <w:rsid w:val="00C82D87"/>
    <w:rsid w:val="00C8712A"/>
    <w:rsid w:val="00C902C8"/>
    <w:rsid w:val="00C919D1"/>
    <w:rsid w:val="00C92B10"/>
    <w:rsid w:val="00C963D3"/>
    <w:rsid w:val="00CA2414"/>
    <w:rsid w:val="00CA5CA3"/>
    <w:rsid w:val="00CA6668"/>
    <w:rsid w:val="00CB1983"/>
    <w:rsid w:val="00CB2CBB"/>
    <w:rsid w:val="00CB4B0F"/>
    <w:rsid w:val="00CB7CAC"/>
    <w:rsid w:val="00CC0C93"/>
    <w:rsid w:val="00CC5335"/>
    <w:rsid w:val="00CC5BA4"/>
    <w:rsid w:val="00CD2445"/>
    <w:rsid w:val="00CD27B0"/>
    <w:rsid w:val="00CD4998"/>
    <w:rsid w:val="00CE1035"/>
    <w:rsid w:val="00CE48AE"/>
    <w:rsid w:val="00CE6E50"/>
    <w:rsid w:val="00CF2819"/>
    <w:rsid w:val="00CF4F9D"/>
    <w:rsid w:val="00CF70DC"/>
    <w:rsid w:val="00D02039"/>
    <w:rsid w:val="00D120BA"/>
    <w:rsid w:val="00D137D5"/>
    <w:rsid w:val="00D148DC"/>
    <w:rsid w:val="00D17FDC"/>
    <w:rsid w:val="00D21D8C"/>
    <w:rsid w:val="00D24A8C"/>
    <w:rsid w:val="00D33573"/>
    <w:rsid w:val="00D53719"/>
    <w:rsid w:val="00D63EFD"/>
    <w:rsid w:val="00D76B00"/>
    <w:rsid w:val="00D821CB"/>
    <w:rsid w:val="00D84752"/>
    <w:rsid w:val="00D86B3B"/>
    <w:rsid w:val="00D8748A"/>
    <w:rsid w:val="00D93196"/>
    <w:rsid w:val="00D9666F"/>
    <w:rsid w:val="00DA0DC0"/>
    <w:rsid w:val="00DA16AF"/>
    <w:rsid w:val="00DA2070"/>
    <w:rsid w:val="00DA4283"/>
    <w:rsid w:val="00DB243C"/>
    <w:rsid w:val="00DB40CA"/>
    <w:rsid w:val="00DB482A"/>
    <w:rsid w:val="00DB50FB"/>
    <w:rsid w:val="00DB56F2"/>
    <w:rsid w:val="00DB6EF5"/>
    <w:rsid w:val="00DB7604"/>
    <w:rsid w:val="00DC1DE2"/>
    <w:rsid w:val="00DC2A14"/>
    <w:rsid w:val="00DC3089"/>
    <w:rsid w:val="00DC4420"/>
    <w:rsid w:val="00DC7691"/>
    <w:rsid w:val="00DD0802"/>
    <w:rsid w:val="00DD2E11"/>
    <w:rsid w:val="00DE02C9"/>
    <w:rsid w:val="00DE03AF"/>
    <w:rsid w:val="00DE121C"/>
    <w:rsid w:val="00DE4250"/>
    <w:rsid w:val="00DE6633"/>
    <w:rsid w:val="00DF75F8"/>
    <w:rsid w:val="00DF7A3A"/>
    <w:rsid w:val="00E00C00"/>
    <w:rsid w:val="00E05DD3"/>
    <w:rsid w:val="00E07C5A"/>
    <w:rsid w:val="00E1006F"/>
    <w:rsid w:val="00E15BA9"/>
    <w:rsid w:val="00E23172"/>
    <w:rsid w:val="00E26C7D"/>
    <w:rsid w:val="00E26E19"/>
    <w:rsid w:val="00E31DF3"/>
    <w:rsid w:val="00E37672"/>
    <w:rsid w:val="00E443D7"/>
    <w:rsid w:val="00E44C8D"/>
    <w:rsid w:val="00E450A4"/>
    <w:rsid w:val="00E504F0"/>
    <w:rsid w:val="00E506BE"/>
    <w:rsid w:val="00E55547"/>
    <w:rsid w:val="00E6302B"/>
    <w:rsid w:val="00E6452F"/>
    <w:rsid w:val="00E64F45"/>
    <w:rsid w:val="00E6742D"/>
    <w:rsid w:val="00E71CB0"/>
    <w:rsid w:val="00E77C3D"/>
    <w:rsid w:val="00E833F4"/>
    <w:rsid w:val="00E87715"/>
    <w:rsid w:val="00E90991"/>
    <w:rsid w:val="00E909F0"/>
    <w:rsid w:val="00E90D47"/>
    <w:rsid w:val="00E91DFA"/>
    <w:rsid w:val="00E93993"/>
    <w:rsid w:val="00E9597C"/>
    <w:rsid w:val="00EA0913"/>
    <w:rsid w:val="00EA5B00"/>
    <w:rsid w:val="00EB146B"/>
    <w:rsid w:val="00EB45AC"/>
    <w:rsid w:val="00EC42B2"/>
    <w:rsid w:val="00EC441F"/>
    <w:rsid w:val="00EC4755"/>
    <w:rsid w:val="00ED0BC4"/>
    <w:rsid w:val="00ED447D"/>
    <w:rsid w:val="00ED6DF0"/>
    <w:rsid w:val="00EE1EF3"/>
    <w:rsid w:val="00EE4751"/>
    <w:rsid w:val="00EE4971"/>
    <w:rsid w:val="00EE6CB0"/>
    <w:rsid w:val="00EF090E"/>
    <w:rsid w:val="00EF5572"/>
    <w:rsid w:val="00EF73C6"/>
    <w:rsid w:val="00F01D7D"/>
    <w:rsid w:val="00F033DA"/>
    <w:rsid w:val="00F1114E"/>
    <w:rsid w:val="00F13691"/>
    <w:rsid w:val="00F13FB1"/>
    <w:rsid w:val="00F163C9"/>
    <w:rsid w:val="00F20408"/>
    <w:rsid w:val="00F21931"/>
    <w:rsid w:val="00F26FA2"/>
    <w:rsid w:val="00F270C2"/>
    <w:rsid w:val="00F27CD8"/>
    <w:rsid w:val="00F30351"/>
    <w:rsid w:val="00F3323E"/>
    <w:rsid w:val="00F341F4"/>
    <w:rsid w:val="00F34F9D"/>
    <w:rsid w:val="00F35CCE"/>
    <w:rsid w:val="00F43430"/>
    <w:rsid w:val="00F5524B"/>
    <w:rsid w:val="00F60538"/>
    <w:rsid w:val="00F61DD2"/>
    <w:rsid w:val="00F64634"/>
    <w:rsid w:val="00F649F8"/>
    <w:rsid w:val="00F66AFF"/>
    <w:rsid w:val="00F71433"/>
    <w:rsid w:val="00F756FD"/>
    <w:rsid w:val="00F779CD"/>
    <w:rsid w:val="00F77CB6"/>
    <w:rsid w:val="00F873C0"/>
    <w:rsid w:val="00F87B04"/>
    <w:rsid w:val="00F97C5B"/>
    <w:rsid w:val="00FA086C"/>
    <w:rsid w:val="00FA12B9"/>
    <w:rsid w:val="00FA3D50"/>
    <w:rsid w:val="00FA417D"/>
    <w:rsid w:val="00FB7FBD"/>
    <w:rsid w:val="00FC374A"/>
    <w:rsid w:val="00FC4FD4"/>
    <w:rsid w:val="00FC51B3"/>
    <w:rsid w:val="00FC639A"/>
    <w:rsid w:val="00FC74C8"/>
    <w:rsid w:val="00FC7B47"/>
    <w:rsid w:val="00FD035C"/>
    <w:rsid w:val="00FD1A35"/>
    <w:rsid w:val="00FD2EA4"/>
    <w:rsid w:val="00FD36C5"/>
    <w:rsid w:val="00FD5380"/>
    <w:rsid w:val="00FD6310"/>
    <w:rsid w:val="00FD7C7B"/>
    <w:rsid w:val="00FE1D12"/>
    <w:rsid w:val="00FE2122"/>
    <w:rsid w:val="00FE2A86"/>
    <w:rsid w:val="00FE2DE2"/>
    <w:rsid w:val="00FE60D6"/>
    <w:rsid w:val="00FF296F"/>
    <w:rsid w:val="00FF5E23"/>
    <w:rsid w:val="00FF5F6A"/>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5A0F-F327-41D0-BD85-764B4BD9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10</Pages>
  <Words>3982</Words>
  <Characters>22703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Marcia Mcfarlane</cp:lastModifiedBy>
  <cp:revision>254</cp:revision>
  <cp:lastPrinted>2019-08-27T05:42:00Z</cp:lastPrinted>
  <dcterms:created xsi:type="dcterms:W3CDTF">2020-08-30T16:28:00Z</dcterms:created>
  <dcterms:modified xsi:type="dcterms:W3CDTF">2021-05-16T03:00:00Z</dcterms:modified>
</cp:coreProperties>
</file>