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Pr="00ED6A62" w:rsidRDefault="00E443D7" w:rsidP="00B04033">
      <w:pPr>
        <w:pStyle w:val="ListParagraph"/>
        <w:numPr>
          <w:ilvl w:val="0"/>
          <w:numId w:val="1"/>
        </w:numPr>
        <w:ind w:left="426"/>
        <w:jc w:val="both"/>
        <w:rPr>
          <w:rFonts w:ascii="Arial" w:hAnsi="Arial" w:cs="Arial"/>
          <w:sz w:val="22"/>
          <w:szCs w:val="22"/>
          <w:highlight w:val="yellow"/>
          <w:lang w:val="en-GB"/>
        </w:rPr>
      </w:pPr>
      <w:r w:rsidRPr="00ED6A62">
        <w:rPr>
          <w:rFonts w:ascii="Arial" w:hAnsi="Arial" w:cs="Arial"/>
          <w:sz w:val="22"/>
          <w:szCs w:val="22"/>
          <w:highlight w:val="yellow"/>
          <w:lang w:val="en-GB"/>
        </w:rPr>
        <w:t>20 days</w:t>
      </w:r>
      <w:r w:rsidR="00763348" w:rsidRPr="00ED6A62">
        <w:rPr>
          <w:rFonts w:ascii="Arial" w:hAnsi="Arial" w:cs="Arial"/>
          <w:sz w:val="22"/>
          <w:szCs w:val="22"/>
          <w:highlight w:val="yellow"/>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Default="00E443D7" w:rsidP="00B04033">
      <w:pPr>
        <w:pStyle w:val="ListParagraph"/>
        <w:numPr>
          <w:ilvl w:val="0"/>
          <w:numId w:val="1"/>
        </w:numPr>
        <w:ind w:left="426"/>
        <w:jc w:val="both"/>
        <w:rPr>
          <w:rFonts w:ascii="Arial" w:hAnsi="Arial" w:cs="Arial"/>
          <w:sz w:val="22"/>
          <w:szCs w:val="22"/>
          <w:lang w:val="en-GB"/>
        </w:rPr>
      </w:pPr>
      <w:r w:rsidRPr="00F01D7D">
        <w:rPr>
          <w:rFonts w:ascii="Arial" w:hAnsi="Arial" w:cs="Arial"/>
          <w:sz w:val="22"/>
          <w:szCs w:val="22"/>
          <w:lang w:val="en-GB"/>
        </w:rPr>
        <w:t>20 business days</w:t>
      </w:r>
      <w:r w:rsidR="0076334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ED6A62" w:rsidRDefault="00E443D7" w:rsidP="00B04033">
      <w:pPr>
        <w:pStyle w:val="ListParagraph"/>
        <w:numPr>
          <w:ilvl w:val="0"/>
          <w:numId w:val="2"/>
        </w:numPr>
        <w:ind w:left="426"/>
        <w:jc w:val="both"/>
        <w:rPr>
          <w:rFonts w:ascii="Arial" w:hAnsi="Arial" w:cs="Arial"/>
          <w:sz w:val="22"/>
          <w:szCs w:val="22"/>
          <w:highlight w:val="yellow"/>
          <w:lang w:val="en-GB"/>
        </w:rPr>
      </w:pPr>
      <w:r w:rsidRPr="00ED6A62">
        <w:rPr>
          <w:rFonts w:ascii="Arial" w:hAnsi="Arial" w:cs="Arial"/>
          <w:sz w:val="22"/>
          <w:szCs w:val="22"/>
          <w:highlight w:val="yellow"/>
          <w:lang w:val="en-GB"/>
        </w:rPr>
        <w:t>One year</w:t>
      </w:r>
      <w:r w:rsidR="00763348" w:rsidRPr="00ED6A62">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Pr="00ED6A62" w:rsidRDefault="008D1616" w:rsidP="00B04033">
      <w:pPr>
        <w:pStyle w:val="ListParagraph"/>
        <w:numPr>
          <w:ilvl w:val="0"/>
          <w:numId w:val="3"/>
        </w:numPr>
        <w:ind w:left="426"/>
        <w:jc w:val="both"/>
        <w:rPr>
          <w:rFonts w:ascii="Arial" w:hAnsi="Arial" w:cs="Arial"/>
          <w:sz w:val="22"/>
          <w:szCs w:val="22"/>
          <w:highlight w:val="yellow"/>
          <w:lang w:val="en-GB"/>
        </w:rPr>
      </w:pPr>
      <w:r w:rsidRPr="00ED6A62">
        <w:rPr>
          <w:rFonts w:ascii="Arial" w:hAnsi="Arial" w:cs="Arial"/>
          <w:sz w:val="22"/>
          <w:szCs w:val="22"/>
          <w:highlight w:val="yellow"/>
          <w:lang w:val="en-GB"/>
        </w:rPr>
        <w:t>a compromise or arrangement is proposed between the company and its creditors, or any class of them, or its members, or any class of them</w:t>
      </w:r>
      <w:r w:rsidR="00763348" w:rsidRPr="00ED6A62">
        <w:rPr>
          <w:rFonts w:ascii="Arial" w:hAnsi="Arial" w:cs="Arial"/>
          <w:sz w:val="22"/>
          <w:szCs w:val="22"/>
          <w:highlight w:val="yellow"/>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F01D7D" w:rsidRDefault="008D1616" w:rsidP="00B04033">
      <w:pPr>
        <w:pStyle w:val="ListParagraph"/>
        <w:numPr>
          <w:ilvl w:val="0"/>
          <w:numId w:val="3"/>
        </w:numPr>
        <w:ind w:left="426"/>
        <w:jc w:val="both"/>
        <w:rPr>
          <w:rFonts w:ascii="Arial" w:hAnsi="Arial" w:cs="Arial"/>
          <w:sz w:val="22"/>
          <w:szCs w:val="22"/>
          <w:lang w:val="en-GB"/>
        </w:rPr>
      </w:pPr>
      <w:r w:rsidRPr="00F01D7D">
        <w:rPr>
          <w:rFonts w:ascii="Arial" w:hAnsi="Arial" w:cs="Arial"/>
          <w:sz w:val="22"/>
          <w:szCs w:val="22"/>
          <w:lang w:val="en-GB"/>
        </w:rPr>
        <w:t>the company is, or is likely to become, unable to pay their debts, as defined under s</w:t>
      </w:r>
      <w:r w:rsidR="00E833F4" w:rsidRPr="00F01D7D">
        <w:rPr>
          <w:rFonts w:ascii="Arial" w:hAnsi="Arial" w:cs="Arial"/>
          <w:sz w:val="22"/>
          <w:szCs w:val="22"/>
          <w:lang w:val="en-GB"/>
        </w:rPr>
        <w:t>ection</w:t>
      </w:r>
      <w:r w:rsidRPr="00F01D7D">
        <w:rPr>
          <w:rFonts w:ascii="Arial" w:hAnsi="Arial" w:cs="Arial"/>
          <w:sz w:val="22"/>
          <w:szCs w:val="22"/>
          <w:lang w:val="en-GB"/>
        </w:rPr>
        <w:t xml:space="preserve"> 123 of the Insolvency Act 1986</w:t>
      </w:r>
      <w:r w:rsidR="0076334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Default="008D1616" w:rsidP="00B04033">
      <w:pPr>
        <w:pStyle w:val="ListParagraph"/>
        <w:numPr>
          <w:ilvl w:val="0"/>
          <w:numId w:val="4"/>
        </w:numPr>
        <w:ind w:left="426"/>
        <w:jc w:val="both"/>
        <w:rPr>
          <w:rFonts w:ascii="Arial" w:hAnsi="Arial" w:cs="Arial"/>
          <w:sz w:val="22"/>
          <w:szCs w:val="22"/>
          <w:lang w:val="en-GB"/>
        </w:rPr>
      </w:pPr>
      <w:r w:rsidRPr="00F01D7D">
        <w:rPr>
          <w:rFonts w:ascii="Arial" w:hAnsi="Arial" w:cs="Arial"/>
          <w:sz w:val="22"/>
          <w:szCs w:val="22"/>
          <w:lang w:val="en-GB"/>
        </w:rPr>
        <w:t xml:space="preserve">A majority in number and </w:t>
      </w:r>
      <w:r w:rsidR="00867701" w:rsidRPr="00F01D7D">
        <w:rPr>
          <w:rFonts w:ascii="Arial" w:hAnsi="Arial" w:cs="Arial"/>
          <w:sz w:val="22"/>
          <w:szCs w:val="22"/>
          <w:lang w:val="en-GB"/>
        </w:rPr>
        <w:t xml:space="preserve">75% </w:t>
      </w:r>
      <w:r w:rsidRPr="00F01D7D">
        <w:rPr>
          <w:rFonts w:ascii="Arial" w:hAnsi="Arial" w:cs="Arial"/>
          <w:sz w:val="22"/>
          <w:szCs w:val="22"/>
          <w:lang w:val="en-GB"/>
        </w:rPr>
        <w:t xml:space="preserve">or more </w:t>
      </w:r>
      <w:r w:rsidR="00867701" w:rsidRPr="00F01D7D">
        <w:rPr>
          <w:rFonts w:ascii="Arial" w:hAnsi="Arial" w:cs="Arial"/>
          <w:sz w:val="22"/>
          <w:szCs w:val="22"/>
          <w:lang w:val="en-GB"/>
        </w:rPr>
        <w:t>in value</w:t>
      </w:r>
      <w:r w:rsidR="0076334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ED6A62">
        <w:rPr>
          <w:rFonts w:ascii="Arial" w:hAnsi="Arial" w:cs="Arial"/>
          <w:sz w:val="22"/>
          <w:szCs w:val="22"/>
          <w:highlight w:val="yellow"/>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C00F92" w:rsidRDefault="00BA1CFD" w:rsidP="00B04033">
      <w:pPr>
        <w:pStyle w:val="ListParagraph"/>
        <w:numPr>
          <w:ilvl w:val="0"/>
          <w:numId w:val="5"/>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Administration</w:t>
      </w:r>
      <w:r w:rsidR="00763348" w:rsidRPr="00C00F9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C00F92" w:rsidRDefault="00BA1CFD" w:rsidP="00B04033">
      <w:pPr>
        <w:pStyle w:val="ListParagraph"/>
        <w:numPr>
          <w:ilvl w:val="0"/>
          <w:numId w:val="6"/>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C00F92">
        <w:rPr>
          <w:rFonts w:ascii="Arial" w:hAnsi="Arial" w:cs="Arial"/>
          <w:sz w:val="22"/>
          <w:szCs w:val="22"/>
          <w:highlight w:val="yellow"/>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C00F92" w:rsidRDefault="00876F56" w:rsidP="00B04033">
      <w:pPr>
        <w:pStyle w:val="ListParagraph"/>
        <w:numPr>
          <w:ilvl w:val="0"/>
          <w:numId w:val="8"/>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Pr="00C00F92" w:rsidRDefault="00E833F4" w:rsidP="00B04033">
      <w:pPr>
        <w:pStyle w:val="ListParagraph"/>
        <w:numPr>
          <w:ilvl w:val="0"/>
          <w:numId w:val="9"/>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A supervisor of a Company Voluntary Arrangement</w:t>
      </w:r>
      <w:r w:rsidR="00763348" w:rsidRPr="00C00F92">
        <w:rPr>
          <w:rFonts w:ascii="Arial" w:hAnsi="Arial" w:cs="Arial"/>
          <w:sz w:val="22"/>
          <w:szCs w:val="22"/>
          <w:highlight w:val="yellow"/>
          <w:lang w:val="en-GB"/>
        </w:rPr>
        <w:t>.</w:t>
      </w:r>
    </w:p>
    <w:p w14:paraId="25B01900" w14:textId="77777777" w:rsidR="00763348" w:rsidRPr="00C00F92" w:rsidRDefault="00763348" w:rsidP="00763348">
      <w:pPr>
        <w:ind w:left="66"/>
        <w:jc w:val="both"/>
        <w:rPr>
          <w:rFonts w:ascii="Arial" w:hAnsi="Arial" w:cs="Arial"/>
          <w:sz w:val="22"/>
          <w:szCs w:val="22"/>
          <w:highlight w:val="yellow"/>
          <w:lang w:val="en-GB"/>
        </w:rPr>
      </w:pPr>
    </w:p>
    <w:p w14:paraId="0D15BE7C" w14:textId="49BA31C9" w:rsidR="00876F56" w:rsidRPr="00C00F92" w:rsidRDefault="00E833F4" w:rsidP="00B04033">
      <w:pPr>
        <w:pStyle w:val="ListParagraph"/>
        <w:numPr>
          <w:ilvl w:val="0"/>
          <w:numId w:val="9"/>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An administrator</w:t>
      </w:r>
      <w:r w:rsidR="00763348" w:rsidRPr="00C00F92">
        <w:rPr>
          <w:rFonts w:ascii="Arial" w:hAnsi="Arial" w:cs="Arial"/>
          <w:sz w:val="22"/>
          <w:szCs w:val="22"/>
          <w:highlight w:val="yellow"/>
          <w:lang w:val="en-GB"/>
        </w:rPr>
        <w:t>.</w:t>
      </w:r>
    </w:p>
    <w:p w14:paraId="0714CB55" w14:textId="77777777" w:rsidR="00763348" w:rsidRPr="00C00F92" w:rsidRDefault="00763348" w:rsidP="00763348">
      <w:pPr>
        <w:ind w:left="66"/>
        <w:jc w:val="both"/>
        <w:rPr>
          <w:rFonts w:ascii="Arial" w:hAnsi="Arial" w:cs="Arial"/>
          <w:sz w:val="22"/>
          <w:szCs w:val="22"/>
          <w:highlight w:val="yellow"/>
          <w:lang w:val="en-GB"/>
        </w:rPr>
      </w:pPr>
    </w:p>
    <w:p w14:paraId="1639580B" w14:textId="43C93127" w:rsidR="00876F56" w:rsidRPr="00C00F92" w:rsidRDefault="00E833F4" w:rsidP="00B04033">
      <w:pPr>
        <w:pStyle w:val="ListParagraph"/>
        <w:numPr>
          <w:ilvl w:val="0"/>
          <w:numId w:val="9"/>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An administrative receiver</w:t>
      </w:r>
      <w:r w:rsidR="00763348" w:rsidRPr="00C00F92">
        <w:rPr>
          <w:rFonts w:ascii="Arial" w:hAnsi="Arial" w:cs="Arial"/>
          <w:sz w:val="22"/>
          <w:szCs w:val="22"/>
          <w:highlight w:val="yellow"/>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Pr="00C00F92" w:rsidRDefault="00876F56" w:rsidP="00B04033">
      <w:pPr>
        <w:pStyle w:val="ListParagraph"/>
        <w:numPr>
          <w:ilvl w:val="0"/>
          <w:numId w:val="10"/>
        </w:numPr>
        <w:ind w:left="426"/>
        <w:jc w:val="both"/>
        <w:rPr>
          <w:rFonts w:ascii="Arial" w:hAnsi="Arial" w:cs="Arial"/>
          <w:sz w:val="22"/>
          <w:szCs w:val="22"/>
          <w:highlight w:val="yellow"/>
          <w:lang w:val="en-GB"/>
        </w:rPr>
      </w:pPr>
      <w:r w:rsidRPr="00C00F92">
        <w:rPr>
          <w:rFonts w:ascii="Arial" w:hAnsi="Arial" w:cs="Arial"/>
          <w:sz w:val="22"/>
          <w:szCs w:val="22"/>
          <w:highlight w:val="yellow"/>
          <w:lang w:val="en-GB"/>
        </w:rPr>
        <w:t>50% of the first £10,000 in value plus 20% of the excess in value above the £10,000 subject to a maximum amount of the prescribed part of £600,000</w:t>
      </w:r>
      <w:r w:rsidR="00763348" w:rsidRPr="00C00F92">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F01D7D" w:rsidRDefault="00BA1CFD" w:rsidP="00B04033">
      <w:pPr>
        <w:pStyle w:val="ListParagraph"/>
        <w:numPr>
          <w:ilvl w:val="0"/>
          <w:numId w:val="10"/>
        </w:numPr>
        <w:ind w:left="426"/>
        <w:jc w:val="both"/>
        <w:rPr>
          <w:rFonts w:ascii="Arial" w:hAnsi="Arial" w:cs="Arial"/>
          <w:sz w:val="22"/>
          <w:szCs w:val="22"/>
          <w:lang w:val="en-GB"/>
        </w:rPr>
      </w:pPr>
      <w:r w:rsidRPr="00F01D7D">
        <w:rPr>
          <w:rFonts w:ascii="Arial" w:hAnsi="Arial" w:cs="Arial"/>
          <w:sz w:val="22"/>
          <w:szCs w:val="22"/>
          <w:lang w:val="en-GB"/>
        </w:rPr>
        <w:t>5</w:t>
      </w:r>
      <w:r w:rsidR="00876F56" w:rsidRPr="00F01D7D">
        <w:rPr>
          <w:rFonts w:ascii="Arial" w:hAnsi="Arial" w:cs="Arial"/>
          <w:sz w:val="22"/>
          <w:szCs w:val="22"/>
          <w:lang w:val="en-GB"/>
        </w:rPr>
        <w:t>0% of the first £</w:t>
      </w:r>
      <w:r w:rsidRPr="00F01D7D">
        <w:rPr>
          <w:rFonts w:ascii="Arial" w:hAnsi="Arial" w:cs="Arial"/>
          <w:sz w:val="22"/>
          <w:szCs w:val="22"/>
          <w:lang w:val="en-GB"/>
        </w:rPr>
        <w:t>1</w:t>
      </w:r>
      <w:r w:rsidR="00876F56" w:rsidRPr="00F01D7D">
        <w:rPr>
          <w:rFonts w:ascii="Arial" w:hAnsi="Arial" w:cs="Arial"/>
          <w:sz w:val="22"/>
          <w:szCs w:val="22"/>
          <w:lang w:val="en-GB"/>
        </w:rPr>
        <w:t xml:space="preserve">0,000 in value plus </w:t>
      </w:r>
      <w:r w:rsidRPr="00F01D7D">
        <w:rPr>
          <w:rFonts w:ascii="Arial" w:hAnsi="Arial" w:cs="Arial"/>
          <w:sz w:val="22"/>
          <w:szCs w:val="22"/>
          <w:lang w:val="en-GB"/>
        </w:rPr>
        <w:t>2</w:t>
      </w:r>
      <w:r w:rsidR="00876F56" w:rsidRPr="00F01D7D">
        <w:rPr>
          <w:rFonts w:ascii="Arial" w:hAnsi="Arial" w:cs="Arial"/>
          <w:sz w:val="22"/>
          <w:szCs w:val="22"/>
          <w:lang w:val="en-GB"/>
        </w:rPr>
        <w:t xml:space="preserve">0% of </w:t>
      </w:r>
      <w:r w:rsidRPr="00F01D7D">
        <w:rPr>
          <w:rFonts w:ascii="Arial" w:hAnsi="Arial" w:cs="Arial"/>
          <w:sz w:val="22"/>
          <w:szCs w:val="22"/>
          <w:lang w:val="en-GB"/>
        </w:rPr>
        <w:t>the excess in value above the £1</w:t>
      </w:r>
      <w:r w:rsidR="00876F56" w:rsidRPr="00F01D7D">
        <w:rPr>
          <w:rFonts w:ascii="Arial" w:hAnsi="Arial" w:cs="Arial"/>
          <w:sz w:val="22"/>
          <w:szCs w:val="22"/>
          <w:lang w:val="en-GB"/>
        </w:rPr>
        <w:t>0,000 subject to a maximum amount of prescribed part of £800,000</w:t>
      </w:r>
      <w:r w:rsidR="00763348">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6E48120" w14:textId="77777777" w:rsidR="00C00F92"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Cash flow insolvency supposes a situation wherein a company is unable to pay its debt as they fall due whereas balance sheet insolvency means the sum total of a company’s liabilities surpasses its assets.</w:t>
      </w:r>
    </w:p>
    <w:p w14:paraId="57BCFC30" w14:textId="243CB8D4" w:rsidR="009B07AD" w:rsidRPr="002A37BB" w:rsidRDefault="00C00F92"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However, drawing a line between cash flow insolvency could be at times difficult. One may wonder if in considering debts in cash flow evaluation one would need to include some imminent futuristic debts or not. The position of the courts now is to consider both debts currently owed and debts in a reasonable near future. This tendency is one which has turned to intertwine cashflow and balance sheet insolvency.</w:t>
      </w:r>
      <w:r w:rsidR="009B07AD" w:rsidRPr="002A37BB">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278A0531" w14:textId="050395F0" w:rsidR="00C00F92"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-Impossibility for the appointment of an administrative receiver</w:t>
      </w:r>
    </w:p>
    <w:p w14:paraId="7DBF27F3" w14:textId="759BB9FA" w:rsidR="00C00F92" w:rsidRDefault="00C00F9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-Landlord may not exercise the right of forfeiture by peaceable re-entry in relation to the premise except upon consent of the administrator or court.</w:t>
      </w:r>
    </w:p>
    <w:p w14:paraId="4146B4DE" w14:textId="723AA8F3" w:rsidR="00C00F92" w:rsidRDefault="00C00F9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-Bar to winding up resolution by shareholder</w:t>
      </w:r>
    </w:p>
    <w:p w14:paraId="4ACCA91C" w14:textId="078B4BAF" w:rsidR="00C00F92" w:rsidRDefault="00C00F9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winding order against the company except upon grounds of public interest</w:t>
      </w:r>
    </w:p>
    <w:p w14:paraId="78DB9FD8" w14:textId="16EA9AF0"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0648CADB" w14:textId="0F4F9CAE" w:rsidR="00C00F92"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-Part 26 scheme of arrangement though used by insolvent companies too, was originally intended only for solvent companies while on the other hand a part 26A is available only to companies having or likely to have financial difficulties.</w:t>
      </w:r>
    </w:p>
    <w:p w14:paraId="00569F84" w14:textId="77777777" w:rsidR="00C00F92" w:rsidRDefault="00C00F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26 A scheme also enjoys the cramdown prerogative on dissenting creditors which Part 26 scheme lacks.</w:t>
      </w:r>
    </w:p>
    <w:p w14:paraId="4024A332" w14:textId="1632397D" w:rsidR="00544127" w:rsidRPr="002A37BB" w:rsidRDefault="00C00F92" w:rsidP="002A37BB">
      <w:pPr>
        <w:jc w:val="both"/>
        <w:rPr>
          <w:rFonts w:ascii="Arial" w:hAnsi="Arial" w:cs="Arial"/>
          <w:sz w:val="22"/>
          <w:szCs w:val="22"/>
        </w:rPr>
      </w:pPr>
      <w:r>
        <w:rPr>
          <w:rFonts w:ascii="Arial" w:hAnsi="Arial" w:cs="Arial"/>
          <w:color w:val="7B7B7B" w:themeColor="accent3" w:themeShade="BF"/>
          <w:sz w:val="22"/>
          <w:szCs w:val="22"/>
          <w:lang w:val="en-GB"/>
        </w:rPr>
        <w:t>-</w:t>
      </w:r>
      <w:r w:rsidR="00DF75F8" w:rsidRPr="002A37BB">
        <w:rPr>
          <w:rFonts w:ascii="Arial" w:hAnsi="Arial" w:cs="Arial"/>
          <w:color w:val="7B7B7B" w:themeColor="accent3" w:themeShade="BF"/>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BF2F072" w14:textId="18675A6B" w:rsidR="00C00F92"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 The first of such ways of recognition used to be provided by virtue of the European Insolvency Regulation Recast was warranted automatic recognition of insolvency proceedings in member states with the exception of Denmark but with the departure of the UK from EU, uncertainty hovers.</w:t>
      </w:r>
    </w:p>
    <w:p w14:paraId="50047444" w14:textId="77777777" w:rsidR="00C00F92" w:rsidRDefault="00C00F92" w:rsidP="002A37BB">
      <w:pPr>
        <w:jc w:val="both"/>
        <w:rPr>
          <w:rFonts w:ascii="Arial" w:hAnsi="Arial" w:cs="Arial"/>
          <w:color w:val="7B7B7B" w:themeColor="accent3" w:themeShade="BF"/>
          <w:sz w:val="22"/>
          <w:szCs w:val="22"/>
          <w:lang w:val="en-GB"/>
        </w:rPr>
      </w:pPr>
    </w:p>
    <w:p w14:paraId="07E8931E" w14:textId="77777777" w:rsidR="00C00F92" w:rsidRDefault="00C00F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possibility is provided by the </w:t>
      </w:r>
      <w:proofErr w:type="spellStart"/>
      <w:r>
        <w:rPr>
          <w:rFonts w:ascii="Arial" w:hAnsi="Arial" w:cs="Arial"/>
          <w:color w:val="7B7B7B" w:themeColor="accent3" w:themeShade="BF"/>
          <w:sz w:val="22"/>
          <w:szCs w:val="22"/>
          <w:lang w:val="en-GB"/>
        </w:rPr>
        <w:t>Uncitral</w:t>
      </w:r>
      <w:proofErr w:type="spellEnd"/>
      <w:r>
        <w:rPr>
          <w:rFonts w:ascii="Arial" w:hAnsi="Arial" w:cs="Arial"/>
          <w:color w:val="7B7B7B" w:themeColor="accent3" w:themeShade="BF"/>
          <w:sz w:val="22"/>
          <w:szCs w:val="22"/>
          <w:lang w:val="en-GB"/>
        </w:rPr>
        <w:t xml:space="preserve"> Model law which was incorporated into the UK law with slight modifications by virtue of the Cross-border Insolvency Regulation 2006. This regulation calls for in-bound and out-bound recognition of insolvency proceedings upon application and recognition by the courts. The out-bound recognition is only for countries that have adopted the </w:t>
      </w:r>
      <w:proofErr w:type="spellStart"/>
      <w:r>
        <w:rPr>
          <w:rFonts w:ascii="Arial" w:hAnsi="Arial" w:cs="Arial"/>
          <w:color w:val="7B7B7B" w:themeColor="accent3" w:themeShade="BF"/>
          <w:sz w:val="22"/>
          <w:szCs w:val="22"/>
          <w:lang w:val="en-GB"/>
        </w:rPr>
        <w:t>Uncitral</w:t>
      </w:r>
      <w:proofErr w:type="spellEnd"/>
      <w:r>
        <w:rPr>
          <w:rFonts w:ascii="Arial" w:hAnsi="Arial" w:cs="Arial"/>
          <w:color w:val="7B7B7B" w:themeColor="accent3" w:themeShade="BF"/>
          <w:sz w:val="22"/>
          <w:szCs w:val="22"/>
          <w:lang w:val="en-GB"/>
        </w:rPr>
        <w:t xml:space="preserve"> Model law.</w:t>
      </w:r>
    </w:p>
    <w:p w14:paraId="179AAA83" w14:textId="77777777" w:rsidR="00C00F92" w:rsidRDefault="00C00F92" w:rsidP="002A37BB">
      <w:pPr>
        <w:jc w:val="both"/>
        <w:rPr>
          <w:rFonts w:ascii="Arial" w:hAnsi="Arial" w:cs="Arial"/>
          <w:color w:val="7B7B7B" w:themeColor="accent3" w:themeShade="BF"/>
          <w:sz w:val="22"/>
          <w:szCs w:val="22"/>
          <w:lang w:val="en-GB"/>
        </w:rPr>
      </w:pPr>
    </w:p>
    <w:p w14:paraId="3F15152B" w14:textId="7E4D020D" w:rsidR="00C00F92" w:rsidRDefault="00C00F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possibility is under section 426 of CBIR which provides for recognition and assistance from listed former overseas territories of the UK.</w:t>
      </w:r>
    </w:p>
    <w:p w14:paraId="6B54B40A" w14:textId="2B8BE5A3" w:rsidR="00C00F92" w:rsidRDefault="00C00F92" w:rsidP="002A37BB">
      <w:pPr>
        <w:jc w:val="both"/>
        <w:rPr>
          <w:rFonts w:ascii="Arial" w:hAnsi="Arial" w:cs="Arial"/>
          <w:color w:val="7B7B7B" w:themeColor="accent3" w:themeShade="BF"/>
          <w:sz w:val="22"/>
          <w:szCs w:val="22"/>
          <w:lang w:val="en-GB"/>
        </w:rPr>
      </w:pPr>
    </w:p>
    <w:p w14:paraId="30F55763" w14:textId="7DAC64D4" w:rsidR="00C00F92" w:rsidRDefault="00C00F9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fourth possibility lies on the assumption of common law jurisdiction to grant assistance to foreign insolvency proceedings. Though case has substantially brought a shift in this assumption, foreign office holders could apply for assistance under</w:t>
      </w:r>
      <w:r w:rsidR="005303EB">
        <w:rPr>
          <w:rFonts w:ascii="Arial" w:hAnsi="Arial" w:cs="Arial"/>
          <w:color w:val="7B7B7B" w:themeColor="accent3" w:themeShade="BF"/>
          <w:sz w:val="22"/>
          <w:szCs w:val="22"/>
          <w:lang w:val="en-GB"/>
        </w:rPr>
        <w:t xml:space="preserve"> this</w:t>
      </w:r>
      <w:r>
        <w:rPr>
          <w:rFonts w:ascii="Arial" w:hAnsi="Arial" w:cs="Arial"/>
          <w:color w:val="7B7B7B" w:themeColor="accent3" w:themeShade="BF"/>
          <w:sz w:val="22"/>
          <w:szCs w:val="22"/>
          <w:lang w:val="en-GB"/>
        </w:rPr>
        <w:t xml:space="preserve"> head.</w:t>
      </w:r>
    </w:p>
    <w:p w14:paraId="11E0F613" w14:textId="77777777" w:rsidR="00C00F92" w:rsidRDefault="00C00F92" w:rsidP="002A37BB">
      <w:pPr>
        <w:jc w:val="both"/>
        <w:rPr>
          <w:rFonts w:ascii="Arial" w:hAnsi="Arial" w:cs="Arial"/>
          <w:color w:val="7B7B7B" w:themeColor="accent3" w:themeShade="BF"/>
          <w:sz w:val="22"/>
          <w:szCs w:val="22"/>
          <w:lang w:val="en-GB"/>
        </w:rPr>
      </w:pPr>
    </w:p>
    <w:p w14:paraId="7940D274" w14:textId="26D9F035"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2223B473" w14:textId="77777777" w:rsidR="00C00F92" w:rsidRDefault="007E2919" w:rsidP="007E291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The major issue here is to determine if the timeframe of the creation of the floating charge is in accordance with section 245 of the Insolvency Act 1986.</w:t>
      </w:r>
    </w:p>
    <w:p w14:paraId="6462CBF3" w14:textId="02D6A2E2" w:rsidR="007E2919" w:rsidRPr="002A37BB" w:rsidRDefault="00C00F92"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main aim of the above-mentioned statutory provision to prevent pre-existing creditors from obtaining the security of a floating charge shortly before formal insolvency proceedings. For the case in hand, the floating charge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is issued barely 10 months before insolvency proceedings and at such a time wherein it is clear the company is in financial turmoil. The issuance of the floating charge does not meet the statutory timeframe requirement of two years for persons connected to the company considering that they are recognised lenders of the company. In this light the liquidator can successfully take action by avoiding the floating charge.</w:t>
      </w:r>
      <w:r w:rsidR="007E2919" w:rsidRPr="002A37BB">
        <w:rPr>
          <w:rFonts w:ascii="Arial" w:hAnsi="Arial" w:cs="Arial"/>
          <w:color w:val="7B7B7B" w:themeColor="accent3" w:themeShade="BF"/>
          <w:sz w:val="22"/>
          <w:szCs w:val="22"/>
          <w:lang w:val="en-GB"/>
        </w:rPr>
        <w:t>]</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lastRenderedPageBreak/>
        <w:t>The sale of the van; and</w:t>
      </w:r>
    </w:p>
    <w:p w14:paraId="78CA5A7B" w14:textId="7BC31BB4" w:rsidR="007E2919" w:rsidRDefault="007E2919" w:rsidP="007E2919">
      <w:pPr>
        <w:rPr>
          <w:rFonts w:ascii="Arial" w:hAnsi="Arial" w:cs="Arial"/>
          <w:b/>
          <w:sz w:val="24"/>
        </w:rPr>
      </w:pPr>
    </w:p>
    <w:p w14:paraId="24F4F3E3" w14:textId="77777777" w:rsidR="00C00F92" w:rsidRDefault="007E2919" w:rsidP="007E2919">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The issue here is whether the sale of the van could be viewed as a transaction at undervalue. The answer is of course to the affirmative looking at the purchase price of the van.</w:t>
      </w:r>
    </w:p>
    <w:p w14:paraId="041D4FDF" w14:textId="6E2E3F0C" w:rsidR="007E2919" w:rsidRPr="002A37BB" w:rsidRDefault="00C00F92"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Section 238 of the Act gives the liquidator power to attack such transactions for the interest of its creditors. The transaction occurred at such a time wherein the company was unable to pay its debt and again falls within the two years bracket prior to insolvency. Proving good faith here would be an uphill task meaning it should be very easy for the liquidator to succeed in avoiding this transaction.</w:t>
      </w:r>
      <w:r w:rsidR="007E2919" w:rsidRPr="002A37BB">
        <w:rPr>
          <w:rFonts w:ascii="Arial" w:hAnsi="Arial" w:cs="Arial"/>
          <w:color w:val="7B7B7B" w:themeColor="accent3" w:themeShade="BF"/>
          <w:sz w:val="22"/>
          <w:szCs w:val="22"/>
          <w:lang w:val="en-GB"/>
        </w:rPr>
        <w:t>]</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668923C" w14:textId="77777777" w:rsidR="00C00F92" w:rsidRDefault="002D3473" w:rsidP="00B04033">
      <w:pPr>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00F92">
        <w:rPr>
          <w:rFonts w:ascii="Arial" w:hAnsi="Arial" w:cs="Arial"/>
          <w:color w:val="7B7B7B" w:themeColor="accent3" w:themeShade="BF"/>
          <w:sz w:val="22"/>
          <w:szCs w:val="22"/>
          <w:lang w:val="en-GB"/>
        </w:rPr>
        <w:t>The issue here would be to determine if the payment made to Gary’s Grapes would fall under preference payment as qualified under section 239 0f the Act.</w:t>
      </w:r>
    </w:p>
    <w:p w14:paraId="54356A4E" w14:textId="77777777" w:rsidR="00C00F92" w:rsidRDefault="00C00F92" w:rsidP="00B0403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entails an act carried by the company shortly before entering a formal insolvency procedure that puts a creditor in a better position than other creditors of the company.</w:t>
      </w:r>
    </w:p>
    <w:p w14:paraId="626FA5C6" w14:textId="7D3C4EE2" w:rsidR="002D3473" w:rsidRPr="002A37BB" w:rsidRDefault="00C00F92" w:rsidP="00B04033">
      <w:pPr>
        <w:rPr>
          <w:rFonts w:ascii="Arial" w:hAnsi="Arial" w:cs="Arial"/>
          <w:sz w:val="22"/>
          <w:szCs w:val="22"/>
          <w:lang w:val="en-GB"/>
        </w:rPr>
      </w:pPr>
      <w:r>
        <w:rPr>
          <w:rFonts w:ascii="Arial" w:hAnsi="Arial" w:cs="Arial"/>
          <w:color w:val="7B7B7B" w:themeColor="accent3" w:themeShade="BF"/>
          <w:sz w:val="22"/>
          <w:szCs w:val="22"/>
          <w:lang w:val="en-GB"/>
        </w:rPr>
        <w:t>The liquidator can easily prove that Gary has been preferred since he was creditor of the company at the time of the transaction.</w:t>
      </w:r>
      <w:r w:rsidR="002D3473" w:rsidRPr="002A37BB">
        <w:rPr>
          <w:rFonts w:ascii="Arial" w:hAnsi="Arial" w:cs="Arial"/>
          <w:color w:val="7B7B7B" w:themeColor="accent3" w:themeShade="BF"/>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363E5" w14:textId="77777777" w:rsidR="004F7AC5" w:rsidRDefault="004F7AC5" w:rsidP="00241B44">
      <w:r>
        <w:separator/>
      </w:r>
    </w:p>
  </w:endnote>
  <w:endnote w:type="continuationSeparator" w:id="0">
    <w:p w14:paraId="6C47A1F0" w14:textId="77777777" w:rsidR="004F7AC5" w:rsidRDefault="004F7AC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1AD9511A" w:rsidR="00241FA3" w:rsidRPr="009B4976" w:rsidRDefault="0075464B"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74D5D" w14:textId="77777777" w:rsidR="004F7AC5" w:rsidRDefault="004F7AC5" w:rsidP="00241B44">
      <w:r>
        <w:separator/>
      </w:r>
    </w:p>
  </w:footnote>
  <w:footnote w:type="continuationSeparator" w:id="0">
    <w:p w14:paraId="2F4885F2" w14:textId="77777777" w:rsidR="004F7AC5" w:rsidRDefault="004F7AC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9C4"/>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AC5"/>
    <w:rsid w:val="005177FE"/>
    <w:rsid w:val="0052263B"/>
    <w:rsid w:val="00524728"/>
    <w:rsid w:val="005303EB"/>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5464B"/>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44713"/>
    <w:rsid w:val="00B4594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0F92"/>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D6A62"/>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valdezndumbe@gmail.com</cp:lastModifiedBy>
  <cp:revision>3</cp:revision>
  <cp:lastPrinted>2019-08-27T05:42:00Z</cp:lastPrinted>
  <dcterms:created xsi:type="dcterms:W3CDTF">2021-06-23T10:30:00Z</dcterms:created>
  <dcterms:modified xsi:type="dcterms:W3CDTF">2021-06-23T10:32:00Z</dcterms:modified>
</cp:coreProperties>
</file>