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ListParagraph"/>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ListParagraph"/>
        <w:ind w:left="0"/>
        <w:jc w:val="both"/>
        <w:rPr>
          <w:rFonts w:ascii="Arial" w:hAnsi="Arial" w:cs="Arial"/>
          <w:sz w:val="22"/>
        </w:rPr>
      </w:pPr>
    </w:p>
    <w:p w14:paraId="5768333D" w14:textId="77777777" w:rsidR="00CE5A04" w:rsidRPr="00CE5A04" w:rsidRDefault="00CE5A04" w:rsidP="00AA190E">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w:t>
      </w:r>
      <w:r w:rsidR="00392E01" w:rsidRPr="00B50441">
        <w:rPr>
          <w:rFonts w:ascii="Arial" w:hAnsi="Arial" w:cs="Arial"/>
          <w:sz w:val="22"/>
          <w:szCs w:val="22"/>
        </w:rPr>
        <w:t xml:space="preserve">the pledge can be invoked against </w:t>
      </w:r>
      <w:r w:rsidRPr="00B50441">
        <w:rPr>
          <w:rFonts w:ascii="Arial" w:hAnsi="Arial" w:cs="Arial"/>
          <w:sz w:val="22"/>
          <w:szCs w:val="22"/>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DE2020" w:rsidRDefault="00CE5A04" w:rsidP="00F15B31">
      <w:pPr>
        <w:pStyle w:val="ListParagraph"/>
        <w:numPr>
          <w:ilvl w:val="0"/>
          <w:numId w:val="1"/>
        </w:numPr>
        <w:ind w:left="426"/>
        <w:jc w:val="both"/>
        <w:rPr>
          <w:rFonts w:ascii="Arial" w:hAnsi="Arial" w:cs="Arial"/>
          <w:sz w:val="22"/>
          <w:szCs w:val="22"/>
          <w:highlight w:val="yellow"/>
        </w:rPr>
      </w:pPr>
      <w:r w:rsidRPr="00DE2020">
        <w:rPr>
          <w:rFonts w:ascii="Arial" w:hAnsi="Arial" w:cs="Arial"/>
          <w:sz w:val="22"/>
          <w:szCs w:val="22"/>
          <w:highlight w:val="yellow"/>
        </w:rPr>
        <w:t xml:space="preserve">The </w:t>
      </w:r>
      <w:r w:rsidR="00392E01" w:rsidRPr="00DE2020">
        <w:rPr>
          <w:rFonts w:ascii="Arial" w:hAnsi="Arial" w:cs="Arial"/>
          <w:sz w:val="22"/>
          <w:szCs w:val="22"/>
          <w:highlight w:val="yellow"/>
        </w:rPr>
        <w:t xml:space="preserve">date stamp </w:t>
      </w:r>
      <w:r w:rsidR="003E3B1E" w:rsidRPr="00DE2020">
        <w:rPr>
          <w:rFonts w:ascii="Arial" w:hAnsi="Arial" w:cs="Arial"/>
          <w:sz w:val="22"/>
          <w:szCs w:val="22"/>
          <w:highlight w:val="yellow"/>
        </w:rPr>
        <w:t xml:space="preserve">placed by the </w:t>
      </w:r>
      <w:r w:rsidRPr="00DE2020">
        <w:rPr>
          <w:rFonts w:ascii="Arial" w:hAnsi="Arial" w:cs="Arial"/>
          <w:sz w:val="22"/>
          <w:szCs w:val="22"/>
          <w:highlight w:val="yellow"/>
        </w:rPr>
        <w:t>tax authorit</w:t>
      </w:r>
      <w:r w:rsidR="00B27767" w:rsidRPr="00DE2020">
        <w:rPr>
          <w:rFonts w:ascii="Arial" w:hAnsi="Arial" w:cs="Arial"/>
          <w:sz w:val="22"/>
          <w:szCs w:val="22"/>
          <w:highlight w:val="yellow"/>
        </w:rPr>
        <w:t>y</w:t>
      </w:r>
      <w:r w:rsidRPr="00DE2020">
        <w:rPr>
          <w:rFonts w:ascii="Arial" w:hAnsi="Arial" w:cs="Arial"/>
          <w:sz w:val="22"/>
          <w:szCs w:val="22"/>
          <w:highlight w:val="yellow"/>
        </w:rPr>
        <w:t xml:space="preserve"> register </w:t>
      </w:r>
      <w:r w:rsidR="003E3B1E" w:rsidRPr="00DE2020">
        <w:rPr>
          <w:rFonts w:ascii="Arial" w:hAnsi="Arial" w:cs="Arial"/>
          <w:sz w:val="22"/>
          <w:szCs w:val="22"/>
          <w:highlight w:val="yellow"/>
        </w:rPr>
        <w:t>is used to determine date of establishment in the event of more than one right of pledge over the same asset</w:t>
      </w:r>
      <w:r w:rsidR="00E13766" w:rsidRPr="00DE2020">
        <w:rPr>
          <w:rFonts w:ascii="Arial" w:hAnsi="Arial" w:cs="Arial"/>
          <w:sz w:val="22"/>
          <w:szCs w:val="22"/>
          <w:highlight w:val="yellow"/>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00F15300" w:rsidRPr="00B50441">
        <w:rPr>
          <w:rFonts w:ascii="Arial" w:hAnsi="Arial" w:cs="Arial"/>
          <w:sz w:val="22"/>
        </w:rPr>
        <w:t>can be recogni</w:t>
      </w:r>
      <w:r w:rsidR="00B50441" w:rsidRPr="00B50441">
        <w:rPr>
          <w:rFonts w:ascii="Arial" w:hAnsi="Arial" w:cs="Arial"/>
          <w:sz w:val="22"/>
        </w:rPr>
        <w:t>s</w:t>
      </w:r>
      <w:r w:rsidR="00F15300" w:rsidRPr="00B50441">
        <w:rPr>
          <w:rFonts w:ascii="Arial" w:hAnsi="Arial" w:cs="Arial"/>
          <w:sz w:val="22"/>
        </w:rPr>
        <w:t xml:space="preserve">ed by a Dutch court </w:t>
      </w:r>
      <w:r w:rsidRPr="00B50441">
        <w:rPr>
          <w:rFonts w:ascii="Arial" w:hAnsi="Arial" w:cs="Arial"/>
          <w:sz w:val="22"/>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Pr="00DE2020" w:rsidRDefault="00CE5A04" w:rsidP="00F15B31">
      <w:pPr>
        <w:pStyle w:val="ListParagraph"/>
        <w:numPr>
          <w:ilvl w:val="0"/>
          <w:numId w:val="2"/>
        </w:numPr>
        <w:ind w:left="426"/>
        <w:jc w:val="both"/>
        <w:rPr>
          <w:rFonts w:ascii="Arial" w:hAnsi="Arial" w:cs="Arial"/>
          <w:sz w:val="22"/>
          <w:highlight w:val="yellow"/>
        </w:rPr>
      </w:pPr>
      <w:r w:rsidRPr="00DE2020">
        <w:rPr>
          <w:rFonts w:ascii="Arial" w:hAnsi="Arial" w:cs="Arial"/>
          <w:sz w:val="22"/>
          <w:highlight w:val="yellow"/>
        </w:rPr>
        <w:t xml:space="preserve">These </w:t>
      </w:r>
      <w:r w:rsidR="009608BB" w:rsidRPr="00DE2020">
        <w:rPr>
          <w:rFonts w:ascii="Arial" w:hAnsi="Arial" w:cs="Arial"/>
          <w:sz w:val="22"/>
          <w:highlight w:val="yellow"/>
        </w:rPr>
        <w:t xml:space="preserve">proceedings </w:t>
      </w:r>
      <w:r w:rsidRPr="00DE2020">
        <w:rPr>
          <w:rFonts w:ascii="Arial" w:hAnsi="Arial" w:cs="Arial"/>
          <w:sz w:val="22"/>
          <w:highlight w:val="yellow"/>
        </w:rPr>
        <w:t>are recognised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can be recognised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lastRenderedPageBreak/>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this?</w:t>
      </w:r>
      <w:r w:rsidRPr="00CE5A04">
        <w:rPr>
          <w:rFonts w:ascii="Arial" w:hAnsi="Arial" w:cs="Arial"/>
          <w:sz w:val="22"/>
          <w:szCs w:val="22"/>
        </w:rPr>
        <w:t>:</w:t>
      </w:r>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Pr="009E1330" w:rsidRDefault="00CE5A04" w:rsidP="00F15B31">
      <w:pPr>
        <w:pStyle w:val="ListParagraph"/>
        <w:numPr>
          <w:ilvl w:val="0"/>
          <w:numId w:val="3"/>
        </w:numPr>
        <w:ind w:left="426"/>
        <w:jc w:val="both"/>
        <w:rPr>
          <w:rFonts w:ascii="Arial" w:hAnsi="Arial" w:cs="Arial"/>
          <w:sz w:val="22"/>
          <w:szCs w:val="22"/>
          <w:highlight w:val="yellow"/>
        </w:rPr>
      </w:pPr>
      <w:r w:rsidRPr="009E1330">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9E1330">
        <w:rPr>
          <w:rFonts w:ascii="Arial" w:hAnsi="Arial" w:cs="Arial"/>
          <w:sz w:val="22"/>
          <w:szCs w:val="22"/>
          <w:highlight w:val="yellow"/>
        </w:rPr>
        <w:t xml:space="preserve"> and</w:t>
      </w:r>
      <w:r w:rsidRPr="009E1330">
        <w:rPr>
          <w:rFonts w:ascii="Arial" w:hAnsi="Arial" w:cs="Arial"/>
          <w:sz w:val="22"/>
          <w:szCs w:val="22"/>
          <w:highlight w:val="yellow"/>
        </w:rPr>
        <w:t xml:space="preserve"> put the restructuring plan as </w:t>
      </w:r>
      <w:r w:rsidR="00F71B96" w:rsidRPr="009E1330">
        <w:rPr>
          <w:rFonts w:ascii="Arial" w:hAnsi="Arial" w:cs="Arial"/>
          <w:sz w:val="22"/>
          <w:szCs w:val="22"/>
          <w:highlight w:val="yellow"/>
        </w:rPr>
        <w:t xml:space="preserve">a </w:t>
      </w:r>
      <w:r w:rsidR="00EA5418" w:rsidRPr="009E1330">
        <w:rPr>
          <w:rFonts w:ascii="Arial" w:hAnsi="Arial" w:cs="Arial"/>
          <w:sz w:val="22"/>
          <w:szCs w:val="22"/>
          <w:highlight w:val="yellow"/>
        </w:rPr>
        <w:t>“</w:t>
      </w:r>
      <w:r w:rsidRPr="009E1330">
        <w:rPr>
          <w:rFonts w:ascii="Arial" w:hAnsi="Arial" w:cs="Arial"/>
          <w:sz w:val="22"/>
          <w:szCs w:val="22"/>
          <w:highlight w:val="yellow"/>
        </w:rPr>
        <w:t>composition plan</w:t>
      </w:r>
      <w:r w:rsidR="00EA5418" w:rsidRPr="009E1330">
        <w:rPr>
          <w:rFonts w:ascii="Arial" w:hAnsi="Arial" w:cs="Arial"/>
          <w:sz w:val="22"/>
          <w:szCs w:val="22"/>
          <w:highlight w:val="yellow"/>
        </w:rPr>
        <w:t>”</w:t>
      </w:r>
      <w:r w:rsidRPr="009E1330">
        <w:rPr>
          <w:rFonts w:ascii="Arial" w:hAnsi="Arial" w:cs="Arial"/>
          <w:sz w:val="22"/>
          <w:szCs w:val="22"/>
          <w:highlight w:val="yellow"/>
        </w:rPr>
        <w:t xml:space="preserve"> to the vote of the creditors.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9E1330" w:rsidRDefault="00CE5A04" w:rsidP="00F15B31">
      <w:pPr>
        <w:pStyle w:val="ListParagraph"/>
        <w:numPr>
          <w:ilvl w:val="0"/>
          <w:numId w:val="4"/>
        </w:numPr>
        <w:ind w:left="426"/>
        <w:jc w:val="both"/>
        <w:rPr>
          <w:rFonts w:ascii="Arial" w:hAnsi="Arial" w:cs="Arial"/>
          <w:sz w:val="22"/>
          <w:szCs w:val="22"/>
          <w:highlight w:val="yellow"/>
        </w:rPr>
      </w:pPr>
      <w:r w:rsidRPr="009E1330">
        <w:rPr>
          <w:rFonts w:ascii="Arial" w:hAnsi="Arial" w:cs="Arial"/>
          <w:sz w:val="22"/>
          <w:szCs w:val="22"/>
          <w:highlight w:val="yellow"/>
        </w:rPr>
        <w:t>Payment of dividend</w:t>
      </w:r>
      <w:r w:rsidR="00646CC8" w:rsidRPr="009E1330">
        <w:rPr>
          <w:rFonts w:ascii="Arial" w:hAnsi="Arial" w:cs="Arial"/>
          <w:sz w:val="22"/>
          <w:szCs w:val="22"/>
          <w:highlight w:val="yellow"/>
        </w:rPr>
        <w:t>s</w:t>
      </w:r>
      <w:r w:rsidRPr="009E1330">
        <w:rPr>
          <w:rFonts w:ascii="Arial" w:hAnsi="Arial" w:cs="Arial"/>
          <w:sz w:val="22"/>
          <w:szCs w:val="22"/>
          <w:highlight w:val="yellow"/>
        </w:rPr>
        <w:t xml:space="preserve"> and repayment of shareholder loans, unless at the time they were made the cash flow test was met.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should stop entering into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is deemed to have known, or should have known, that the company would no longer be able to satisfy its future obligations as they fall due and would not </w:t>
      </w:r>
      <w:r w:rsidR="003354D4" w:rsidRPr="007242DA">
        <w:rPr>
          <w:rFonts w:ascii="Arial" w:hAnsi="Arial" w:cs="Arial"/>
          <w:sz w:val="22"/>
          <w:szCs w:val="22"/>
        </w:rPr>
        <w:t xml:space="preserve">be able to </w:t>
      </w:r>
      <w:r w:rsidRPr="007242DA">
        <w:rPr>
          <w:rFonts w:ascii="Arial" w:hAnsi="Arial" w:cs="Arial"/>
          <w:sz w:val="22"/>
          <w:szCs w:val="22"/>
        </w:rPr>
        <w:t>provide sufficient recourse.</w:t>
      </w:r>
    </w:p>
    <w:p w14:paraId="06ED9828" w14:textId="52803913"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lastRenderedPageBreak/>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9E1330" w:rsidRDefault="00E13766" w:rsidP="00F15B31">
      <w:pPr>
        <w:pStyle w:val="ListParagraph"/>
        <w:numPr>
          <w:ilvl w:val="0"/>
          <w:numId w:val="5"/>
        </w:numPr>
        <w:autoSpaceDE w:val="0"/>
        <w:autoSpaceDN w:val="0"/>
        <w:adjustRightInd w:val="0"/>
        <w:ind w:left="426"/>
        <w:jc w:val="both"/>
        <w:rPr>
          <w:rFonts w:ascii="Arial" w:hAnsi="Arial" w:cs="Arial"/>
          <w:sz w:val="22"/>
          <w:szCs w:val="22"/>
          <w:highlight w:val="yellow"/>
        </w:rPr>
      </w:pPr>
      <w:r w:rsidRPr="009E1330">
        <w:rPr>
          <w:rFonts w:ascii="Arial" w:hAnsi="Arial" w:cs="Arial"/>
          <w:sz w:val="22"/>
          <w:szCs w:val="22"/>
          <w:highlight w:val="yellow"/>
        </w:rPr>
        <w:t>All of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Pr="009E1330" w:rsidRDefault="00E13766" w:rsidP="00F15B31">
      <w:pPr>
        <w:pStyle w:val="ListParagraph"/>
        <w:numPr>
          <w:ilvl w:val="0"/>
          <w:numId w:val="6"/>
        </w:numPr>
        <w:autoSpaceDE w:val="0"/>
        <w:autoSpaceDN w:val="0"/>
        <w:adjustRightInd w:val="0"/>
        <w:ind w:left="426"/>
        <w:jc w:val="both"/>
        <w:rPr>
          <w:rFonts w:ascii="Arial" w:hAnsi="Arial" w:cs="Arial"/>
          <w:sz w:val="22"/>
          <w:szCs w:val="22"/>
          <w:highlight w:val="yellow"/>
        </w:rPr>
      </w:pPr>
      <w:r w:rsidRPr="009E1330">
        <w:rPr>
          <w:rFonts w:ascii="Arial" w:hAnsi="Arial" w:cs="Arial"/>
          <w:sz w:val="22"/>
          <w:szCs w:val="22"/>
          <w:highlight w:val="yellow"/>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9E1330" w:rsidRDefault="00E13766" w:rsidP="00F15B31">
      <w:pPr>
        <w:pStyle w:val="ListParagraph"/>
        <w:numPr>
          <w:ilvl w:val="0"/>
          <w:numId w:val="7"/>
        </w:numPr>
        <w:ind w:left="426"/>
        <w:jc w:val="both"/>
        <w:rPr>
          <w:rFonts w:ascii="Arial" w:hAnsi="Arial" w:cs="Arial"/>
          <w:sz w:val="22"/>
          <w:szCs w:val="22"/>
          <w:highlight w:val="yellow"/>
        </w:rPr>
      </w:pPr>
      <w:r w:rsidRPr="009E1330">
        <w:rPr>
          <w:rFonts w:ascii="Arial" w:hAnsi="Arial" w:cs="Arial"/>
          <w:sz w:val="22"/>
          <w:szCs w:val="22"/>
          <w:highlight w:val="yellow"/>
        </w:rPr>
        <w:t xml:space="preserve">The use of </w:t>
      </w:r>
      <w:r w:rsidR="00181EF7" w:rsidRPr="009E1330">
        <w:rPr>
          <w:rFonts w:ascii="Arial" w:hAnsi="Arial" w:cs="Arial"/>
          <w:sz w:val="22"/>
          <w:szCs w:val="22"/>
          <w:highlight w:val="yellow"/>
        </w:rPr>
        <w:t>“</w:t>
      </w:r>
      <w:r w:rsidRPr="009E1330">
        <w:rPr>
          <w:rFonts w:ascii="Arial" w:hAnsi="Arial" w:cs="Arial"/>
          <w:sz w:val="22"/>
          <w:szCs w:val="22"/>
          <w:highlight w:val="yellow"/>
        </w:rPr>
        <w:t>COMI</w:t>
      </w:r>
      <w:r w:rsidR="00181EF7" w:rsidRPr="009E1330">
        <w:rPr>
          <w:rFonts w:ascii="Arial" w:hAnsi="Arial" w:cs="Arial"/>
          <w:sz w:val="22"/>
          <w:szCs w:val="22"/>
          <w:highlight w:val="yellow"/>
        </w:rPr>
        <w:t>”</w:t>
      </w:r>
      <w:r w:rsidRPr="009E1330">
        <w:rPr>
          <w:rFonts w:ascii="Arial" w:hAnsi="Arial" w:cs="Arial"/>
          <w:sz w:val="22"/>
          <w:szCs w:val="22"/>
          <w:highlight w:val="yellow"/>
        </w:rPr>
        <w:t xml:space="preserve"> in the European Insolvency Regulation means that the Dutch courts no longer have to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9E1330" w:rsidRDefault="00E13766" w:rsidP="00F15B31">
      <w:pPr>
        <w:pStyle w:val="ListParagraph"/>
        <w:numPr>
          <w:ilvl w:val="0"/>
          <w:numId w:val="8"/>
        </w:numPr>
        <w:ind w:left="426"/>
        <w:jc w:val="both"/>
        <w:rPr>
          <w:rFonts w:ascii="Arial" w:eastAsiaTheme="minorHAnsi" w:hAnsi="Arial" w:cs="Arial"/>
          <w:sz w:val="22"/>
          <w:szCs w:val="22"/>
          <w:highlight w:val="yellow"/>
          <w:lang w:val="en-GB"/>
        </w:rPr>
      </w:pPr>
      <w:r w:rsidRPr="009E1330">
        <w:rPr>
          <w:rFonts w:ascii="Arial" w:eastAsiaTheme="minorHAnsi" w:hAnsi="Arial" w:cs="Arial"/>
          <w:sz w:val="22"/>
          <w:szCs w:val="22"/>
          <w:highlight w:val="yellow"/>
          <w:lang w:val="en-GB"/>
        </w:rPr>
        <w:t>Floating charge on receivables</w:t>
      </w:r>
      <w:r w:rsidR="004A1CD8" w:rsidRPr="009E1330">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0AFC878C" w14:textId="14E8C3D4" w:rsidR="007D0D86" w:rsidRDefault="007D0D8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2721E6AB" w14:textId="5A9AFF91"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lastRenderedPageBreak/>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composition agreements have been recognised under </w:t>
      </w:r>
      <w:r w:rsidR="004A1CD8" w:rsidRPr="007D0D86">
        <w:rPr>
          <w:rFonts w:ascii="Arial" w:hAnsi="Arial" w:cs="Arial"/>
          <w:sz w:val="22"/>
          <w:szCs w:val="22"/>
        </w:rPr>
        <w:t xml:space="preserve">the </w:t>
      </w:r>
      <w:r w:rsidRPr="007D0D86">
        <w:rPr>
          <w:rFonts w:ascii="Arial" w:hAnsi="Arial" w:cs="Arial"/>
          <w:sz w:val="22"/>
          <w:szCs w:val="22"/>
        </w:rPr>
        <w:t>UNCITRAL Model Law</w:t>
      </w:r>
      <w:r w:rsidR="004A1CD8" w:rsidRPr="007D0D86">
        <w:rPr>
          <w:rFonts w:ascii="Arial" w:hAnsi="Arial" w:cs="Arial"/>
          <w:sz w:val="22"/>
          <w:szCs w:val="22"/>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Dutch suspension of payments proceedings are automatically recognised under the European Insolvency Regulation</w:t>
      </w:r>
      <w:r w:rsidR="004A1CD8" w:rsidRPr="007D0D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A trustee in a Dutch bankruptcy is </w:t>
      </w:r>
      <w:proofErr w:type="spellStart"/>
      <w:r w:rsidRPr="007D0D86">
        <w:rPr>
          <w:rFonts w:ascii="Arial" w:hAnsi="Arial" w:cs="Arial"/>
          <w:sz w:val="22"/>
          <w:szCs w:val="22"/>
        </w:rPr>
        <w:t>authorised</w:t>
      </w:r>
      <w:proofErr w:type="spellEnd"/>
      <w:r w:rsidRPr="007D0D86">
        <w:rPr>
          <w:rFonts w:ascii="Arial" w:hAnsi="Arial" w:cs="Arial"/>
          <w:sz w:val="22"/>
          <w:szCs w:val="22"/>
        </w:rPr>
        <w:t xml:space="preserve"> to represent the estate in initiating foreign recovery proceedings</w:t>
      </w:r>
      <w:r w:rsidR="004A1CD8" w:rsidRPr="007D0D86">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9E1330" w:rsidRDefault="00E13766" w:rsidP="00F15B31">
      <w:pPr>
        <w:pStyle w:val="ListParagraph"/>
        <w:numPr>
          <w:ilvl w:val="0"/>
          <w:numId w:val="9"/>
        </w:numPr>
        <w:ind w:left="426"/>
        <w:jc w:val="both"/>
        <w:rPr>
          <w:rFonts w:ascii="Arial" w:hAnsi="Arial" w:cs="Arial"/>
          <w:sz w:val="22"/>
          <w:szCs w:val="22"/>
          <w:highlight w:val="yellow"/>
        </w:rPr>
      </w:pPr>
      <w:r w:rsidRPr="009E1330">
        <w:rPr>
          <w:rFonts w:ascii="Arial" w:hAnsi="Arial" w:cs="Arial"/>
          <w:sz w:val="22"/>
          <w:szCs w:val="22"/>
          <w:highlight w:val="yellow"/>
        </w:rPr>
        <w:t>Dutch bankruptcy proceedings are supervised by a foreign European court if the Dutch debtor has its COMI elsewhere in the EU</w:t>
      </w:r>
      <w:r w:rsidR="005F1C9D" w:rsidRPr="009E1330">
        <w:rPr>
          <w:rFonts w:ascii="Arial" w:hAnsi="Arial" w:cs="Arial"/>
          <w:sz w:val="22"/>
          <w:szCs w:val="22"/>
          <w:highlight w:val="yellow"/>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Pr="009E1330" w:rsidRDefault="00E13766" w:rsidP="00F15B31">
      <w:pPr>
        <w:pStyle w:val="ListParagraph"/>
        <w:numPr>
          <w:ilvl w:val="0"/>
          <w:numId w:val="10"/>
        </w:numPr>
        <w:ind w:left="426"/>
        <w:jc w:val="both"/>
        <w:rPr>
          <w:rFonts w:ascii="Arial" w:hAnsi="Arial" w:cs="Arial"/>
          <w:sz w:val="22"/>
          <w:szCs w:val="22"/>
          <w:highlight w:val="yellow"/>
          <w:lang w:val="en-GB"/>
        </w:rPr>
      </w:pPr>
      <w:r w:rsidRPr="009E1330">
        <w:rPr>
          <w:rFonts w:ascii="Arial" w:hAnsi="Arial" w:cs="Arial"/>
          <w:sz w:val="22"/>
          <w:szCs w:val="22"/>
          <w:highlight w:val="yellow"/>
          <w:lang w:val="en-GB"/>
        </w:rPr>
        <w:t xml:space="preserve">The Dutch </w:t>
      </w:r>
      <w:r w:rsidR="006C6C88" w:rsidRPr="009E1330">
        <w:rPr>
          <w:rFonts w:ascii="Arial" w:hAnsi="Arial" w:cs="Arial"/>
          <w:sz w:val="22"/>
          <w:szCs w:val="22"/>
          <w:highlight w:val="yellow"/>
          <w:lang w:val="en-GB"/>
        </w:rPr>
        <w:t xml:space="preserve">framework for out of court restructurings, building on experience in </w:t>
      </w:r>
      <w:r w:rsidRPr="009E1330">
        <w:rPr>
          <w:rFonts w:ascii="Arial" w:hAnsi="Arial" w:cs="Arial"/>
          <w:sz w:val="22"/>
          <w:szCs w:val="22"/>
          <w:highlight w:val="yellow"/>
          <w:lang w:val="en-GB"/>
        </w:rPr>
        <w:t>US Chapter 11 and the UK Scheme of Arrangement</w:t>
      </w:r>
      <w:r w:rsidR="005F1C9D" w:rsidRPr="009E1330">
        <w:rPr>
          <w:rFonts w:ascii="Arial" w:hAnsi="Arial" w:cs="Arial"/>
          <w:sz w:val="22"/>
          <w:szCs w:val="22"/>
          <w:highlight w:val="yellow"/>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397951EF" w14:textId="620FD235" w:rsidR="00B15863" w:rsidRDefault="001A38E0"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w:t>
      </w:r>
      <w:r w:rsidR="0093633F">
        <w:rPr>
          <w:rFonts w:ascii="Arial" w:hAnsi="Arial" w:cs="Arial"/>
          <w:color w:val="7B7B7B" w:themeColor="accent3" w:themeShade="BF"/>
          <w:sz w:val="22"/>
          <w:szCs w:val="22"/>
          <w:lang w:val="en-GB"/>
        </w:rPr>
        <w:t>, since t</w:t>
      </w:r>
      <w:r>
        <w:rPr>
          <w:rFonts w:ascii="Arial" w:hAnsi="Arial" w:cs="Arial"/>
          <w:color w:val="7B7B7B" w:themeColor="accent3" w:themeShade="BF"/>
          <w:sz w:val="22"/>
          <w:szCs w:val="22"/>
          <w:lang w:val="en-GB"/>
        </w:rPr>
        <w:t xml:space="preserve">hese provisions, referred to as </w:t>
      </w:r>
      <w:r w:rsidRPr="001A38E0">
        <w:rPr>
          <w:rFonts w:ascii="Arial" w:hAnsi="Arial" w:cs="Arial"/>
          <w:i/>
          <w:iCs/>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clauses, are </w:t>
      </w:r>
      <w:r w:rsidR="0093633F">
        <w:rPr>
          <w:rFonts w:ascii="Arial" w:hAnsi="Arial" w:cs="Arial"/>
          <w:color w:val="7B7B7B" w:themeColor="accent3" w:themeShade="BF"/>
          <w:sz w:val="22"/>
          <w:szCs w:val="22"/>
          <w:lang w:val="en-GB"/>
        </w:rPr>
        <w:t xml:space="preserve">effectively </w:t>
      </w:r>
      <w:r>
        <w:rPr>
          <w:rFonts w:ascii="Arial" w:hAnsi="Arial" w:cs="Arial"/>
          <w:color w:val="7B7B7B" w:themeColor="accent3" w:themeShade="BF"/>
          <w:sz w:val="22"/>
          <w:szCs w:val="22"/>
          <w:lang w:val="en-GB"/>
        </w:rPr>
        <w:t xml:space="preserve">rendered inoperative </w:t>
      </w:r>
      <w:r w:rsidR="0093633F">
        <w:rPr>
          <w:rFonts w:ascii="Arial" w:hAnsi="Arial" w:cs="Arial"/>
          <w:color w:val="7B7B7B" w:themeColor="accent3" w:themeShade="BF"/>
          <w:sz w:val="22"/>
          <w:szCs w:val="22"/>
          <w:lang w:val="en-GB"/>
        </w:rPr>
        <w:t xml:space="preserve">as </w:t>
      </w:r>
      <w:r>
        <w:rPr>
          <w:rFonts w:ascii="Arial" w:hAnsi="Arial" w:cs="Arial"/>
          <w:color w:val="7B7B7B" w:themeColor="accent3" w:themeShade="BF"/>
          <w:sz w:val="22"/>
          <w:szCs w:val="22"/>
          <w:lang w:val="en-GB"/>
        </w:rPr>
        <w:t>the termination can</w:t>
      </w:r>
      <w:r w:rsidR="000018E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only be invoked with the bankruptcy trustee’s permission.</w:t>
      </w:r>
    </w:p>
    <w:p w14:paraId="47C0EF7C" w14:textId="0ADB9420" w:rsidR="0093633F" w:rsidRPr="002A37BB" w:rsidRDefault="0093633F" w:rsidP="00B15863">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When Dutch person is a contracting party it is customary that these provision remain although it is questionable whether or not they will be enforceable.</w:t>
      </w:r>
    </w:p>
    <w:p w14:paraId="230CB49B" w14:textId="77777777" w:rsidR="00B15863" w:rsidRDefault="00B15863" w:rsidP="00AA190E">
      <w:pPr>
        <w:ind w:left="720" w:hanging="720"/>
        <w:jc w:val="both"/>
        <w:rPr>
          <w:rFonts w:ascii="Arial" w:hAnsi="Arial" w:cs="Arial"/>
          <w:sz w:val="22"/>
          <w:szCs w:val="22"/>
          <w:lang w:val="en-GB"/>
        </w:rPr>
      </w:pPr>
    </w:p>
    <w:p w14:paraId="581C006D" w14:textId="77777777" w:rsidR="00B15863" w:rsidRPr="002A37BB" w:rsidRDefault="00B15863"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496D37CA" w14:textId="4BE476B6" w:rsidR="00B15863" w:rsidRDefault="00051A17"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Main reasons for considering Netherlands a creditor-friendly </w:t>
      </w:r>
      <w:r w:rsidR="00AE1C7F">
        <w:rPr>
          <w:rFonts w:ascii="Arial" w:hAnsi="Arial" w:cs="Arial"/>
          <w:color w:val="7B7B7B" w:themeColor="accent3" w:themeShade="BF"/>
          <w:sz w:val="22"/>
          <w:szCs w:val="22"/>
          <w:lang w:val="en-GB"/>
        </w:rPr>
        <w:t>jurisdiction</w:t>
      </w:r>
      <w:r>
        <w:rPr>
          <w:rFonts w:ascii="Arial" w:hAnsi="Arial" w:cs="Arial"/>
          <w:color w:val="7B7B7B" w:themeColor="accent3" w:themeShade="BF"/>
          <w:sz w:val="22"/>
          <w:szCs w:val="22"/>
          <w:lang w:val="en-GB"/>
        </w:rPr>
        <w:t xml:space="preserve"> are:</w:t>
      </w:r>
    </w:p>
    <w:p w14:paraId="16732CDC" w14:textId="2C2C670A" w:rsidR="00051A17" w:rsidRDefault="00C12AFA" w:rsidP="00C12AFA">
      <w:pPr>
        <w:pStyle w:val="ListParagraph"/>
        <w:numPr>
          <w:ilvl w:val="0"/>
          <w:numId w:val="13"/>
        </w:numPr>
        <w:jc w:val="both"/>
        <w:rPr>
          <w:rFonts w:ascii="Arial" w:hAnsi="Arial" w:cs="Arial"/>
          <w:color w:val="7B7B7B" w:themeColor="accent3" w:themeShade="BF"/>
          <w:sz w:val="22"/>
          <w:szCs w:val="22"/>
          <w:lang w:val="en-GB"/>
        </w:rPr>
      </w:pPr>
      <w:r w:rsidRPr="00C12AFA">
        <w:rPr>
          <w:rFonts w:ascii="Arial" w:hAnsi="Arial" w:cs="Arial"/>
          <w:color w:val="7B7B7B" w:themeColor="accent3" w:themeShade="BF"/>
          <w:sz w:val="22"/>
          <w:szCs w:val="22"/>
          <w:lang w:val="en-GB"/>
        </w:rPr>
        <w:lastRenderedPageBreak/>
        <w:t xml:space="preserve">Creditors can </w:t>
      </w:r>
      <w:r>
        <w:rPr>
          <w:rFonts w:ascii="Arial" w:hAnsi="Arial" w:cs="Arial"/>
          <w:color w:val="7B7B7B" w:themeColor="accent3" w:themeShade="BF"/>
          <w:sz w:val="22"/>
          <w:szCs w:val="22"/>
          <w:lang w:val="en-GB"/>
        </w:rPr>
        <w:t xml:space="preserve">enforce their rights </w:t>
      </w:r>
      <w:r w:rsidR="00185231">
        <w:rPr>
          <w:rFonts w:ascii="Arial" w:hAnsi="Arial" w:cs="Arial"/>
          <w:color w:val="7B7B7B" w:themeColor="accent3" w:themeShade="BF"/>
          <w:sz w:val="22"/>
          <w:szCs w:val="22"/>
          <w:lang w:val="en-GB"/>
        </w:rPr>
        <w:t xml:space="preserve">outside and also in case of insolvency (restructuring and bankruptcy), and DBA in its roots is considered traditional and creditor “inclined”, even now with the introduction of CERP </w:t>
      </w:r>
    </w:p>
    <w:p w14:paraId="765B18A9" w14:textId="3A9ABE27" w:rsidR="00185231" w:rsidRDefault="00185231" w:rsidP="00185231">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Dutch court system is efficient and predictable allowing creditors to enforce their rights in relatively short time, which is further emphasized by legal services market that is mature and accustomed to dealing with international matters due to long tradition of foreign trade relations</w:t>
      </w:r>
    </w:p>
    <w:p w14:paraId="4596CDD2" w14:textId="488D4280" w:rsidR="00185231" w:rsidRPr="00185231" w:rsidRDefault="00185231" w:rsidP="00185231">
      <w:pPr>
        <w:pStyle w:val="ListParagraph"/>
        <w:numPr>
          <w:ilvl w:val="0"/>
          <w:numId w:val="1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possibility for summary proceedings and expedited ruling, and timelines for bankruptcy and other insolvency proceedings are relatively short</w:t>
      </w:r>
    </w:p>
    <w:p w14:paraId="0B673F62" w14:textId="77777777" w:rsidR="00FE2DE2" w:rsidRDefault="00FE2DE2" w:rsidP="00AA190E">
      <w:pPr>
        <w:ind w:left="720" w:hanging="720"/>
        <w:jc w:val="both"/>
        <w:rPr>
          <w:rFonts w:ascii="Arial" w:hAnsi="Arial" w:cs="Arial"/>
          <w:sz w:val="22"/>
          <w:szCs w:val="22"/>
          <w:lang w:val="en-GB"/>
        </w:rPr>
      </w:pPr>
    </w:p>
    <w:p w14:paraId="52C616C3" w14:textId="77777777" w:rsidR="00E309AF" w:rsidRPr="002A37BB" w:rsidRDefault="00E309AF" w:rsidP="00AA190E">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p>
    <w:p w14:paraId="2FF406EE" w14:textId="77777777" w:rsidR="00E13766" w:rsidRPr="002A37BB" w:rsidRDefault="00E13766" w:rsidP="00AA190E">
      <w:pPr>
        <w:ind w:left="720" w:hanging="720"/>
        <w:jc w:val="both"/>
        <w:rPr>
          <w:rFonts w:ascii="Arial" w:hAnsi="Arial" w:cs="Arial"/>
          <w:sz w:val="22"/>
          <w:szCs w:val="22"/>
          <w:lang w:val="en-GB"/>
        </w:rPr>
      </w:pPr>
    </w:p>
    <w:p w14:paraId="2F59DA6A" w14:textId="1FBF2182" w:rsidR="00B15863" w:rsidRDefault="00802AB1"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For the purposes of </w:t>
      </w:r>
      <w:r w:rsidR="00DA4E5B">
        <w:rPr>
          <w:rFonts w:ascii="Arial" w:hAnsi="Arial" w:cs="Arial"/>
          <w:color w:val="7B7B7B" w:themeColor="accent3" w:themeShade="BF"/>
          <w:sz w:val="22"/>
          <w:szCs w:val="22"/>
          <w:lang w:val="en-GB"/>
        </w:rPr>
        <w:t xml:space="preserve">answering </w:t>
      </w:r>
      <w:r>
        <w:rPr>
          <w:rFonts w:ascii="Arial" w:hAnsi="Arial" w:cs="Arial"/>
          <w:color w:val="7B7B7B" w:themeColor="accent3" w:themeShade="BF"/>
          <w:sz w:val="22"/>
          <w:szCs w:val="22"/>
          <w:lang w:val="en-GB"/>
        </w:rPr>
        <w:t>this question</w:t>
      </w:r>
      <w:r w:rsidR="00DA4E5B">
        <w:rPr>
          <w:rFonts w:ascii="Arial" w:hAnsi="Arial" w:cs="Arial"/>
          <w:color w:val="7B7B7B" w:themeColor="accent3" w:themeShade="BF"/>
          <w:sz w:val="22"/>
          <w:szCs w:val="22"/>
          <w:lang w:val="en-GB"/>
        </w:rPr>
        <w:t xml:space="preserve">, judgement from Croatia will be considered. </w:t>
      </w:r>
    </w:p>
    <w:p w14:paraId="02753346" w14:textId="3C361211" w:rsidR="00DA4E5B" w:rsidRDefault="00DA4E5B"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Croatia is member of the EU, </w:t>
      </w:r>
      <w:r w:rsidR="00BA57B2">
        <w:rPr>
          <w:rFonts w:ascii="Arial" w:hAnsi="Arial" w:cs="Arial"/>
          <w:color w:val="7B7B7B" w:themeColor="accent3" w:themeShade="BF"/>
          <w:sz w:val="22"/>
          <w:szCs w:val="22"/>
          <w:lang w:val="en-GB"/>
        </w:rPr>
        <w:t>routes for recognition of this judgement would be via provisions of Brussels I Recast and Lugano Convention.</w:t>
      </w:r>
    </w:p>
    <w:p w14:paraId="450FE6B9" w14:textId="77777777" w:rsidR="00BA57B2" w:rsidRDefault="00BA57B2" w:rsidP="00B15863">
      <w:pPr>
        <w:ind w:left="720" w:hanging="720"/>
        <w:jc w:val="both"/>
        <w:rPr>
          <w:rFonts w:ascii="Arial" w:hAnsi="Arial" w:cs="Arial"/>
          <w:color w:val="7B7B7B" w:themeColor="accent3" w:themeShade="BF"/>
          <w:sz w:val="22"/>
          <w:szCs w:val="22"/>
          <w:lang w:val="en-GB"/>
        </w:rPr>
      </w:pPr>
    </w:p>
    <w:p w14:paraId="015FDA11" w14:textId="423E3566" w:rsidR="00BA57B2" w:rsidRDefault="00BA57B2"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Brussels I Recast </w:t>
      </w:r>
      <w:r w:rsidR="00AE1C7F">
        <w:rPr>
          <w:rFonts w:ascii="Arial" w:hAnsi="Arial" w:cs="Arial"/>
          <w:color w:val="7B7B7B" w:themeColor="accent3" w:themeShade="BF"/>
          <w:sz w:val="22"/>
          <w:szCs w:val="22"/>
          <w:lang w:val="en-GB"/>
        </w:rPr>
        <w:t>(Regulation</w:t>
      </w:r>
      <w:r w:rsidR="00AE1C7F" w:rsidRPr="00AE1C7F">
        <w:rPr>
          <w:rFonts w:ascii="Arial" w:hAnsi="Arial" w:cs="Arial"/>
          <w:color w:val="7B7B7B" w:themeColor="accent3" w:themeShade="BF"/>
          <w:sz w:val="22"/>
          <w:szCs w:val="22"/>
          <w:lang w:val="en-GB"/>
        </w:rPr>
        <w:t xml:space="preserve"> 1215/2012 </w:t>
      </w:r>
      <w:r>
        <w:rPr>
          <w:rFonts w:ascii="Arial" w:hAnsi="Arial" w:cs="Arial"/>
          <w:color w:val="7B7B7B" w:themeColor="accent3" w:themeShade="BF"/>
          <w:sz w:val="22"/>
          <w:szCs w:val="22"/>
          <w:lang w:val="en-GB"/>
        </w:rPr>
        <w:t>provides for recognition of judgements (excluding insolvency matters)</w:t>
      </w:r>
      <w:r w:rsidR="00AE1C7F">
        <w:rPr>
          <w:rFonts w:ascii="Arial" w:hAnsi="Arial" w:cs="Arial"/>
          <w:color w:val="7B7B7B" w:themeColor="accent3" w:themeShade="BF"/>
          <w:sz w:val="22"/>
          <w:szCs w:val="22"/>
          <w:lang w:val="en-GB"/>
        </w:rPr>
        <w:t xml:space="preserve"> for all procedures started on or after </w:t>
      </w:r>
      <w:r w:rsidR="00AE1C7F" w:rsidRPr="00AE1C7F">
        <w:rPr>
          <w:rFonts w:ascii="Arial" w:hAnsi="Arial" w:cs="Arial"/>
          <w:color w:val="7B7B7B" w:themeColor="accent3" w:themeShade="BF"/>
          <w:sz w:val="22"/>
          <w:szCs w:val="22"/>
          <w:lang w:val="en-GB"/>
        </w:rPr>
        <w:t>10 January 2015</w:t>
      </w:r>
      <w:r w:rsidR="00AE1C7F">
        <w:rPr>
          <w:rFonts w:ascii="Arial" w:hAnsi="Arial" w:cs="Arial"/>
          <w:color w:val="7B7B7B" w:themeColor="accent3" w:themeShade="BF"/>
          <w:sz w:val="22"/>
          <w:szCs w:val="22"/>
          <w:lang w:val="en-GB"/>
        </w:rPr>
        <w:t>, it applies on civil and commercial matters. The judgement may be enforced as if rendered by Dutch court.</w:t>
      </w:r>
    </w:p>
    <w:p w14:paraId="136B5165" w14:textId="171E4FC2" w:rsidR="00AE1C7F" w:rsidRDefault="00AE1C7F" w:rsidP="00B15863">
      <w:pPr>
        <w:ind w:left="720" w:hanging="720"/>
        <w:jc w:val="both"/>
        <w:rPr>
          <w:rFonts w:ascii="Arial" w:hAnsi="Arial" w:cs="Arial"/>
          <w:color w:val="7B7B7B" w:themeColor="accent3" w:themeShade="BF"/>
          <w:sz w:val="22"/>
          <w:szCs w:val="22"/>
          <w:lang w:val="en-GB"/>
        </w:rPr>
      </w:pPr>
    </w:p>
    <w:p w14:paraId="00E68492" w14:textId="3A900C81" w:rsidR="00AE1C7F" w:rsidRDefault="00AE1C7F"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Lugano Convention has similar scope, judgement will be recognized as by Brussels I recast, but when it comes to enforcement, additional process of exequatur is needed in which the enforcement will be granted unless (a) enforcement </w:t>
      </w:r>
      <w:r w:rsidR="00F51DE5">
        <w:rPr>
          <w:rFonts w:ascii="Arial" w:hAnsi="Arial" w:cs="Arial"/>
          <w:color w:val="7B7B7B" w:themeColor="accent3" w:themeShade="BF"/>
          <w:sz w:val="22"/>
          <w:szCs w:val="22"/>
          <w:lang w:val="en-GB"/>
        </w:rPr>
        <w:t>fragrantly</w:t>
      </w:r>
      <w:r>
        <w:rPr>
          <w:rFonts w:ascii="Arial" w:hAnsi="Arial" w:cs="Arial"/>
          <w:color w:val="7B7B7B" w:themeColor="accent3" w:themeShade="BF"/>
          <w:sz w:val="22"/>
          <w:szCs w:val="22"/>
          <w:lang w:val="en-GB"/>
        </w:rPr>
        <w:t xml:space="preserve"> conflicts with Dutch public policy, (b) debtor has not been able to defend due to untimely and undue presentation of the document by which </w:t>
      </w:r>
      <w:r w:rsidR="00F51DE5">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were started and (c) the judgement is irreconcilable with other judgement between same parties delivered by court of another member state.</w:t>
      </w:r>
    </w:p>
    <w:p w14:paraId="2EBFC20D" w14:textId="77777777" w:rsidR="00BA57B2" w:rsidRPr="002A37BB" w:rsidRDefault="00BA57B2" w:rsidP="00B15863">
      <w:pPr>
        <w:ind w:left="720" w:hanging="720"/>
        <w:jc w:val="both"/>
        <w:rPr>
          <w:rFonts w:ascii="Arial" w:hAnsi="Arial" w:cs="Arial"/>
          <w:sz w:val="22"/>
          <w:szCs w:val="22"/>
          <w:lang w:val="en-GB"/>
        </w:rPr>
      </w:pPr>
    </w:p>
    <w:p w14:paraId="789922AB" w14:textId="77777777" w:rsidR="00C550C8" w:rsidRDefault="00C550C8" w:rsidP="00AA190E">
      <w:pPr>
        <w:jc w:val="both"/>
        <w:rPr>
          <w:rFonts w:ascii="Arial" w:hAnsi="Arial" w:cs="Arial"/>
          <w:bCs/>
          <w:sz w:val="22"/>
          <w:szCs w:val="22"/>
          <w:lang w:val="en-GB"/>
        </w:rPr>
      </w:pPr>
    </w:p>
    <w:p w14:paraId="25D3E7D1" w14:textId="77777777" w:rsidR="00404CBA" w:rsidRPr="002A37BB" w:rsidRDefault="00404CB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0C39D389" w14:textId="5027CD4A" w:rsidR="00B15863" w:rsidRDefault="001A38E0"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fundamental problem with providers of “new money” in Dutch insolvency proceedings is that there is no provisions that would allow </w:t>
      </w:r>
      <w:r w:rsidR="00AE1C7F">
        <w:rPr>
          <w:rFonts w:ascii="Arial" w:hAnsi="Arial" w:cs="Arial"/>
          <w:color w:val="7B7B7B" w:themeColor="accent3" w:themeShade="BF"/>
          <w:sz w:val="22"/>
          <w:szCs w:val="22"/>
          <w:lang w:val="en-GB"/>
        </w:rPr>
        <w:t>establishing new</w:t>
      </w:r>
      <w:r>
        <w:rPr>
          <w:rFonts w:ascii="Arial" w:hAnsi="Arial" w:cs="Arial"/>
          <w:color w:val="7B7B7B" w:themeColor="accent3" w:themeShade="BF"/>
          <w:sz w:val="22"/>
          <w:szCs w:val="22"/>
          <w:lang w:val="en-GB"/>
        </w:rPr>
        <w:t xml:space="preserve"> security over the already pledged/mortgaged assets in the estate. There is no immediate “super seniority” that can be found in US chapter 11 proceedings, and as such. That is even increased by risk that establishing of security in “late” phase before insolvency can be avoidable.</w:t>
      </w:r>
    </w:p>
    <w:p w14:paraId="700B9674" w14:textId="51E03D8A" w:rsidR="001A38E0" w:rsidRDefault="00614596"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matter of “preparations” for such possible scenario, t</w:t>
      </w:r>
      <w:r w:rsidR="001A38E0">
        <w:rPr>
          <w:rFonts w:ascii="Arial" w:hAnsi="Arial" w:cs="Arial"/>
          <w:color w:val="7B7B7B" w:themeColor="accent3" w:themeShade="BF"/>
          <w:sz w:val="22"/>
          <w:szCs w:val="22"/>
          <w:lang w:val="en-GB"/>
        </w:rPr>
        <w:t xml:space="preserve">he “regular” course of actions is that when borrowing money and establishing security, contract’s provisions provide for </w:t>
      </w:r>
      <w:r>
        <w:rPr>
          <w:rFonts w:ascii="Arial" w:hAnsi="Arial" w:cs="Arial"/>
          <w:color w:val="7B7B7B" w:themeColor="accent3" w:themeShade="BF"/>
          <w:sz w:val="22"/>
          <w:szCs w:val="22"/>
          <w:lang w:val="en-GB"/>
        </w:rPr>
        <w:t xml:space="preserve">“super senior basket” which is effectively capped contractual subordination which </w:t>
      </w:r>
      <w:r>
        <w:rPr>
          <w:rFonts w:ascii="Arial" w:hAnsi="Arial" w:cs="Arial"/>
          <w:color w:val="7B7B7B" w:themeColor="accent3" w:themeShade="BF"/>
          <w:sz w:val="22"/>
          <w:szCs w:val="22"/>
          <w:lang w:val="en-GB"/>
        </w:rPr>
        <w:lastRenderedPageBreak/>
        <w:t xml:space="preserve">would if </w:t>
      </w:r>
      <w:r w:rsidR="00AE1C7F">
        <w:rPr>
          <w:rFonts w:ascii="Arial" w:hAnsi="Arial" w:cs="Arial"/>
          <w:color w:val="7B7B7B" w:themeColor="accent3" w:themeShade="BF"/>
          <w:sz w:val="22"/>
          <w:szCs w:val="22"/>
          <w:lang w:val="en-GB"/>
        </w:rPr>
        <w:t>circumstances</w:t>
      </w:r>
      <w:r>
        <w:rPr>
          <w:rFonts w:ascii="Arial" w:hAnsi="Arial" w:cs="Arial"/>
          <w:color w:val="7B7B7B" w:themeColor="accent3" w:themeShade="BF"/>
          <w:sz w:val="22"/>
          <w:szCs w:val="22"/>
          <w:lang w:val="en-GB"/>
        </w:rPr>
        <w:t xml:space="preserve"> should require enable to provide new borrower with a senior security as a </w:t>
      </w:r>
      <w:proofErr w:type="spellStart"/>
      <w:r>
        <w:rPr>
          <w:rFonts w:ascii="Arial" w:hAnsi="Arial" w:cs="Arial"/>
          <w:color w:val="7B7B7B" w:themeColor="accent3" w:themeShade="BF"/>
          <w:sz w:val="22"/>
          <w:szCs w:val="22"/>
          <w:lang w:val="en-GB"/>
        </w:rPr>
        <w:t>par</w:t>
      </w:r>
      <w:proofErr w:type="spellEnd"/>
      <w:r>
        <w:rPr>
          <w:rFonts w:ascii="Arial" w:hAnsi="Arial" w:cs="Arial"/>
          <w:color w:val="7B7B7B" w:themeColor="accent3" w:themeShade="BF"/>
          <w:sz w:val="22"/>
          <w:szCs w:val="22"/>
          <w:lang w:val="en-GB"/>
        </w:rPr>
        <w:t xml:space="preserve"> of previous </w:t>
      </w:r>
      <w:r w:rsidR="00AE1C7F">
        <w:rPr>
          <w:rFonts w:ascii="Arial" w:hAnsi="Arial" w:cs="Arial"/>
          <w:color w:val="7B7B7B" w:themeColor="accent3" w:themeShade="BF"/>
          <w:sz w:val="22"/>
          <w:szCs w:val="22"/>
          <w:lang w:val="en-GB"/>
        </w:rPr>
        <w:t>financial</w:t>
      </w:r>
      <w:r>
        <w:rPr>
          <w:rFonts w:ascii="Arial" w:hAnsi="Arial" w:cs="Arial"/>
          <w:color w:val="7B7B7B" w:themeColor="accent3" w:themeShade="BF"/>
          <w:sz w:val="22"/>
          <w:szCs w:val="22"/>
          <w:lang w:val="en-GB"/>
        </w:rPr>
        <w:t xml:space="preserve"> arrangement.</w:t>
      </w:r>
    </w:p>
    <w:p w14:paraId="2C754425" w14:textId="184598F9" w:rsidR="00614596" w:rsidRDefault="00614596" w:rsidP="0061459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financial difficulties are already present, there are several options that debtor can utilise in order to secure new financing in distressed situations assuming that none of the options are ones that are avoidable by law in the first place.</w:t>
      </w:r>
    </w:p>
    <w:p w14:paraId="410A4B5E" w14:textId="3E7067D6" w:rsidR="00614596" w:rsidRDefault="00614596" w:rsidP="00614596">
      <w:pPr>
        <w:pStyle w:val="ListParagraph"/>
        <w:numPr>
          <w:ilvl w:val="0"/>
          <w:numId w:val="11"/>
        </w:numPr>
        <w:jc w:val="both"/>
        <w:rPr>
          <w:rFonts w:ascii="Arial" w:hAnsi="Arial" w:cs="Arial"/>
          <w:color w:val="7B7B7B" w:themeColor="accent3" w:themeShade="BF"/>
          <w:sz w:val="22"/>
          <w:szCs w:val="22"/>
          <w:lang w:val="en-GB"/>
        </w:rPr>
      </w:pPr>
      <w:r w:rsidRPr="00614596">
        <w:rPr>
          <w:rFonts w:ascii="Arial" w:hAnsi="Arial" w:cs="Arial"/>
          <w:color w:val="7B7B7B" w:themeColor="accent3" w:themeShade="BF"/>
          <w:sz w:val="22"/>
          <w:szCs w:val="22"/>
          <w:lang w:val="en-GB"/>
        </w:rPr>
        <w:t xml:space="preserve">After incorporation of CERP, DBA provides for possibility for court authorization of the transactions and financial arrangements deemed necessary for debtor to continue </w:t>
      </w:r>
      <w:proofErr w:type="spellStart"/>
      <w:r w:rsidRPr="00614596">
        <w:rPr>
          <w:rFonts w:ascii="Arial" w:hAnsi="Arial" w:cs="Arial"/>
          <w:color w:val="7B7B7B" w:themeColor="accent3" w:themeShade="BF"/>
          <w:sz w:val="22"/>
          <w:szCs w:val="22"/>
          <w:lang w:val="en-GB"/>
        </w:rPr>
        <w:t>it’s</w:t>
      </w:r>
      <w:proofErr w:type="spellEnd"/>
      <w:r w:rsidRPr="00614596">
        <w:rPr>
          <w:rFonts w:ascii="Arial" w:hAnsi="Arial" w:cs="Arial"/>
          <w:color w:val="7B7B7B" w:themeColor="accent3" w:themeShade="BF"/>
          <w:sz w:val="22"/>
          <w:szCs w:val="22"/>
          <w:lang w:val="en-GB"/>
        </w:rPr>
        <w:t xml:space="preserve"> business.</w:t>
      </w:r>
    </w:p>
    <w:p w14:paraId="794C5DD9" w14:textId="2F4CC14A" w:rsidR="00614596" w:rsidRDefault="00614596" w:rsidP="00614596">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“Positive pledge obligation”, a provision that obliges debtor to provide additional security </w:t>
      </w:r>
      <w:r w:rsidR="00C5799E">
        <w:rPr>
          <w:rFonts w:ascii="Arial" w:hAnsi="Arial" w:cs="Arial"/>
          <w:color w:val="7B7B7B" w:themeColor="accent3" w:themeShade="BF"/>
          <w:sz w:val="22"/>
          <w:szCs w:val="22"/>
          <w:lang w:val="en-GB"/>
        </w:rPr>
        <w:t>on creditor’s request if such agreement was made in regular course of action (wasn’t included “recently”) is not avoidable – court authorization is useful</w:t>
      </w:r>
    </w:p>
    <w:p w14:paraId="5DD8BC96" w14:textId="21663EFA" w:rsidR="00C5799E" w:rsidRDefault="00C5799E" w:rsidP="00614596">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Changes in mortgage seniority</w:t>
      </w:r>
    </w:p>
    <w:p w14:paraId="6A8ACA25" w14:textId="1BE6A717" w:rsidR="00C5799E" w:rsidRPr="00614596" w:rsidRDefault="00C5799E" w:rsidP="00614596">
      <w:pPr>
        <w:pStyle w:val="ListParagraph"/>
        <w:numPr>
          <w:ilvl w:val="0"/>
          <w:numId w:val="1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Changes in pledge seniority are possible, but is relatively complicated since by law it requires them all to be temporarily waived for a short period of time in order to establish new order of them/ranking which has inherit risk that new pledges will be avoidable.</w:t>
      </w:r>
    </w:p>
    <w:p w14:paraId="64A79631" w14:textId="77777777" w:rsidR="00B15863" w:rsidRPr="002A37BB" w:rsidRDefault="00B15863" w:rsidP="00AA190E">
      <w:pPr>
        <w:jc w:val="both"/>
        <w:rPr>
          <w:rFonts w:ascii="Arial" w:hAnsi="Arial" w:cs="Arial"/>
          <w:sz w:val="22"/>
          <w:szCs w:val="22"/>
        </w:rPr>
      </w:pP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4D88A7E4" w14:textId="21124BCC" w:rsidR="00B15863" w:rsidRDefault="00051BC2"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 that has the guarantee from another company (in this case, cross-guarantee from Dutch affiliate) is able to collect his claim from principal debtor and also from the guarantor.</w:t>
      </w:r>
    </w:p>
    <w:p w14:paraId="29FE4E05" w14:textId="27D39F96" w:rsidR="00D6485D" w:rsidRDefault="00D6485D" w:rsidP="00B1586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relation to possible insolvency situation of main debtor, creditor’s claim (in lack of other security provided for that loan) will be considered as unsecured claim.</w:t>
      </w:r>
    </w:p>
    <w:p w14:paraId="7C9E17B4" w14:textId="43E48C7E" w:rsidR="00D6485D" w:rsidRPr="002A37BB" w:rsidRDefault="00D6485D" w:rsidP="00B15863">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Under Dutch law, collecting claims from both main debtor and guarantor, called “double-dipping” is allowed with the limitation that it does not provide for satisfaction over the amount of the initial debt. </w:t>
      </w:r>
      <w:proofErr w:type="spellStart"/>
      <w:r>
        <w:rPr>
          <w:rFonts w:ascii="Arial" w:hAnsi="Arial" w:cs="Arial"/>
          <w:color w:val="7B7B7B" w:themeColor="accent3" w:themeShade="BF"/>
          <w:sz w:val="22"/>
          <w:szCs w:val="22"/>
          <w:lang w:val="en-GB"/>
        </w:rPr>
        <w:t>Furthe</w:t>
      </w:r>
      <w:r w:rsidR="00421A91">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 more</w:t>
      </w:r>
      <w:proofErr w:type="spellEnd"/>
      <w:r>
        <w:rPr>
          <w:rFonts w:ascii="Arial" w:hAnsi="Arial" w:cs="Arial"/>
          <w:color w:val="7B7B7B" w:themeColor="accent3" w:themeShade="BF"/>
          <w:sz w:val="22"/>
          <w:szCs w:val="22"/>
          <w:lang w:val="en-GB"/>
        </w:rPr>
        <w:t xml:space="preserve">, the amount paid by the guarantor will be deducted from the final distribution by the debtor’s insolvent estate and vice versa. Additionally </w:t>
      </w:r>
      <w:r w:rsidR="00421A91">
        <w:rPr>
          <w:rFonts w:ascii="Arial" w:hAnsi="Arial" w:cs="Arial"/>
          <w:color w:val="7B7B7B" w:themeColor="accent3" w:themeShade="BF"/>
          <w:sz w:val="22"/>
          <w:szCs w:val="22"/>
          <w:lang w:val="en-GB"/>
        </w:rPr>
        <w:t>under provisions of DBA, restructuring of claim towards debtor and guarantor can be done through one restructuring plan, thus not requiring the guarantor to go through restructuring himself.</w:t>
      </w:r>
    </w:p>
    <w:p w14:paraId="4AD44C87" w14:textId="77777777" w:rsidR="00B15863" w:rsidRDefault="00B15863" w:rsidP="00AA190E">
      <w:pPr>
        <w:jc w:val="both"/>
        <w:rPr>
          <w:rFonts w:ascii="Arial" w:hAnsi="Arial" w:cs="Arial"/>
          <w:sz w:val="22"/>
          <w:szCs w:val="22"/>
        </w:rPr>
      </w:pPr>
    </w:p>
    <w:p w14:paraId="56D8F46E" w14:textId="77777777" w:rsidR="00B3246A" w:rsidRPr="002A37BB" w:rsidRDefault="00B3246A" w:rsidP="00AA190E">
      <w:pPr>
        <w:jc w:val="both"/>
        <w:rPr>
          <w:rFonts w:ascii="Arial" w:hAnsi="Arial" w:cs="Arial"/>
          <w:sz w:val="22"/>
          <w:szCs w:val="22"/>
          <w:shd w:val="clear" w:color="auto" w:fill="FFFFFF"/>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You represent a group of companies, of which the parent company is located in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w:t>
      </w:r>
      <w:r w:rsidRPr="00716889">
        <w:rPr>
          <w:rFonts w:ascii="Arial" w:hAnsi="Arial" w:cs="Arial"/>
          <w:sz w:val="22"/>
          <w:szCs w:val="22"/>
          <w:lang w:val="en-GB"/>
        </w:rPr>
        <w:lastRenderedPageBreak/>
        <w:t xml:space="preserve">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188BF167" w14:textId="77777777" w:rsidR="004623ED" w:rsidRPr="002A37BB" w:rsidRDefault="004623ED" w:rsidP="004623ED">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Bankruptcy proceedings were not considered since the instructions by general counsel were that it is restructuring of debt (procedure) is aimed for and there is no info on possible stopping of payments by either of company.</w:t>
      </w:r>
    </w:p>
    <w:p w14:paraId="06607FF4" w14:textId="77777777" w:rsidR="004623ED" w:rsidRDefault="004623ED" w:rsidP="00BA00E7">
      <w:pPr>
        <w:ind w:left="720" w:hanging="720"/>
        <w:jc w:val="both"/>
        <w:rPr>
          <w:rFonts w:ascii="Arial" w:hAnsi="Arial" w:cs="Arial"/>
          <w:color w:val="7B7B7B" w:themeColor="accent3" w:themeShade="BF"/>
          <w:sz w:val="22"/>
          <w:szCs w:val="22"/>
          <w:lang w:val="en-GB"/>
        </w:rPr>
      </w:pPr>
    </w:p>
    <w:p w14:paraId="1023FF22" w14:textId="4BB8AA0D" w:rsidR="004809B2" w:rsidRDefault="00BA00E7" w:rsidP="00BA00E7">
      <w:pPr>
        <w:ind w:left="720" w:hanging="720"/>
        <w:jc w:val="both"/>
        <w:rPr>
          <w:rFonts w:ascii="Arial" w:hAnsi="Arial" w:cs="Arial"/>
          <w:color w:val="7B7B7B" w:themeColor="accent3" w:themeShade="BF"/>
          <w:sz w:val="22"/>
          <w:szCs w:val="22"/>
          <w:lang w:val="en-GB"/>
        </w:rPr>
      </w:pPr>
      <w:r w:rsidRPr="00BA00E7">
        <w:rPr>
          <w:rFonts w:ascii="Arial" w:hAnsi="Arial" w:cs="Arial"/>
          <w:color w:val="7B7B7B" w:themeColor="accent3" w:themeShade="BF"/>
          <w:sz w:val="22"/>
          <w:szCs w:val="22"/>
          <w:lang w:val="en-GB"/>
        </w:rPr>
        <w:t>Th</w:t>
      </w:r>
      <w:r w:rsidR="00BD5B81">
        <w:rPr>
          <w:rFonts w:ascii="Arial" w:hAnsi="Arial" w:cs="Arial"/>
          <w:color w:val="7B7B7B" w:themeColor="accent3" w:themeShade="BF"/>
          <w:sz w:val="22"/>
          <w:szCs w:val="22"/>
          <w:lang w:val="en-GB"/>
        </w:rPr>
        <w:t>e possible course of actions (considering inputs from general counsel about not wanting to pay for full legal proceedings) would be to open the proceedings in Netherlands (with the Dutch subsidiary who has issued bonds) or in France (which they are used to). Possible risks in going with only one proceedings would be that creditors could enforce the debt in either country since holding company which guarantees for the debt is in France.</w:t>
      </w:r>
    </w:p>
    <w:p w14:paraId="1FCF3178" w14:textId="2C61DFDB" w:rsidR="00B22DD5" w:rsidRPr="00BA00E7" w:rsidRDefault="00BD5B81" w:rsidP="00B22DD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 mitigate that risk</w:t>
      </w:r>
      <w:r w:rsidR="00D8186A">
        <w:rPr>
          <w:rFonts w:ascii="Arial" w:hAnsi="Arial" w:cs="Arial"/>
          <w:color w:val="7B7B7B" w:themeColor="accent3" w:themeShade="BF"/>
          <w:sz w:val="22"/>
          <w:szCs w:val="22"/>
          <w:lang w:val="en-GB"/>
        </w:rPr>
        <w:t xml:space="preserve"> (having in mind additional expenses)</w:t>
      </w:r>
      <w:r>
        <w:rPr>
          <w:rFonts w:ascii="Arial" w:hAnsi="Arial" w:cs="Arial"/>
          <w:color w:val="7B7B7B" w:themeColor="accent3" w:themeShade="BF"/>
          <w:sz w:val="22"/>
          <w:szCs w:val="22"/>
          <w:lang w:val="en-GB"/>
        </w:rPr>
        <w:t xml:space="preserve">, </w:t>
      </w:r>
      <w:r w:rsidR="00D8186A">
        <w:rPr>
          <w:rFonts w:ascii="Arial" w:hAnsi="Arial" w:cs="Arial"/>
          <w:color w:val="7B7B7B" w:themeColor="accent3" w:themeShade="BF"/>
          <w:sz w:val="22"/>
          <w:szCs w:val="22"/>
          <w:lang w:val="en-GB"/>
        </w:rPr>
        <w:t xml:space="preserve">I would advise to </w:t>
      </w:r>
      <w:r>
        <w:rPr>
          <w:rFonts w:ascii="Arial" w:hAnsi="Arial" w:cs="Arial"/>
          <w:color w:val="7B7B7B" w:themeColor="accent3" w:themeShade="BF"/>
          <w:sz w:val="22"/>
          <w:szCs w:val="22"/>
          <w:lang w:val="en-GB"/>
        </w:rPr>
        <w:t xml:space="preserve">star </w:t>
      </w:r>
      <w:r w:rsidR="00D8186A">
        <w:rPr>
          <w:rFonts w:ascii="Arial" w:hAnsi="Arial" w:cs="Arial"/>
          <w:color w:val="7B7B7B" w:themeColor="accent3" w:themeShade="BF"/>
          <w:sz w:val="22"/>
          <w:szCs w:val="22"/>
          <w:lang w:val="en-GB"/>
        </w:rPr>
        <w:t>reorganization proceedings in France (</w:t>
      </w:r>
      <w:proofErr w:type="spellStart"/>
      <w:r w:rsidR="004623ED" w:rsidRPr="004623ED">
        <w:rPr>
          <w:rFonts w:ascii="Arial" w:hAnsi="Arial" w:cs="Arial"/>
          <w:color w:val="7B7B7B" w:themeColor="accent3" w:themeShade="BF"/>
          <w:sz w:val="22"/>
          <w:szCs w:val="22"/>
          <w:lang w:val="en-GB"/>
        </w:rPr>
        <w:t>sauvegarde</w:t>
      </w:r>
      <w:proofErr w:type="spellEnd"/>
      <w:r w:rsidR="00D8186A">
        <w:rPr>
          <w:rFonts w:ascii="Arial" w:hAnsi="Arial" w:cs="Arial"/>
          <w:color w:val="7B7B7B" w:themeColor="accent3" w:themeShade="BF"/>
          <w:sz w:val="22"/>
          <w:szCs w:val="22"/>
          <w:lang w:val="en-GB"/>
        </w:rPr>
        <w:t>)</w:t>
      </w:r>
      <w:r w:rsidR="004623ED">
        <w:rPr>
          <w:rFonts w:ascii="Arial" w:hAnsi="Arial" w:cs="Arial"/>
          <w:color w:val="7B7B7B" w:themeColor="accent3" w:themeShade="BF"/>
          <w:sz w:val="22"/>
          <w:szCs w:val="22"/>
          <w:lang w:val="en-GB"/>
        </w:rPr>
        <w:t xml:space="preserve"> for the holding company (or all companies)</w:t>
      </w:r>
      <w:r w:rsidR="00D8186A">
        <w:rPr>
          <w:rFonts w:ascii="Arial" w:hAnsi="Arial" w:cs="Arial"/>
          <w:color w:val="7B7B7B" w:themeColor="accent3" w:themeShade="BF"/>
          <w:sz w:val="22"/>
          <w:szCs w:val="22"/>
          <w:lang w:val="en-GB"/>
        </w:rPr>
        <w:t>, and suspension of payments procedure in Netherlands</w:t>
      </w:r>
      <w:r w:rsidR="00B22DD5">
        <w:rPr>
          <w:rFonts w:ascii="Arial" w:hAnsi="Arial" w:cs="Arial"/>
          <w:color w:val="7B7B7B" w:themeColor="accent3" w:themeShade="BF"/>
          <w:sz w:val="22"/>
          <w:szCs w:val="22"/>
          <w:lang w:val="en-GB"/>
        </w:rPr>
        <w:t xml:space="preserve"> and ask court to allow for cool down period</w:t>
      </w:r>
      <w:r w:rsidR="00D8186A">
        <w:rPr>
          <w:rFonts w:ascii="Arial" w:hAnsi="Arial" w:cs="Arial"/>
          <w:color w:val="7B7B7B" w:themeColor="accent3" w:themeShade="BF"/>
          <w:sz w:val="22"/>
          <w:szCs w:val="22"/>
          <w:lang w:val="en-GB"/>
        </w:rPr>
        <w:t>. Than first vote on the reorganization plan / composition plan in France</w:t>
      </w:r>
      <w:r w:rsidR="00B22DD5">
        <w:rPr>
          <w:rFonts w:ascii="Arial" w:hAnsi="Arial" w:cs="Arial"/>
          <w:color w:val="7B7B7B" w:themeColor="accent3" w:themeShade="BF"/>
          <w:sz w:val="22"/>
          <w:szCs w:val="22"/>
          <w:lang w:val="en-GB"/>
        </w:rPr>
        <w:t xml:space="preserve"> (which is their primary jurisdiction and they are in favour of)</w:t>
      </w:r>
      <w:r w:rsidR="00D8186A">
        <w:rPr>
          <w:rFonts w:ascii="Arial" w:hAnsi="Arial" w:cs="Arial"/>
          <w:color w:val="7B7B7B" w:themeColor="accent3" w:themeShade="BF"/>
          <w:sz w:val="22"/>
          <w:szCs w:val="22"/>
          <w:lang w:val="en-GB"/>
        </w:rPr>
        <w:t xml:space="preserve">. </w:t>
      </w:r>
      <w:r w:rsidR="00B22DD5">
        <w:rPr>
          <w:rFonts w:ascii="Arial" w:hAnsi="Arial" w:cs="Arial"/>
          <w:color w:val="7B7B7B" w:themeColor="accent3" w:themeShade="BF"/>
          <w:sz w:val="22"/>
          <w:szCs w:val="22"/>
          <w:lang w:val="en-GB"/>
        </w:rPr>
        <w:t>The scope of the plan in France would obviously be to restructure the company debt, with elements described in question.</w:t>
      </w:r>
    </w:p>
    <w:p w14:paraId="00CC687E" w14:textId="77777777" w:rsidR="00B22DD5" w:rsidRDefault="00B22DD5" w:rsidP="00BA00E7">
      <w:pPr>
        <w:ind w:left="720" w:hanging="720"/>
        <w:jc w:val="both"/>
        <w:rPr>
          <w:rFonts w:ascii="Arial" w:hAnsi="Arial" w:cs="Arial"/>
          <w:color w:val="7B7B7B" w:themeColor="accent3" w:themeShade="BF"/>
          <w:sz w:val="22"/>
          <w:szCs w:val="22"/>
          <w:lang w:val="en-GB"/>
        </w:rPr>
      </w:pPr>
    </w:p>
    <w:p w14:paraId="13EDF757" w14:textId="38B96A9C" w:rsidR="00BD5B81" w:rsidRDefault="00D8186A" w:rsidP="00BA00E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that time arrange schedules with Dutch court, and if/after the plan is confirmed in France, put the same plan to vote in Netherlands.</w:t>
      </w:r>
      <w:r w:rsidR="00B22DD5">
        <w:rPr>
          <w:rFonts w:ascii="Arial" w:hAnsi="Arial" w:cs="Arial"/>
          <w:color w:val="7B7B7B" w:themeColor="accent3" w:themeShade="BF"/>
          <w:sz w:val="22"/>
          <w:szCs w:val="22"/>
          <w:lang w:val="en-GB"/>
        </w:rPr>
        <w:t xml:space="preserve"> The majority for </w:t>
      </w:r>
      <w:r w:rsidR="008635D2">
        <w:rPr>
          <w:rFonts w:ascii="Arial" w:hAnsi="Arial" w:cs="Arial"/>
          <w:color w:val="7B7B7B" w:themeColor="accent3" w:themeShade="BF"/>
          <w:sz w:val="22"/>
          <w:szCs w:val="22"/>
          <w:lang w:val="en-GB"/>
        </w:rPr>
        <w:t>acceptance of the plan is more than half of the admitted claims and a simple majority of the admitted creditors present at the meeting and eligible to vote.</w:t>
      </w:r>
    </w:p>
    <w:p w14:paraId="63BB97C1" w14:textId="2EB9BFF9" w:rsidR="00D8186A" w:rsidRDefault="00D8186A" w:rsidP="00BA00E7">
      <w:pPr>
        <w:ind w:left="720" w:hanging="720"/>
        <w:jc w:val="both"/>
        <w:rPr>
          <w:rFonts w:ascii="Arial" w:hAnsi="Arial" w:cs="Arial"/>
          <w:color w:val="7B7B7B" w:themeColor="accent3" w:themeShade="BF"/>
          <w:sz w:val="22"/>
          <w:szCs w:val="22"/>
          <w:lang w:val="en-GB"/>
        </w:rPr>
      </w:pPr>
    </w:p>
    <w:p w14:paraId="17931270" w14:textId="34695418" w:rsidR="004809B2" w:rsidRPr="00DD33AE" w:rsidRDefault="00DD33AE" w:rsidP="00DD33AE">
      <w:pPr>
        <w:ind w:left="720" w:hanging="720"/>
        <w:jc w:val="both"/>
        <w:rPr>
          <w:rFonts w:ascii="Arial" w:hAnsi="Arial" w:cs="Arial"/>
          <w:color w:val="7B7B7B" w:themeColor="accent3" w:themeShade="BF"/>
          <w:sz w:val="22"/>
          <w:szCs w:val="22"/>
          <w:lang w:val="en-GB"/>
        </w:rPr>
      </w:pPr>
      <w:r w:rsidRPr="00DD33AE">
        <w:rPr>
          <w:rFonts w:ascii="Arial" w:hAnsi="Arial" w:cs="Arial"/>
          <w:color w:val="7B7B7B" w:themeColor="accent3" w:themeShade="BF"/>
          <w:sz w:val="22"/>
          <w:szCs w:val="22"/>
          <w:lang w:val="en-GB"/>
        </w:rPr>
        <w:t>There is possibility of out of court restructuring (extrajudicial), in which case two third’s of total value of claim in class majority is needed in at least one class of creditors.</w:t>
      </w:r>
      <w:r>
        <w:rPr>
          <w:rFonts w:ascii="Arial" w:hAnsi="Arial" w:cs="Arial"/>
          <w:color w:val="7B7B7B" w:themeColor="accent3" w:themeShade="BF"/>
          <w:sz w:val="22"/>
          <w:szCs w:val="22"/>
          <w:lang w:val="en-GB"/>
        </w:rPr>
        <w:t xml:space="preserve"> In case of this procedure, cross-class-cram-down is an option</w:t>
      </w:r>
      <w:r w:rsidR="00C81196">
        <w:rPr>
          <w:rFonts w:ascii="Arial" w:hAnsi="Arial" w:cs="Arial"/>
          <w:color w:val="7B7B7B" w:themeColor="accent3" w:themeShade="BF"/>
          <w:sz w:val="22"/>
          <w:szCs w:val="22"/>
          <w:lang w:val="en-GB"/>
        </w:rPr>
        <w:t>.</w:t>
      </w:r>
      <w:r w:rsidRPr="00DD33AE">
        <w:rPr>
          <w:rFonts w:ascii="Arial" w:hAnsi="Arial" w:cs="Arial"/>
          <w:color w:val="7B7B7B" w:themeColor="accent3" w:themeShade="BF"/>
          <w:sz w:val="22"/>
          <w:szCs w:val="22"/>
          <w:lang w:val="en-GB"/>
        </w:rPr>
        <w:t xml:space="preserve"> Also, the cool -off period can be imposed by court for maximum duration of eight months.</w:t>
      </w:r>
    </w:p>
    <w:p w14:paraId="13685BAB" w14:textId="41CCB7A5" w:rsidR="004809B2" w:rsidRDefault="004809B2" w:rsidP="00AA190E">
      <w:pPr>
        <w:jc w:val="both"/>
        <w:rPr>
          <w:rFonts w:ascii="Arial" w:hAnsi="Arial" w:cs="Arial"/>
          <w:sz w:val="22"/>
          <w:szCs w:val="22"/>
          <w:lang w:val="en-GB"/>
        </w:rPr>
      </w:pPr>
    </w:p>
    <w:p w14:paraId="65ADFD8C" w14:textId="6667B6DE" w:rsidR="004809B2" w:rsidRDefault="004809B2" w:rsidP="00AA190E">
      <w:pPr>
        <w:jc w:val="both"/>
        <w:rPr>
          <w:rFonts w:ascii="Arial" w:hAnsi="Arial" w:cs="Arial"/>
          <w:sz w:val="22"/>
          <w:szCs w:val="22"/>
          <w:lang w:val="en-GB"/>
        </w:rPr>
      </w:pPr>
    </w:p>
    <w:p w14:paraId="33DF591C" w14:textId="77777777" w:rsidR="004809B2" w:rsidRPr="00716889" w:rsidRDefault="004809B2"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Pr>
          <w:rFonts w:ascii="Arial" w:hAnsi="Arial" w:cs="Arial"/>
          <w:sz w:val="22"/>
          <w:szCs w:val="22"/>
          <w:lang w:val="en-GB"/>
        </w:rPr>
        <w:t>P</w:t>
      </w:r>
      <w:r w:rsidR="00716889" w:rsidRPr="00716889">
        <w:rPr>
          <w:rFonts w:ascii="Arial" w:hAnsi="Arial" w:cs="Arial"/>
          <w:sz w:val="22"/>
          <w:szCs w:val="22"/>
          <w:lang w:val="en-GB"/>
        </w:rPr>
        <w:t>lease explain whether the envisaged restructuring of the bond debt can be effected using only the French proceedings or, if that would not be possible, using only one jurisdiction. Please elaborate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534AB2">
        <w:rPr>
          <w:rFonts w:ascii="Arial" w:hAnsi="Arial" w:cs="Arial"/>
          <w:sz w:val="22"/>
          <w:szCs w:val="22"/>
          <w:lang w:val="en-GB"/>
        </w:rPr>
        <w:t xml:space="preserve">also using most recent </w:t>
      </w:r>
      <w:r w:rsidR="009842B2">
        <w:rPr>
          <w:rFonts w:ascii="Arial" w:hAnsi="Arial" w:cs="Arial"/>
          <w:sz w:val="22"/>
          <w:szCs w:val="22"/>
          <w:lang w:val="en-GB"/>
        </w:rPr>
        <w:t xml:space="preserve">changes in legislation </w:t>
      </w:r>
      <w:r w:rsidR="00534AB2">
        <w:rPr>
          <w:rFonts w:ascii="Arial" w:hAnsi="Arial" w:cs="Arial"/>
          <w:sz w:val="22"/>
          <w:szCs w:val="22"/>
          <w:lang w:val="en-GB"/>
        </w:rPr>
        <w:t xml:space="preserve">in the Netherlands, </w:t>
      </w:r>
      <w:r w:rsidR="00180263">
        <w:rPr>
          <w:rFonts w:ascii="Arial" w:hAnsi="Arial" w:cs="Arial"/>
          <w:sz w:val="22"/>
          <w:szCs w:val="22"/>
          <w:lang w:val="en-GB"/>
        </w:rPr>
        <w:t xml:space="preserve">but if the questions you would need to have answered relate to French law, please do set out </w:t>
      </w:r>
      <w:r w:rsidR="00F15B31">
        <w:rPr>
          <w:rFonts w:ascii="Arial" w:hAnsi="Arial" w:cs="Arial"/>
          <w:sz w:val="22"/>
          <w:szCs w:val="22"/>
          <w:lang w:val="en-GB"/>
        </w:rPr>
        <w:t xml:space="preserve">what these </w:t>
      </w:r>
      <w:r w:rsidR="00180263">
        <w:rPr>
          <w:rFonts w:ascii="Arial" w:hAnsi="Arial" w:cs="Arial"/>
          <w:sz w:val="22"/>
          <w:szCs w:val="22"/>
          <w:lang w:val="en-GB"/>
        </w:rPr>
        <w:t>question</w:t>
      </w:r>
      <w:r w:rsidR="00F15B31">
        <w:rPr>
          <w:rFonts w:ascii="Arial" w:hAnsi="Arial" w:cs="Arial"/>
          <w:sz w:val="22"/>
          <w:szCs w:val="22"/>
          <w:lang w:val="en-GB"/>
        </w:rPr>
        <w:t>s are</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0"/>
    <w:p w14:paraId="671C8277" w14:textId="5CC3E0C2" w:rsidR="00F74658" w:rsidRDefault="008635D2"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my opinion restructuring of the bond debt could not be done only in French proceedings since the company issuing bonds is Dutch company. There is possibility that in case of such attempt, creditors of Dutch company could start enforcement proceedings which could spiral out of hand with holding company in France being the guarantor. </w:t>
      </w:r>
    </w:p>
    <w:p w14:paraId="61925934" w14:textId="4674FADA" w:rsidR="008635D2" w:rsidRDefault="008635D2" w:rsidP="00F74658">
      <w:pPr>
        <w:ind w:left="720" w:hanging="720"/>
        <w:jc w:val="both"/>
        <w:rPr>
          <w:rFonts w:ascii="Arial" w:hAnsi="Arial" w:cs="Arial"/>
          <w:color w:val="7B7B7B" w:themeColor="accent3" w:themeShade="BF"/>
          <w:sz w:val="22"/>
          <w:szCs w:val="22"/>
          <w:lang w:val="en-GB"/>
        </w:rPr>
      </w:pPr>
    </w:p>
    <w:p w14:paraId="10C86AAB" w14:textId="3F197534" w:rsidR="008635D2" w:rsidRDefault="008635D2"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Restructuring debt only in Netherlands can be considered although it is not general counsel’s preference. </w:t>
      </w:r>
      <w:r w:rsidR="004623ED">
        <w:rPr>
          <w:rFonts w:ascii="Arial" w:hAnsi="Arial" w:cs="Arial"/>
          <w:color w:val="7B7B7B" w:themeColor="accent3" w:themeShade="BF"/>
          <w:sz w:val="22"/>
          <w:szCs w:val="22"/>
          <w:lang w:val="en-GB"/>
        </w:rPr>
        <w:t xml:space="preserve">If the plan is confirmed in Netherlands it would need to take into account the guarantee issued by French holding company and creditors would have to accept the restructuring of the conditions also in regards to guarantor. If they would not accept that it would leave the holding company exposed to their </w:t>
      </w:r>
      <w:r w:rsidR="004623ED">
        <w:rPr>
          <w:rFonts w:ascii="Arial" w:hAnsi="Arial" w:cs="Arial"/>
          <w:color w:val="7B7B7B" w:themeColor="accent3" w:themeShade="BF"/>
          <w:sz w:val="22"/>
          <w:szCs w:val="22"/>
          <w:lang w:val="en-GB"/>
        </w:rPr>
        <w:lastRenderedPageBreak/>
        <w:t>enforcement even in case plan is accepted in Netherlands (by voting of possibly “friendly” creditors).</w:t>
      </w:r>
    </w:p>
    <w:p w14:paraId="4EB22342" w14:textId="22FF6CE0" w:rsidR="004623ED" w:rsidRDefault="004623ED" w:rsidP="00F74658">
      <w:pPr>
        <w:ind w:left="720" w:hanging="720"/>
        <w:jc w:val="both"/>
        <w:rPr>
          <w:rFonts w:ascii="Arial" w:hAnsi="Arial" w:cs="Arial"/>
          <w:color w:val="7B7B7B" w:themeColor="accent3" w:themeShade="BF"/>
          <w:sz w:val="22"/>
          <w:szCs w:val="22"/>
          <w:lang w:val="en-GB"/>
        </w:rPr>
      </w:pPr>
    </w:p>
    <w:p w14:paraId="3C00954F" w14:textId="4DDFB540" w:rsidR="004623ED" w:rsidRDefault="004623ED" w:rsidP="00F746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that oppose the restructuring c</w:t>
      </w:r>
      <w:r w:rsidR="00DD33AE">
        <w:rPr>
          <w:rFonts w:ascii="Arial" w:hAnsi="Arial" w:cs="Arial"/>
          <w:color w:val="7B7B7B" w:themeColor="accent3" w:themeShade="BF"/>
          <w:sz w:val="22"/>
          <w:szCs w:val="22"/>
          <w:lang w:val="en-GB"/>
        </w:rPr>
        <w:t xml:space="preserve">ould initiate the bankruptcy proceedings in France and </w:t>
      </w:r>
      <w:r>
        <w:rPr>
          <w:rFonts w:ascii="Arial" w:hAnsi="Arial" w:cs="Arial"/>
          <w:color w:val="7B7B7B" w:themeColor="accent3" w:themeShade="BF"/>
          <w:sz w:val="22"/>
          <w:szCs w:val="22"/>
          <w:lang w:val="en-GB"/>
        </w:rPr>
        <w:t xml:space="preserve">argue </w:t>
      </w:r>
      <w:r w:rsidR="00DD33AE">
        <w:rPr>
          <w:rFonts w:ascii="Arial" w:hAnsi="Arial" w:cs="Arial"/>
          <w:color w:val="7B7B7B" w:themeColor="accent3" w:themeShade="BF"/>
          <w:sz w:val="22"/>
          <w:szCs w:val="22"/>
          <w:lang w:val="en-GB"/>
        </w:rPr>
        <w:t>in</w:t>
      </w:r>
      <w:r>
        <w:rPr>
          <w:rFonts w:ascii="Arial" w:hAnsi="Arial" w:cs="Arial"/>
          <w:color w:val="7B7B7B" w:themeColor="accent3" w:themeShade="BF"/>
          <w:sz w:val="22"/>
          <w:szCs w:val="22"/>
          <w:lang w:val="en-GB"/>
        </w:rPr>
        <w:t xml:space="preserve"> Dutch court </w:t>
      </w:r>
      <w:r w:rsidR="00DD33AE">
        <w:rPr>
          <w:rFonts w:ascii="Arial" w:hAnsi="Arial" w:cs="Arial"/>
          <w:color w:val="7B7B7B" w:themeColor="accent3" w:themeShade="BF"/>
          <w:sz w:val="22"/>
          <w:szCs w:val="22"/>
          <w:lang w:val="en-GB"/>
        </w:rPr>
        <w:t>that Dutch company has in fact it’s COMI in France and that proceedings in Netherlands can only be considered as secondary (territorial) proceedings, but if majority of debt is governed by Dutch law, that would pose a sufficient connection and the proceedings can opened as main proceedings.</w:t>
      </w:r>
    </w:p>
    <w:p w14:paraId="3A09B956" w14:textId="2217E74B" w:rsidR="004623ED" w:rsidRDefault="004623ED" w:rsidP="00F74658">
      <w:pPr>
        <w:ind w:left="720" w:hanging="720"/>
        <w:jc w:val="both"/>
        <w:rPr>
          <w:rFonts w:ascii="Arial" w:hAnsi="Arial" w:cs="Arial"/>
          <w:color w:val="7B7B7B" w:themeColor="accent3" w:themeShade="BF"/>
          <w:sz w:val="22"/>
          <w:szCs w:val="22"/>
          <w:lang w:val="en-GB"/>
        </w:rPr>
      </w:pPr>
    </w:p>
    <w:p w14:paraId="26087DCA" w14:textId="77777777" w:rsidR="0077498C" w:rsidRPr="002A37BB" w:rsidRDefault="0077498C" w:rsidP="00AA190E">
      <w:pPr>
        <w:jc w:val="both"/>
        <w:rPr>
          <w:rFonts w:ascii="Arial" w:hAnsi="Arial" w:cs="Arial"/>
          <w:color w:val="000000" w:themeColor="text1"/>
          <w:sz w:val="22"/>
          <w:szCs w:val="22"/>
          <w:lang w:val="en-GB"/>
        </w:rPr>
      </w:pP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777C8" w14:textId="77777777" w:rsidR="00765E4E" w:rsidRDefault="00765E4E" w:rsidP="00241B44">
      <w:r>
        <w:separator/>
      </w:r>
    </w:p>
  </w:endnote>
  <w:endnote w:type="continuationSeparator" w:id="0">
    <w:p w14:paraId="72AFC6A6" w14:textId="77777777" w:rsidR="00765E4E" w:rsidRDefault="00765E4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2932DB">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1B9E518B"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932DB">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56C7C306" w14:textId="438FC683" w:rsidR="00241FA3" w:rsidRPr="009B4976" w:rsidRDefault="006A40E0" w:rsidP="009B4976">
    <w:pPr>
      <w:pStyle w:val="Footer"/>
      <w:ind w:right="360"/>
      <w:rPr>
        <w:rFonts w:ascii="Arial" w:hAnsi="Arial" w:cs="Arial"/>
        <w:sz w:val="18"/>
        <w:szCs w:val="18"/>
        <w:lang w:val="en-GB"/>
      </w:rPr>
    </w:pPr>
    <w:r w:rsidRPr="006A40E0">
      <w:rPr>
        <w:rFonts w:ascii="Arial" w:hAnsi="Arial" w:cs="Arial"/>
        <w:sz w:val="18"/>
        <w:szCs w:val="18"/>
        <w:lang w:val="en-GB"/>
      </w:rPr>
      <w:t>202021IFU-362</w:t>
    </w:r>
    <w:r w:rsidR="0073158B" w:rsidRPr="009B4976">
      <w:rPr>
        <w:rFonts w:ascii="Arial" w:hAnsi="Arial" w:cs="Arial"/>
        <w:sz w:val="18"/>
        <w:szCs w:val="18"/>
        <w:lang w:val="en-GB"/>
      </w:rPr>
      <w:t>.assessment</w:t>
    </w:r>
    <w:r w:rsidR="00CE5A04">
      <w:rPr>
        <w:rFonts w:ascii="Arial" w:hAnsi="Arial" w:cs="Arial"/>
        <w:sz w:val="18"/>
        <w:szCs w:val="18"/>
        <w:lang w:val="en-GB"/>
      </w:rPr>
      <w:t>6E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D0C4" w14:textId="77777777" w:rsidR="00765E4E" w:rsidRDefault="00765E4E" w:rsidP="00241B44">
      <w:r>
        <w:separator/>
      </w:r>
    </w:p>
  </w:footnote>
  <w:footnote w:type="continuationSeparator" w:id="0">
    <w:p w14:paraId="3D137FA9" w14:textId="77777777" w:rsidR="00765E4E" w:rsidRDefault="00765E4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94EC1"/>
    <w:multiLevelType w:val="hybridMultilevel"/>
    <w:tmpl w:val="3C340C58"/>
    <w:lvl w:ilvl="0" w:tplc="80D04D7E">
      <w:start w:val="1"/>
      <w:numFmt w:val="lowerLetter"/>
      <w:lvlText w:val="(%1)"/>
      <w:lvlJc w:val="left"/>
      <w:pPr>
        <w:ind w:left="720" w:hanging="360"/>
      </w:pPr>
      <w:rPr>
        <w:rFonts w:hint="default"/>
        <w:color w:val="7B7B7B" w:themeColor="accent3" w:themeShade="BF"/>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16949"/>
    <w:multiLevelType w:val="hybridMultilevel"/>
    <w:tmpl w:val="E2E639E0"/>
    <w:lvl w:ilvl="0" w:tplc="2F24C72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117162"/>
    <w:multiLevelType w:val="hybridMultilevel"/>
    <w:tmpl w:val="995CFA9E"/>
    <w:lvl w:ilvl="0" w:tplc="5B9CF8B4">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4"/>
  </w:num>
  <w:num w:numId="2">
    <w:abstractNumId w:val="8"/>
  </w:num>
  <w:num w:numId="3">
    <w:abstractNumId w:val="10"/>
  </w:num>
  <w:num w:numId="4">
    <w:abstractNumId w:val="3"/>
  </w:num>
  <w:num w:numId="5">
    <w:abstractNumId w:val="6"/>
  </w:num>
  <w:num w:numId="6">
    <w:abstractNumId w:val="7"/>
  </w:num>
  <w:num w:numId="7">
    <w:abstractNumId w:val="0"/>
  </w:num>
  <w:num w:numId="8">
    <w:abstractNumId w:val="11"/>
  </w:num>
  <w:num w:numId="9">
    <w:abstractNumId w:val="1"/>
  </w:num>
  <w:num w:numId="10">
    <w:abstractNumId w:val="5"/>
  </w:num>
  <w:num w:numId="11">
    <w:abstractNumId w:val="9"/>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18E2"/>
    <w:rsid w:val="00007BF3"/>
    <w:rsid w:val="00010BA0"/>
    <w:rsid w:val="00020557"/>
    <w:rsid w:val="00021FC2"/>
    <w:rsid w:val="000250C7"/>
    <w:rsid w:val="00026F16"/>
    <w:rsid w:val="00037621"/>
    <w:rsid w:val="000411DD"/>
    <w:rsid w:val="00044D46"/>
    <w:rsid w:val="00045088"/>
    <w:rsid w:val="00045904"/>
    <w:rsid w:val="000502FD"/>
    <w:rsid w:val="00051A17"/>
    <w:rsid w:val="00051BC2"/>
    <w:rsid w:val="00064EA3"/>
    <w:rsid w:val="00065166"/>
    <w:rsid w:val="00082609"/>
    <w:rsid w:val="000847FC"/>
    <w:rsid w:val="000851CC"/>
    <w:rsid w:val="00087F21"/>
    <w:rsid w:val="00093BE8"/>
    <w:rsid w:val="000A2A9C"/>
    <w:rsid w:val="000A407B"/>
    <w:rsid w:val="000A68ED"/>
    <w:rsid w:val="000B5FF1"/>
    <w:rsid w:val="000B609F"/>
    <w:rsid w:val="000D55A8"/>
    <w:rsid w:val="000E336A"/>
    <w:rsid w:val="000E4841"/>
    <w:rsid w:val="000F1677"/>
    <w:rsid w:val="000F1B83"/>
    <w:rsid w:val="000F3D6C"/>
    <w:rsid w:val="00101707"/>
    <w:rsid w:val="00102CC9"/>
    <w:rsid w:val="0010593A"/>
    <w:rsid w:val="0011473D"/>
    <w:rsid w:val="00115C85"/>
    <w:rsid w:val="00116B13"/>
    <w:rsid w:val="00123855"/>
    <w:rsid w:val="001239EA"/>
    <w:rsid w:val="00126A4D"/>
    <w:rsid w:val="0014171F"/>
    <w:rsid w:val="0014622C"/>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85231"/>
    <w:rsid w:val="001966D9"/>
    <w:rsid w:val="001A007A"/>
    <w:rsid w:val="001A15FC"/>
    <w:rsid w:val="001A38E0"/>
    <w:rsid w:val="001A7E9A"/>
    <w:rsid w:val="001B0F70"/>
    <w:rsid w:val="001B5016"/>
    <w:rsid w:val="001C45FC"/>
    <w:rsid w:val="001C76F3"/>
    <w:rsid w:val="001D0469"/>
    <w:rsid w:val="001D29C0"/>
    <w:rsid w:val="001D4862"/>
    <w:rsid w:val="001E18E4"/>
    <w:rsid w:val="001E25B9"/>
    <w:rsid w:val="001E3BFF"/>
    <w:rsid w:val="001E49E0"/>
    <w:rsid w:val="001E7B5A"/>
    <w:rsid w:val="001F0A26"/>
    <w:rsid w:val="001F7412"/>
    <w:rsid w:val="0020090A"/>
    <w:rsid w:val="002013F8"/>
    <w:rsid w:val="002019EC"/>
    <w:rsid w:val="00202DFE"/>
    <w:rsid w:val="0020725B"/>
    <w:rsid w:val="002110F1"/>
    <w:rsid w:val="002356EA"/>
    <w:rsid w:val="0024116D"/>
    <w:rsid w:val="00241B44"/>
    <w:rsid w:val="00241FA3"/>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6BE5"/>
    <w:rsid w:val="00326292"/>
    <w:rsid w:val="00326415"/>
    <w:rsid w:val="00330937"/>
    <w:rsid w:val="00330F31"/>
    <w:rsid w:val="00334648"/>
    <w:rsid w:val="003354D4"/>
    <w:rsid w:val="0033768C"/>
    <w:rsid w:val="00337938"/>
    <w:rsid w:val="00340769"/>
    <w:rsid w:val="00341AA6"/>
    <w:rsid w:val="003445B5"/>
    <w:rsid w:val="00361A0A"/>
    <w:rsid w:val="00364836"/>
    <w:rsid w:val="0036565C"/>
    <w:rsid w:val="0036625E"/>
    <w:rsid w:val="0037465A"/>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D0A6D"/>
    <w:rsid w:val="003E0B16"/>
    <w:rsid w:val="003E3B1E"/>
    <w:rsid w:val="003E67D1"/>
    <w:rsid w:val="003F3B27"/>
    <w:rsid w:val="00404329"/>
    <w:rsid w:val="00404CBA"/>
    <w:rsid w:val="00405DC1"/>
    <w:rsid w:val="00407D69"/>
    <w:rsid w:val="00415F1F"/>
    <w:rsid w:val="0042108F"/>
    <w:rsid w:val="00421A91"/>
    <w:rsid w:val="00430FED"/>
    <w:rsid w:val="00433461"/>
    <w:rsid w:val="00434A8C"/>
    <w:rsid w:val="00437297"/>
    <w:rsid w:val="004407EF"/>
    <w:rsid w:val="00444284"/>
    <w:rsid w:val="00445CE6"/>
    <w:rsid w:val="00452BB1"/>
    <w:rsid w:val="004534C2"/>
    <w:rsid w:val="0045446F"/>
    <w:rsid w:val="0045683E"/>
    <w:rsid w:val="004623ED"/>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E36D3"/>
    <w:rsid w:val="004E3A6B"/>
    <w:rsid w:val="004E622C"/>
    <w:rsid w:val="004F5FDF"/>
    <w:rsid w:val="005059FF"/>
    <w:rsid w:val="005177FE"/>
    <w:rsid w:val="005205DB"/>
    <w:rsid w:val="0052263B"/>
    <w:rsid w:val="00524728"/>
    <w:rsid w:val="005331CA"/>
    <w:rsid w:val="00534AB2"/>
    <w:rsid w:val="005376E2"/>
    <w:rsid w:val="00537970"/>
    <w:rsid w:val="00540E3A"/>
    <w:rsid w:val="00544127"/>
    <w:rsid w:val="005463A9"/>
    <w:rsid w:val="00553EB2"/>
    <w:rsid w:val="00560534"/>
    <w:rsid w:val="005618AD"/>
    <w:rsid w:val="0056391B"/>
    <w:rsid w:val="005650E2"/>
    <w:rsid w:val="00567AD7"/>
    <w:rsid w:val="00574C35"/>
    <w:rsid w:val="00575B2D"/>
    <w:rsid w:val="005833D0"/>
    <w:rsid w:val="005846F3"/>
    <w:rsid w:val="0058622F"/>
    <w:rsid w:val="00586DFF"/>
    <w:rsid w:val="00592F82"/>
    <w:rsid w:val="005A0CCA"/>
    <w:rsid w:val="005A6FF2"/>
    <w:rsid w:val="005A726D"/>
    <w:rsid w:val="005B5156"/>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610388"/>
    <w:rsid w:val="00610AC7"/>
    <w:rsid w:val="00612CA5"/>
    <w:rsid w:val="00614596"/>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7EA1"/>
    <w:rsid w:val="006A2646"/>
    <w:rsid w:val="006A40E0"/>
    <w:rsid w:val="006A6530"/>
    <w:rsid w:val="006B1556"/>
    <w:rsid w:val="006B435A"/>
    <w:rsid w:val="006B4C64"/>
    <w:rsid w:val="006C6C88"/>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40DAD"/>
    <w:rsid w:val="007603F5"/>
    <w:rsid w:val="00764DB0"/>
    <w:rsid w:val="00765E4E"/>
    <w:rsid w:val="0076764D"/>
    <w:rsid w:val="0077498C"/>
    <w:rsid w:val="007809BC"/>
    <w:rsid w:val="00784128"/>
    <w:rsid w:val="00787BCC"/>
    <w:rsid w:val="00793173"/>
    <w:rsid w:val="007A2A33"/>
    <w:rsid w:val="007B5C89"/>
    <w:rsid w:val="007C1FCC"/>
    <w:rsid w:val="007C6201"/>
    <w:rsid w:val="007D0D86"/>
    <w:rsid w:val="007D32BC"/>
    <w:rsid w:val="007D7C92"/>
    <w:rsid w:val="007E1154"/>
    <w:rsid w:val="007E6BA4"/>
    <w:rsid w:val="007F41F8"/>
    <w:rsid w:val="007F659B"/>
    <w:rsid w:val="00802AB1"/>
    <w:rsid w:val="0080454E"/>
    <w:rsid w:val="00804C32"/>
    <w:rsid w:val="00806302"/>
    <w:rsid w:val="00807119"/>
    <w:rsid w:val="0080719F"/>
    <w:rsid w:val="0082483F"/>
    <w:rsid w:val="008279C0"/>
    <w:rsid w:val="00841B96"/>
    <w:rsid w:val="008635D2"/>
    <w:rsid w:val="00864470"/>
    <w:rsid w:val="00867701"/>
    <w:rsid w:val="008723F3"/>
    <w:rsid w:val="00872C08"/>
    <w:rsid w:val="00876F56"/>
    <w:rsid w:val="00881DE6"/>
    <w:rsid w:val="008837A6"/>
    <w:rsid w:val="0089145D"/>
    <w:rsid w:val="008A4DF2"/>
    <w:rsid w:val="008A6CFE"/>
    <w:rsid w:val="008B5333"/>
    <w:rsid w:val="008B6223"/>
    <w:rsid w:val="008C66E0"/>
    <w:rsid w:val="008E3339"/>
    <w:rsid w:val="008F20FC"/>
    <w:rsid w:val="008F5FFE"/>
    <w:rsid w:val="008F691A"/>
    <w:rsid w:val="0090028A"/>
    <w:rsid w:val="00905A43"/>
    <w:rsid w:val="00912C79"/>
    <w:rsid w:val="00921B8C"/>
    <w:rsid w:val="009235C3"/>
    <w:rsid w:val="0093633F"/>
    <w:rsid w:val="00942123"/>
    <w:rsid w:val="0095207B"/>
    <w:rsid w:val="00955C2E"/>
    <w:rsid w:val="009608BB"/>
    <w:rsid w:val="00962045"/>
    <w:rsid w:val="00980E61"/>
    <w:rsid w:val="009815CB"/>
    <w:rsid w:val="009842B2"/>
    <w:rsid w:val="00991428"/>
    <w:rsid w:val="00992676"/>
    <w:rsid w:val="009954B2"/>
    <w:rsid w:val="00996691"/>
    <w:rsid w:val="009A3AB7"/>
    <w:rsid w:val="009A5E2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133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1BD5"/>
    <w:rsid w:val="00A62B04"/>
    <w:rsid w:val="00A6627C"/>
    <w:rsid w:val="00A71019"/>
    <w:rsid w:val="00A81029"/>
    <w:rsid w:val="00A845F5"/>
    <w:rsid w:val="00A96489"/>
    <w:rsid w:val="00AA190E"/>
    <w:rsid w:val="00AB2425"/>
    <w:rsid w:val="00AB685C"/>
    <w:rsid w:val="00AB6C2D"/>
    <w:rsid w:val="00AC08F7"/>
    <w:rsid w:val="00AC3839"/>
    <w:rsid w:val="00AC7082"/>
    <w:rsid w:val="00AD4BE8"/>
    <w:rsid w:val="00AE17B1"/>
    <w:rsid w:val="00AE1C7F"/>
    <w:rsid w:val="00AF228E"/>
    <w:rsid w:val="00B016A8"/>
    <w:rsid w:val="00B14819"/>
    <w:rsid w:val="00B15863"/>
    <w:rsid w:val="00B15E2F"/>
    <w:rsid w:val="00B17AA9"/>
    <w:rsid w:val="00B22DD5"/>
    <w:rsid w:val="00B27767"/>
    <w:rsid w:val="00B3246A"/>
    <w:rsid w:val="00B32981"/>
    <w:rsid w:val="00B431AC"/>
    <w:rsid w:val="00B44713"/>
    <w:rsid w:val="00B50441"/>
    <w:rsid w:val="00B51B95"/>
    <w:rsid w:val="00B56103"/>
    <w:rsid w:val="00B64929"/>
    <w:rsid w:val="00B703A6"/>
    <w:rsid w:val="00B736DF"/>
    <w:rsid w:val="00B743D6"/>
    <w:rsid w:val="00B74FBD"/>
    <w:rsid w:val="00B77F46"/>
    <w:rsid w:val="00B82586"/>
    <w:rsid w:val="00B829A3"/>
    <w:rsid w:val="00B86DB1"/>
    <w:rsid w:val="00B87869"/>
    <w:rsid w:val="00B9106E"/>
    <w:rsid w:val="00B9639B"/>
    <w:rsid w:val="00BA00E7"/>
    <w:rsid w:val="00BA57B2"/>
    <w:rsid w:val="00BB0045"/>
    <w:rsid w:val="00BB0F2B"/>
    <w:rsid w:val="00BC12E5"/>
    <w:rsid w:val="00BD5B81"/>
    <w:rsid w:val="00BE4FF3"/>
    <w:rsid w:val="00BE7D42"/>
    <w:rsid w:val="00BF50F7"/>
    <w:rsid w:val="00C00657"/>
    <w:rsid w:val="00C02F29"/>
    <w:rsid w:val="00C0378A"/>
    <w:rsid w:val="00C12AFA"/>
    <w:rsid w:val="00C17718"/>
    <w:rsid w:val="00C20AFE"/>
    <w:rsid w:val="00C22A25"/>
    <w:rsid w:val="00C35671"/>
    <w:rsid w:val="00C35B77"/>
    <w:rsid w:val="00C376EB"/>
    <w:rsid w:val="00C46A92"/>
    <w:rsid w:val="00C46EC1"/>
    <w:rsid w:val="00C5240A"/>
    <w:rsid w:val="00C52796"/>
    <w:rsid w:val="00C53E2C"/>
    <w:rsid w:val="00C550C8"/>
    <w:rsid w:val="00C55824"/>
    <w:rsid w:val="00C56B61"/>
    <w:rsid w:val="00C5799E"/>
    <w:rsid w:val="00C606C3"/>
    <w:rsid w:val="00C620F4"/>
    <w:rsid w:val="00C71A4A"/>
    <w:rsid w:val="00C72848"/>
    <w:rsid w:val="00C7736C"/>
    <w:rsid w:val="00C81196"/>
    <w:rsid w:val="00C82D87"/>
    <w:rsid w:val="00C8712A"/>
    <w:rsid w:val="00C902C8"/>
    <w:rsid w:val="00C919D1"/>
    <w:rsid w:val="00C963D3"/>
    <w:rsid w:val="00CB1983"/>
    <w:rsid w:val="00CB2CBB"/>
    <w:rsid w:val="00CB7CAC"/>
    <w:rsid w:val="00CC334D"/>
    <w:rsid w:val="00CC5335"/>
    <w:rsid w:val="00CC5BA4"/>
    <w:rsid w:val="00CD4998"/>
    <w:rsid w:val="00CE1035"/>
    <w:rsid w:val="00CE3C5B"/>
    <w:rsid w:val="00CE5A04"/>
    <w:rsid w:val="00CE5B92"/>
    <w:rsid w:val="00CE6E50"/>
    <w:rsid w:val="00CF2819"/>
    <w:rsid w:val="00CF4F9D"/>
    <w:rsid w:val="00CF70DC"/>
    <w:rsid w:val="00D073CA"/>
    <w:rsid w:val="00D148DC"/>
    <w:rsid w:val="00D17FDC"/>
    <w:rsid w:val="00D21D8C"/>
    <w:rsid w:val="00D53719"/>
    <w:rsid w:val="00D63EFD"/>
    <w:rsid w:val="00D6485D"/>
    <w:rsid w:val="00D658ED"/>
    <w:rsid w:val="00D72E41"/>
    <w:rsid w:val="00D74D0C"/>
    <w:rsid w:val="00D8186A"/>
    <w:rsid w:val="00D84752"/>
    <w:rsid w:val="00D86B3B"/>
    <w:rsid w:val="00D8748A"/>
    <w:rsid w:val="00D93196"/>
    <w:rsid w:val="00DA0DC0"/>
    <w:rsid w:val="00DA1A3B"/>
    <w:rsid w:val="00DA4E5B"/>
    <w:rsid w:val="00DA56BE"/>
    <w:rsid w:val="00DB243C"/>
    <w:rsid w:val="00DB482A"/>
    <w:rsid w:val="00DB50FB"/>
    <w:rsid w:val="00DB56F2"/>
    <w:rsid w:val="00DB6EF5"/>
    <w:rsid w:val="00DB712E"/>
    <w:rsid w:val="00DB7879"/>
    <w:rsid w:val="00DC3089"/>
    <w:rsid w:val="00DC4420"/>
    <w:rsid w:val="00DD0136"/>
    <w:rsid w:val="00DD0802"/>
    <w:rsid w:val="00DD2E11"/>
    <w:rsid w:val="00DD33AE"/>
    <w:rsid w:val="00DE03AF"/>
    <w:rsid w:val="00DE121C"/>
    <w:rsid w:val="00DE2020"/>
    <w:rsid w:val="00DE6633"/>
    <w:rsid w:val="00DF3603"/>
    <w:rsid w:val="00DF75F8"/>
    <w:rsid w:val="00DF7A3A"/>
    <w:rsid w:val="00E00C00"/>
    <w:rsid w:val="00E07C5A"/>
    <w:rsid w:val="00E12BEB"/>
    <w:rsid w:val="00E13766"/>
    <w:rsid w:val="00E15BA9"/>
    <w:rsid w:val="00E209FC"/>
    <w:rsid w:val="00E26E19"/>
    <w:rsid w:val="00E309AF"/>
    <w:rsid w:val="00E31DF3"/>
    <w:rsid w:val="00E450A4"/>
    <w:rsid w:val="00E506BE"/>
    <w:rsid w:val="00E55547"/>
    <w:rsid w:val="00E6302B"/>
    <w:rsid w:val="00E6452F"/>
    <w:rsid w:val="00E64F45"/>
    <w:rsid w:val="00E6622B"/>
    <w:rsid w:val="00E6742D"/>
    <w:rsid w:val="00E71CB0"/>
    <w:rsid w:val="00E77C3D"/>
    <w:rsid w:val="00E90991"/>
    <w:rsid w:val="00E909F0"/>
    <w:rsid w:val="00E90D47"/>
    <w:rsid w:val="00E93993"/>
    <w:rsid w:val="00E9597C"/>
    <w:rsid w:val="00EA0913"/>
    <w:rsid w:val="00EA256D"/>
    <w:rsid w:val="00EA5418"/>
    <w:rsid w:val="00EA5B00"/>
    <w:rsid w:val="00EA710F"/>
    <w:rsid w:val="00EB146B"/>
    <w:rsid w:val="00EB45AC"/>
    <w:rsid w:val="00EC441F"/>
    <w:rsid w:val="00EC4755"/>
    <w:rsid w:val="00ED0BC4"/>
    <w:rsid w:val="00ED447D"/>
    <w:rsid w:val="00EE4971"/>
    <w:rsid w:val="00EE6CB0"/>
    <w:rsid w:val="00EF090E"/>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E5E"/>
    <w:rsid w:val="00F423C9"/>
    <w:rsid w:val="00F51DE5"/>
    <w:rsid w:val="00F5524B"/>
    <w:rsid w:val="00F60538"/>
    <w:rsid w:val="00F61DD2"/>
    <w:rsid w:val="00F66AFF"/>
    <w:rsid w:val="00F71433"/>
    <w:rsid w:val="00F71B96"/>
    <w:rsid w:val="00F74658"/>
    <w:rsid w:val="00F818A2"/>
    <w:rsid w:val="00F86676"/>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3192</Words>
  <Characters>18196</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Hengst</dc:creator>
  <cp:lastModifiedBy>David Burdette</cp:lastModifiedBy>
  <cp:revision>2</cp:revision>
  <cp:lastPrinted>2019-08-27T05:42:00Z</cp:lastPrinted>
  <dcterms:created xsi:type="dcterms:W3CDTF">2021-06-17T08:06:00Z</dcterms:created>
  <dcterms:modified xsi:type="dcterms:W3CDTF">2021-06-17T08:06:00Z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