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C472F2" w:rsidRDefault="002B2F9F" w:rsidP="00BE65AA">
      <w:pPr>
        <w:pStyle w:val="ListParagraph"/>
        <w:numPr>
          <w:ilvl w:val="0"/>
          <w:numId w:val="4"/>
        </w:numPr>
        <w:ind w:left="426"/>
        <w:jc w:val="both"/>
        <w:rPr>
          <w:rFonts w:ascii="Arial" w:hAnsi="Arial" w:cs="Arial"/>
          <w:sz w:val="22"/>
          <w:szCs w:val="22"/>
          <w:highlight w:val="yellow"/>
          <w:lang w:val="en-GB"/>
        </w:rPr>
      </w:pPr>
      <w:r w:rsidRPr="00C472F2">
        <w:rPr>
          <w:rFonts w:ascii="Arial" w:hAnsi="Arial" w:cs="Arial"/>
          <w:sz w:val="22"/>
          <w:szCs w:val="22"/>
          <w:highlight w:val="yellow"/>
          <w:lang w:val="en-GB"/>
        </w:rPr>
        <w:t>Adoption of the UNCITRAL Model Law on Cross-Border Insolvency</w:t>
      </w:r>
      <w:r w:rsidR="00E95C42" w:rsidRPr="00C472F2">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 xml:space="preserve">nhance Singapore’s insolvency and restructuring </w:t>
      </w:r>
      <w:proofErr w:type="gramStart"/>
      <w:r w:rsidR="002B2F9F" w:rsidRPr="00851178">
        <w:rPr>
          <w:rFonts w:ascii="Arial" w:hAnsi="Arial" w:cs="Arial"/>
          <w:sz w:val="22"/>
          <w:szCs w:val="22"/>
          <w:lang w:val="en-GB"/>
        </w:rPr>
        <w:t>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C472F2" w:rsidRDefault="0007291B" w:rsidP="00BE65AA">
      <w:pPr>
        <w:pStyle w:val="ListParagraph"/>
        <w:numPr>
          <w:ilvl w:val="0"/>
          <w:numId w:val="5"/>
        </w:numPr>
        <w:ind w:left="426"/>
        <w:jc w:val="both"/>
        <w:rPr>
          <w:rFonts w:ascii="Arial" w:hAnsi="Arial" w:cs="Arial"/>
          <w:sz w:val="22"/>
          <w:szCs w:val="22"/>
          <w:highlight w:val="yellow"/>
          <w:lang w:val="en-GB"/>
        </w:rPr>
      </w:pPr>
      <w:r w:rsidRPr="00C472F2">
        <w:rPr>
          <w:rFonts w:ascii="Arial" w:hAnsi="Arial" w:cs="Arial"/>
          <w:sz w:val="22"/>
          <w:szCs w:val="22"/>
          <w:highlight w:val="yellow"/>
          <w:lang w:val="en-GB"/>
        </w:rPr>
        <w:t>A</w:t>
      </w:r>
      <w:r w:rsidR="001A4484" w:rsidRPr="00C472F2">
        <w:rPr>
          <w:rFonts w:ascii="Arial" w:hAnsi="Arial" w:cs="Arial"/>
          <w:sz w:val="22"/>
          <w:szCs w:val="22"/>
          <w:highlight w:val="yellow"/>
          <w:lang w:val="en-GB"/>
        </w:rPr>
        <w:t>ny of the above</w:t>
      </w:r>
      <w:r w:rsidRPr="00C472F2">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472F2" w:rsidRDefault="00FC32B6" w:rsidP="00BE65AA">
      <w:pPr>
        <w:pStyle w:val="ListParagraph"/>
        <w:numPr>
          <w:ilvl w:val="0"/>
          <w:numId w:val="6"/>
        </w:numPr>
        <w:ind w:left="426"/>
        <w:jc w:val="both"/>
        <w:rPr>
          <w:rFonts w:ascii="Arial" w:hAnsi="Arial" w:cs="Arial"/>
          <w:sz w:val="22"/>
          <w:szCs w:val="22"/>
          <w:highlight w:val="yellow"/>
          <w:lang w:val="en-GB"/>
        </w:rPr>
      </w:pPr>
      <w:r w:rsidRPr="00C472F2">
        <w:rPr>
          <w:rFonts w:ascii="Arial" w:hAnsi="Arial" w:cs="Arial"/>
          <w:sz w:val="22"/>
          <w:szCs w:val="22"/>
          <w:highlight w:val="yellow"/>
          <w:lang w:val="en-GB"/>
        </w:rPr>
        <w:t>Any of the above</w:t>
      </w:r>
      <w:r w:rsidR="00EA6F96" w:rsidRPr="00C472F2">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0D2F43" w:rsidRDefault="0007291B" w:rsidP="00BE65AA">
      <w:pPr>
        <w:pStyle w:val="ListParagraph"/>
        <w:numPr>
          <w:ilvl w:val="0"/>
          <w:numId w:val="7"/>
        </w:numPr>
        <w:ind w:left="426"/>
        <w:jc w:val="both"/>
        <w:rPr>
          <w:rFonts w:ascii="Arial" w:hAnsi="Arial" w:cs="Arial"/>
          <w:sz w:val="22"/>
          <w:szCs w:val="22"/>
          <w:highlight w:val="yellow"/>
          <w:lang w:val="en-GB"/>
        </w:rPr>
      </w:pPr>
      <w:r w:rsidRPr="000D2F43">
        <w:rPr>
          <w:rFonts w:ascii="Arial" w:hAnsi="Arial" w:cs="Arial"/>
          <w:sz w:val="22"/>
          <w:szCs w:val="22"/>
          <w:highlight w:val="yellow"/>
          <w:lang w:val="en-GB"/>
        </w:rPr>
        <w:t xml:space="preserve">Over 50% in </w:t>
      </w:r>
      <w:r w:rsidR="00416B96" w:rsidRPr="000D2F43">
        <w:rPr>
          <w:rFonts w:ascii="Arial" w:hAnsi="Arial" w:cs="Arial"/>
          <w:sz w:val="22"/>
          <w:szCs w:val="22"/>
          <w:highlight w:val="yellow"/>
          <w:lang w:val="en-GB"/>
        </w:rPr>
        <w:t>number</w:t>
      </w:r>
      <w:r w:rsidR="00F50041" w:rsidRPr="000D2F43">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0864AD" w:rsidRDefault="00C041E8" w:rsidP="00BE65AA">
      <w:pPr>
        <w:pStyle w:val="ListParagraph"/>
        <w:numPr>
          <w:ilvl w:val="0"/>
          <w:numId w:val="8"/>
        </w:numPr>
        <w:ind w:left="426"/>
        <w:jc w:val="both"/>
        <w:rPr>
          <w:rFonts w:ascii="Arial" w:hAnsi="Arial" w:cs="Arial"/>
          <w:sz w:val="22"/>
          <w:szCs w:val="22"/>
          <w:highlight w:val="yellow"/>
          <w:lang w:val="en-GB"/>
        </w:rPr>
      </w:pPr>
      <w:r w:rsidRPr="000864AD">
        <w:rPr>
          <w:rFonts w:ascii="Arial" w:hAnsi="Arial" w:cs="Arial"/>
          <w:sz w:val="22"/>
          <w:szCs w:val="22"/>
          <w:highlight w:val="yellow"/>
          <w:lang w:val="en-GB"/>
        </w:rPr>
        <w:t>The automatic moratorium can be obtained without filing an application to Court</w:t>
      </w:r>
      <w:r w:rsidR="003E22E2" w:rsidRPr="000864AD">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6F7EEE" w:rsidRDefault="00A92054" w:rsidP="00BE65AA">
      <w:pPr>
        <w:pStyle w:val="ListParagraph"/>
        <w:numPr>
          <w:ilvl w:val="0"/>
          <w:numId w:val="9"/>
        </w:numPr>
        <w:ind w:left="426"/>
        <w:jc w:val="both"/>
        <w:rPr>
          <w:rFonts w:ascii="Arial" w:hAnsi="Arial" w:cs="Arial"/>
          <w:sz w:val="22"/>
          <w:szCs w:val="22"/>
          <w:highlight w:val="yellow"/>
          <w:lang w:val="en-GB"/>
        </w:rPr>
      </w:pPr>
      <w:r w:rsidRPr="006F7EEE">
        <w:rPr>
          <w:rFonts w:ascii="Arial" w:hAnsi="Arial" w:cs="Arial"/>
          <w:sz w:val="22"/>
          <w:szCs w:val="22"/>
          <w:highlight w:val="yellow"/>
          <w:lang w:val="en-GB"/>
        </w:rPr>
        <w:t>A receiver is appointed over the assets of the company</w:t>
      </w:r>
      <w:r w:rsidR="00B50EA0" w:rsidRPr="006F7EEE">
        <w:rPr>
          <w:rFonts w:ascii="Arial" w:hAnsi="Arial" w:cs="Arial"/>
          <w:sz w:val="22"/>
          <w:szCs w:val="22"/>
          <w:highlight w:val="yellow"/>
          <w:lang w:val="en-GB"/>
        </w:rPr>
        <w:t>.</w:t>
      </w:r>
    </w:p>
    <w:p w14:paraId="0D390B77" w14:textId="3AA988A4" w:rsidR="00B50EA0" w:rsidRPr="00B50EA0" w:rsidRDefault="006F7EEE" w:rsidP="006F7EEE">
      <w:pPr>
        <w:tabs>
          <w:tab w:val="left" w:pos="3100"/>
        </w:tabs>
        <w:jc w:val="both"/>
        <w:rPr>
          <w:rFonts w:ascii="Arial" w:hAnsi="Arial" w:cs="Arial"/>
          <w:sz w:val="22"/>
          <w:szCs w:val="22"/>
          <w:lang w:val="en-GB"/>
        </w:rPr>
      </w:pPr>
      <w:r>
        <w:rPr>
          <w:rFonts w:ascii="Arial" w:hAnsi="Arial" w:cs="Arial"/>
          <w:sz w:val="22"/>
          <w:szCs w:val="22"/>
          <w:lang w:val="en-GB"/>
        </w:rPr>
        <w:tab/>
      </w: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E07FC4" w:rsidRDefault="0007291B" w:rsidP="00BE65AA">
      <w:pPr>
        <w:pStyle w:val="ListParagraph"/>
        <w:numPr>
          <w:ilvl w:val="0"/>
          <w:numId w:val="10"/>
        </w:numPr>
        <w:ind w:left="426"/>
        <w:jc w:val="both"/>
        <w:rPr>
          <w:rFonts w:ascii="Arial" w:hAnsi="Arial" w:cs="Arial"/>
          <w:sz w:val="22"/>
          <w:szCs w:val="22"/>
          <w:highlight w:val="yellow"/>
          <w:lang w:val="en-GB"/>
        </w:rPr>
      </w:pPr>
      <w:r w:rsidRPr="00E07FC4">
        <w:rPr>
          <w:rFonts w:ascii="Arial" w:hAnsi="Arial" w:cs="Arial"/>
          <w:sz w:val="22"/>
          <w:szCs w:val="22"/>
          <w:highlight w:val="yellow"/>
          <w:lang w:val="en-GB"/>
        </w:rPr>
        <w:t>P</w:t>
      </w:r>
      <w:r w:rsidR="001A4484" w:rsidRPr="00E07FC4">
        <w:rPr>
          <w:rFonts w:ascii="Arial" w:hAnsi="Arial" w:cs="Arial"/>
          <w:sz w:val="22"/>
          <w:szCs w:val="22"/>
          <w:highlight w:val="yellow"/>
          <w:lang w:val="en-GB"/>
        </w:rPr>
        <w:t>reserving all or part of the company</w:t>
      </w:r>
      <w:r w:rsidR="004D7749" w:rsidRPr="00E07FC4">
        <w:rPr>
          <w:rFonts w:ascii="Arial" w:hAnsi="Arial" w:cs="Arial"/>
          <w:sz w:val="22"/>
          <w:szCs w:val="22"/>
          <w:highlight w:val="yellow"/>
          <w:lang w:val="en-GB"/>
        </w:rPr>
        <w:t>’</w:t>
      </w:r>
      <w:r w:rsidR="001A4484" w:rsidRPr="00E07FC4">
        <w:rPr>
          <w:rFonts w:ascii="Arial" w:hAnsi="Arial" w:cs="Arial"/>
          <w:sz w:val="22"/>
          <w:szCs w:val="22"/>
          <w:highlight w:val="yellow"/>
          <w:lang w:val="en-GB"/>
        </w:rPr>
        <w:t>s business as a going concern</w:t>
      </w:r>
      <w:r w:rsidRPr="00E07FC4">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bookmarkStart w:id="0" w:name="_GoBack"/>
      <w:bookmarkEnd w:id="0"/>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E07FC4" w:rsidRDefault="0007291B" w:rsidP="00BE65AA">
      <w:pPr>
        <w:pStyle w:val="ListParagraph"/>
        <w:numPr>
          <w:ilvl w:val="0"/>
          <w:numId w:val="10"/>
        </w:numPr>
        <w:ind w:left="426"/>
        <w:jc w:val="both"/>
        <w:rPr>
          <w:rFonts w:ascii="Arial" w:hAnsi="Arial" w:cs="Arial"/>
          <w:sz w:val="22"/>
          <w:szCs w:val="22"/>
          <w:lang w:val="en-GB"/>
        </w:rPr>
      </w:pPr>
      <w:r w:rsidRPr="00E07FC4">
        <w:rPr>
          <w:rFonts w:ascii="Arial" w:hAnsi="Arial" w:cs="Arial"/>
          <w:sz w:val="22"/>
          <w:szCs w:val="22"/>
          <w:lang w:val="en-GB"/>
        </w:rPr>
        <w:t>T</w:t>
      </w:r>
      <w:r w:rsidR="009E2A56" w:rsidRPr="00E07FC4">
        <w:rPr>
          <w:rFonts w:ascii="Arial" w:hAnsi="Arial" w:cs="Arial"/>
          <w:sz w:val="22"/>
          <w:szCs w:val="22"/>
          <w:lang w:val="en-GB"/>
        </w:rPr>
        <w:t>o liquidate the company in a fast</w:t>
      </w:r>
      <w:r w:rsidR="003541EB" w:rsidRPr="00E07FC4">
        <w:rPr>
          <w:rFonts w:ascii="Arial" w:hAnsi="Arial" w:cs="Arial"/>
          <w:sz w:val="22"/>
          <w:szCs w:val="22"/>
          <w:lang w:val="en-GB"/>
        </w:rPr>
        <w:t>-</w:t>
      </w:r>
      <w:r w:rsidR="009E2A56" w:rsidRPr="00E07FC4">
        <w:rPr>
          <w:rFonts w:ascii="Arial" w:hAnsi="Arial" w:cs="Arial"/>
          <w:sz w:val="22"/>
          <w:szCs w:val="22"/>
          <w:lang w:val="en-GB"/>
        </w:rPr>
        <w:t>track and cost-efficient manner</w:t>
      </w:r>
      <w:r w:rsidR="003541EB" w:rsidRPr="00E07FC4">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proofErr w:type="gramStart"/>
      <w:r w:rsidR="000C2AB6">
        <w:rPr>
          <w:rFonts w:ascii="Arial" w:hAnsi="Arial" w:cs="Arial"/>
          <w:sz w:val="22"/>
          <w:szCs w:val="22"/>
          <w:lang w:val="en-GB"/>
        </w:rPr>
        <w:t>?</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C472F2" w:rsidRDefault="006F2457" w:rsidP="00BE65AA">
      <w:pPr>
        <w:pStyle w:val="ListParagraph"/>
        <w:numPr>
          <w:ilvl w:val="0"/>
          <w:numId w:val="11"/>
        </w:numPr>
        <w:ind w:left="426"/>
        <w:jc w:val="both"/>
        <w:rPr>
          <w:rFonts w:ascii="Arial" w:hAnsi="Arial" w:cs="Arial"/>
          <w:sz w:val="22"/>
          <w:szCs w:val="22"/>
          <w:highlight w:val="yellow"/>
          <w:lang w:val="en-GB"/>
        </w:rPr>
      </w:pPr>
      <w:r w:rsidRPr="00C472F2">
        <w:rPr>
          <w:rFonts w:ascii="Arial" w:hAnsi="Arial" w:cs="Arial"/>
          <w:sz w:val="22"/>
          <w:szCs w:val="22"/>
          <w:highlight w:val="yellow"/>
          <w:lang w:val="en-GB"/>
        </w:rPr>
        <w:t>Receivership</w:t>
      </w:r>
      <w:r w:rsidR="000C2AB6" w:rsidRPr="00C472F2">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C472F2" w:rsidRDefault="00C041E8" w:rsidP="00BE65AA">
      <w:pPr>
        <w:pStyle w:val="ListParagraph"/>
        <w:numPr>
          <w:ilvl w:val="0"/>
          <w:numId w:val="12"/>
        </w:numPr>
        <w:ind w:left="426"/>
        <w:jc w:val="both"/>
        <w:rPr>
          <w:rFonts w:ascii="Arial" w:hAnsi="Arial" w:cs="Arial"/>
          <w:sz w:val="22"/>
          <w:szCs w:val="22"/>
          <w:highlight w:val="yellow"/>
          <w:lang w:val="en-GB"/>
        </w:rPr>
      </w:pPr>
      <w:r w:rsidRPr="00C472F2">
        <w:rPr>
          <w:rFonts w:ascii="Arial" w:hAnsi="Arial" w:cs="Arial"/>
          <w:sz w:val="22"/>
          <w:szCs w:val="22"/>
          <w:highlight w:val="yellow"/>
          <w:lang w:val="en-GB"/>
        </w:rPr>
        <w:t>Brunei</w:t>
      </w:r>
      <w:r w:rsidR="00361BAA" w:rsidRPr="00C472F2">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C472F2" w:rsidRDefault="0007291B" w:rsidP="00BE65AA">
      <w:pPr>
        <w:pStyle w:val="ListParagraph"/>
        <w:numPr>
          <w:ilvl w:val="0"/>
          <w:numId w:val="13"/>
        </w:numPr>
        <w:ind w:left="426"/>
        <w:jc w:val="both"/>
        <w:rPr>
          <w:rFonts w:ascii="Arial" w:hAnsi="Arial" w:cs="Arial"/>
          <w:sz w:val="22"/>
          <w:szCs w:val="22"/>
          <w:highlight w:val="yellow"/>
          <w:lang w:val="en-GB"/>
        </w:rPr>
      </w:pPr>
      <w:r w:rsidRPr="00C472F2">
        <w:rPr>
          <w:rFonts w:ascii="Arial" w:hAnsi="Arial" w:cs="Arial"/>
          <w:sz w:val="22"/>
          <w:szCs w:val="22"/>
          <w:highlight w:val="yellow"/>
          <w:lang w:val="en-GB"/>
        </w:rPr>
        <w:t xml:space="preserve">The Court held that the omission of the word </w:t>
      </w:r>
      <w:r w:rsidR="004D7749" w:rsidRPr="00C472F2">
        <w:rPr>
          <w:rFonts w:ascii="Arial" w:hAnsi="Arial" w:cs="Arial"/>
          <w:sz w:val="22"/>
          <w:szCs w:val="22"/>
          <w:highlight w:val="yellow"/>
          <w:lang w:val="en-GB"/>
        </w:rPr>
        <w:t>“</w:t>
      </w:r>
      <w:r w:rsidRPr="00C472F2">
        <w:rPr>
          <w:rFonts w:ascii="Arial" w:hAnsi="Arial" w:cs="Arial"/>
          <w:sz w:val="22"/>
          <w:szCs w:val="22"/>
          <w:highlight w:val="yellow"/>
          <w:lang w:val="en-GB"/>
        </w:rPr>
        <w:t>manifestly</w:t>
      </w:r>
      <w:r w:rsidR="004D7749" w:rsidRPr="00C472F2">
        <w:rPr>
          <w:rFonts w:ascii="Arial" w:hAnsi="Arial" w:cs="Arial"/>
          <w:sz w:val="22"/>
          <w:szCs w:val="22"/>
          <w:highlight w:val="yellow"/>
          <w:lang w:val="en-GB"/>
        </w:rPr>
        <w:t>”</w:t>
      </w:r>
      <w:r w:rsidRPr="00C472F2">
        <w:rPr>
          <w:rFonts w:ascii="Arial" w:hAnsi="Arial" w:cs="Arial"/>
          <w:sz w:val="22"/>
          <w:szCs w:val="22"/>
          <w:highlight w:val="yellow"/>
          <w:lang w:val="en-GB"/>
        </w:rPr>
        <w:t xml:space="preserve"> from Article 6 of the Singapore Model Law meant that the standard of exclusion on public policy grounds was </w:t>
      </w:r>
      <w:r w:rsidR="00416B96" w:rsidRPr="00C472F2">
        <w:rPr>
          <w:rFonts w:ascii="Arial" w:hAnsi="Arial" w:cs="Arial"/>
          <w:sz w:val="22"/>
          <w:szCs w:val="22"/>
          <w:highlight w:val="yellow"/>
          <w:lang w:val="en-GB"/>
        </w:rPr>
        <w:t>higher</w:t>
      </w:r>
      <w:r w:rsidRPr="00C472F2">
        <w:rPr>
          <w:rFonts w:ascii="Arial" w:hAnsi="Arial" w:cs="Arial"/>
          <w:sz w:val="22"/>
          <w:szCs w:val="22"/>
          <w:highlight w:val="yellow"/>
          <w:lang w:val="en-GB"/>
        </w:rPr>
        <w:t xml:space="preserve"> than in jurisdictions where the Model Law had been enacted unmodified</w:t>
      </w:r>
      <w:r w:rsidR="00726B93" w:rsidRPr="00C472F2">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143C6921" w:rsidR="009B07AD" w:rsidRPr="009B3859" w:rsidRDefault="009B3859" w:rsidP="002A37BB">
      <w:pPr>
        <w:ind w:left="720" w:hanging="720"/>
        <w:jc w:val="both"/>
        <w:rPr>
          <w:rFonts w:ascii="Arial" w:hAnsi="Arial" w:cs="Arial"/>
          <w:b/>
          <w:sz w:val="22"/>
          <w:szCs w:val="22"/>
          <w:lang w:val="en-GB"/>
        </w:rPr>
      </w:pPr>
      <w:r w:rsidRPr="009B3859">
        <w:rPr>
          <w:rFonts w:ascii="Arial" w:hAnsi="Arial" w:cs="Arial"/>
          <w:b/>
          <w:sz w:val="22"/>
          <w:szCs w:val="22"/>
          <w:lang w:val="en-GB"/>
        </w:rPr>
        <w:t>ANSWER</w:t>
      </w:r>
    </w:p>
    <w:p w14:paraId="3E798936" w14:textId="77777777" w:rsidR="00DE03AF" w:rsidRDefault="00DE03AF" w:rsidP="002A37BB">
      <w:pPr>
        <w:jc w:val="both"/>
        <w:rPr>
          <w:rFonts w:ascii="Arial" w:hAnsi="Arial" w:cs="Arial"/>
          <w:sz w:val="22"/>
          <w:szCs w:val="22"/>
        </w:rPr>
      </w:pPr>
    </w:p>
    <w:p w14:paraId="20B2C178" w14:textId="77777777" w:rsidR="00E462B9" w:rsidRDefault="00FE5D72" w:rsidP="002A37BB">
      <w:pPr>
        <w:jc w:val="both"/>
        <w:rPr>
          <w:rFonts w:ascii="Arial" w:hAnsi="Arial" w:cs="Arial"/>
          <w:sz w:val="22"/>
          <w:szCs w:val="22"/>
        </w:rPr>
      </w:pPr>
      <w:r>
        <w:rPr>
          <w:rFonts w:ascii="Arial" w:hAnsi="Arial" w:cs="Arial"/>
          <w:sz w:val="22"/>
          <w:szCs w:val="22"/>
        </w:rPr>
        <w:t>U/s 225 of the IRDA (Unfair Preferences), o</w:t>
      </w:r>
      <w:r w:rsidR="009B3859">
        <w:rPr>
          <w:rFonts w:ascii="Arial" w:hAnsi="Arial" w:cs="Arial"/>
          <w:sz w:val="22"/>
          <w:szCs w:val="22"/>
        </w:rPr>
        <w:t xml:space="preserve">n application of the </w:t>
      </w:r>
      <w:r>
        <w:rPr>
          <w:rFonts w:ascii="Arial" w:hAnsi="Arial" w:cs="Arial"/>
          <w:sz w:val="22"/>
          <w:szCs w:val="22"/>
        </w:rPr>
        <w:t xml:space="preserve">judicial manager or </w:t>
      </w:r>
      <w:r w:rsidR="009B3859">
        <w:rPr>
          <w:rFonts w:ascii="Arial" w:hAnsi="Arial" w:cs="Arial"/>
          <w:sz w:val="22"/>
          <w:szCs w:val="22"/>
        </w:rPr>
        <w:t>liq</w:t>
      </w:r>
      <w:r w:rsidR="00CF0E5C">
        <w:rPr>
          <w:rFonts w:ascii="Arial" w:hAnsi="Arial" w:cs="Arial"/>
          <w:sz w:val="22"/>
          <w:szCs w:val="22"/>
        </w:rPr>
        <w:t>uidator, the court may</w:t>
      </w:r>
      <w:r w:rsidR="009B3859">
        <w:rPr>
          <w:rFonts w:ascii="Arial" w:hAnsi="Arial" w:cs="Arial"/>
          <w:sz w:val="22"/>
          <w:szCs w:val="22"/>
        </w:rPr>
        <w:t xml:space="preserve"> order claw back of unfair </w:t>
      </w:r>
      <w:r w:rsidR="00470030">
        <w:rPr>
          <w:rFonts w:ascii="Arial" w:hAnsi="Arial" w:cs="Arial"/>
          <w:sz w:val="22"/>
          <w:szCs w:val="22"/>
        </w:rPr>
        <w:t xml:space="preserve">preferential transactions to restore the position of the company as if </w:t>
      </w:r>
      <w:r w:rsidR="005902FB">
        <w:rPr>
          <w:rFonts w:ascii="Arial" w:hAnsi="Arial" w:cs="Arial"/>
          <w:sz w:val="22"/>
          <w:szCs w:val="22"/>
        </w:rPr>
        <w:t xml:space="preserve">that </w:t>
      </w:r>
      <w:r w:rsidR="00470030">
        <w:rPr>
          <w:rFonts w:ascii="Arial" w:hAnsi="Arial" w:cs="Arial"/>
          <w:sz w:val="22"/>
          <w:szCs w:val="22"/>
        </w:rPr>
        <w:t xml:space="preserve">unfair preference had not </w:t>
      </w:r>
      <w:r>
        <w:rPr>
          <w:rFonts w:ascii="Arial" w:hAnsi="Arial" w:cs="Arial"/>
          <w:sz w:val="22"/>
          <w:szCs w:val="22"/>
        </w:rPr>
        <w:t xml:space="preserve">been </w:t>
      </w:r>
      <w:r w:rsidR="00470030">
        <w:rPr>
          <w:rFonts w:ascii="Arial" w:hAnsi="Arial" w:cs="Arial"/>
          <w:sz w:val="22"/>
          <w:szCs w:val="22"/>
        </w:rPr>
        <w:t xml:space="preserve">granted by the company. </w:t>
      </w:r>
    </w:p>
    <w:p w14:paraId="6B3DFDB5" w14:textId="2A473AB5" w:rsidR="009B3859" w:rsidRDefault="00470030" w:rsidP="002A37BB">
      <w:pPr>
        <w:jc w:val="both"/>
        <w:rPr>
          <w:rFonts w:ascii="Arial" w:hAnsi="Arial" w:cs="Arial"/>
          <w:sz w:val="22"/>
          <w:szCs w:val="22"/>
        </w:rPr>
      </w:pPr>
      <w:r>
        <w:rPr>
          <w:rFonts w:ascii="Arial" w:hAnsi="Arial" w:cs="Arial"/>
          <w:sz w:val="22"/>
          <w:szCs w:val="22"/>
        </w:rPr>
        <w:lastRenderedPageBreak/>
        <w:t xml:space="preserve">In order to </w:t>
      </w:r>
      <w:r w:rsidR="0049316E">
        <w:rPr>
          <w:rFonts w:ascii="Arial" w:hAnsi="Arial" w:cs="Arial"/>
          <w:sz w:val="22"/>
          <w:szCs w:val="22"/>
        </w:rPr>
        <w:t xml:space="preserve">successfully </w:t>
      </w:r>
      <w:r>
        <w:rPr>
          <w:rFonts w:ascii="Arial" w:hAnsi="Arial" w:cs="Arial"/>
          <w:sz w:val="22"/>
          <w:szCs w:val="22"/>
        </w:rPr>
        <w:t xml:space="preserve">void fraudulent preference, the </w:t>
      </w:r>
      <w:r w:rsidR="00E462B9">
        <w:rPr>
          <w:rFonts w:ascii="Arial" w:hAnsi="Arial" w:cs="Arial"/>
          <w:sz w:val="22"/>
          <w:szCs w:val="22"/>
        </w:rPr>
        <w:t xml:space="preserve">following </w:t>
      </w:r>
      <w:r>
        <w:rPr>
          <w:rFonts w:ascii="Arial" w:hAnsi="Arial" w:cs="Arial"/>
          <w:sz w:val="22"/>
          <w:szCs w:val="22"/>
        </w:rPr>
        <w:t>elements must be tested:</w:t>
      </w:r>
    </w:p>
    <w:p w14:paraId="0BC12A48" w14:textId="27D380EE" w:rsidR="00470030" w:rsidRDefault="00AA0BC0" w:rsidP="00AA0BC0">
      <w:pPr>
        <w:pStyle w:val="ListParagraph"/>
        <w:numPr>
          <w:ilvl w:val="0"/>
          <w:numId w:val="18"/>
        </w:numPr>
        <w:jc w:val="both"/>
        <w:rPr>
          <w:rFonts w:ascii="Arial" w:hAnsi="Arial" w:cs="Arial"/>
          <w:sz w:val="22"/>
          <w:szCs w:val="22"/>
        </w:rPr>
      </w:pPr>
      <w:r>
        <w:rPr>
          <w:rFonts w:ascii="Arial" w:hAnsi="Arial" w:cs="Arial"/>
          <w:sz w:val="22"/>
          <w:szCs w:val="22"/>
        </w:rPr>
        <w:t>P</w:t>
      </w:r>
      <w:r w:rsidR="00470030" w:rsidRPr="00AA0BC0">
        <w:rPr>
          <w:rFonts w:ascii="Arial" w:hAnsi="Arial" w:cs="Arial"/>
          <w:sz w:val="22"/>
          <w:szCs w:val="22"/>
        </w:rPr>
        <w:t>referential transactio</w:t>
      </w:r>
      <w:r w:rsidR="001C6897" w:rsidRPr="00AA0BC0">
        <w:rPr>
          <w:rFonts w:ascii="Arial" w:hAnsi="Arial" w:cs="Arial"/>
          <w:sz w:val="22"/>
          <w:szCs w:val="22"/>
        </w:rPr>
        <w:t xml:space="preserve">n should </w:t>
      </w:r>
      <w:r>
        <w:rPr>
          <w:rFonts w:ascii="Arial" w:hAnsi="Arial" w:cs="Arial"/>
          <w:sz w:val="22"/>
          <w:szCs w:val="22"/>
        </w:rPr>
        <w:t>have been entered into</w:t>
      </w:r>
      <w:r w:rsidR="001C6897" w:rsidRPr="00AA0BC0">
        <w:rPr>
          <w:rFonts w:ascii="Arial" w:hAnsi="Arial" w:cs="Arial"/>
          <w:sz w:val="22"/>
          <w:szCs w:val="22"/>
        </w:rPr>
        <w:t xml:space="preserve"> six months prior to commencement of winding-up </w:t>
      </w:r>
      <w:r w:rsidRPr="00AA0BC0">
        <w:rPr>
          <w:rFonts w:ascii="Arial" w:hAnsi="Arial" w:cs="Arial"/>
          <w:sz w:val="22"/>
          <w:szCs w:val="22"/>
        </w:rPr>
        <w:t xml:space="preserve">for unrelated parties and two years for associates </w:t>
      </w:r>
      <w:r>
        <w:rPr>
          <w:rFonts w:ascii="Arial" w:hAnsi="Arial" w:cs="Arial"/>
          <w:sz w:val="22"/>
          <w:szCs w:val="22"/>
        </w:rPr>
        <w:t>(s</w:t>
      </w:r>
      <w:r w:rsidRPr="00AA0BC0">
        <w:rPr>
          <w:rFonts w:ascii="Arial" w:hAnsi="Arial" w:cs="Arial"/>
          <w:sz w:val="22"/>
          <w:szCs w:val="22"/>
        </w:rPr>
        <w:t>uspect period</w:t>
      </w:r>
      <w:r>
        <w:rPr>
          <w:rFonts w:ascii="Arial" w:hAnsi="Arial" w:cs="Arial"/>
          <w:sz w:val="22"/>
          <w:szCs w:val="22"/>
        </w:rPr>
        <w:t>)</w:t>
      </w:r>
    </w:p>
    <w:p w14:paraId="6D13E990" w14:textId="516F4DD5" w:rsidR="00AA0BC0" w:rsidRDefault="00AA0BC0" w:rsidP="00AA0BC0">
      <w:pPr>
        <w:pStyle w:val="ListParagraph"/>
        <w:numPr>
          <w:ilvl w:val="0"/>
          <w:numId w:val="18"/>
        </w:numPr>
        <w:jc w:val="both"/>
        <w:rPr>
          <w:rFonts w:ascii="Arial" w:hAnsi="Arial" w:cs="Arial"/>
          <w:sz w:val="22"/>
          <w:szCs w:val="22"/>
        </w:rPr>
      </w:pPr>
      <w:r>
        <w:rPr>
          <w:rFonts w:ascii="Arial" w:hAnsi="Arial" w:cs="Arial"/>
          <w:sz w:val="22"/>
          <w:szCs w:val="22"/>
        </w:rPr>
        <w:t>The preferred party should be a creditor</w:t>
      </w:r>
      <w:r w:rsidR="00F4590D">
        <w:rPr>
          <w:rFonts w:ascii="Arial" w:hAnsi="Arial" w:cs="Arial"/>
          <w:sz w:val="22"/>
          <w:szCs w:val="22"/>
        </w:rPr>
        <w:t>, surety</w:t>
      </w:r>
      <w:r>
        <w:rPr>
          <w:rFonts w:ascii="Arial" w:hAnsi="Arial" w:cs="Arial"/>
          <w:sz w:val="22"/>
          <w:szCs w:val="22"/>
        </w:rPr>
        <w:t xml:space="preserve"> or guarantor for </w:t>
      </w:r>
      <w:r w:rsidR="00F4590D">
        <w:rPr>
          <w:rFonts w:ascii="Arial" w:hAnsi="Arial" w:cs="Arial"/>
          <w:sz w:val="22"/>
          <w:szCs w:val="22"/>
        </w:rPr>
        <w:t xml:space="preserve">antecedent </w:t>
      </w:r>
      <w:r>
        <w:rPr>
          <w:rFonts w:ascii="Arial" w:hAnsi="Arial" w:cs="Arial"/>
          <w:sz w:val="22"/>
          <w:szCs w:val="22"/>
        </w:rPr>
        <w:t>debts or liabilities</w:t>
      </w:r>
    </w:p>
    <w:p w14:paraId="7D574EF8" w14:textId="76C0B672" w:rsidR="00AA0BC0" w:rsidRDefault="00AA0BC0" w:rsidP="00AA0BC0">
      <w:pPr>
        <w:pStyle w:val="ListParagraph"/>
        <w:numPr>
          <w:ilvl w:val="0"/>
          <w:numId w:val="18"/>
        </w:numPr>
        <w:jc w:val="both"/>
        <w:rPr>
          <w:rFonts w:ascii="Arial" w:hAnsi="Arial" w:cs="Arial"/>
          <w:sz w:val="22"/>
          <w:szCs w:val="22"/>
        </w:rPr>
      </w:pPr>
      <w:r>
        <w:rPr>
          <w:rFonts w:ascii="Arial" w:hAnsi="Arial" w:cs="Arial"/>
          <w:sz w:val="22"/>
          <w:szCs w:val="22"/>
        </w:rPr>
        <w:t>The company was insolvent at the time of the transaction or became insolvent as a result of the transaction</w:t>
      </w:r>
    </w:p>
    <w:p w14:paraId="7EE37306" w14:textId="7B74F26D" w:rsidR="00AA0BC0" w:rsidRDefault="00AA0BC0" w:rsidP="00AA0BC0">
      <w:pPr>
        <w:pStyle w:val="ListParagraph"/>
        <w:numPr>
          <w:ilvl w:val="0"/>
          <w:numId w:val="18"/>
        </w:numPr>
        <w:jc w:val="both"/>
        <w:rPr>
          <w:rFonts w:ascii="Arial" w:hAnsi="Arial" w:cs="Arial"/>
          <w:sz w:val="22"/>
          <w:szCs w:val="22"/>
        </w:rPr>
      </w:pPr>
      <w:r>
        <w:rPr>
          <w:rFonts w:ascii="Arial" w:hAnsi="Arial" w:cs="Arial"/>
          <w:sz w:val="22"/>
          <w:szCs w:val="22"/>
        </w:rPr>
        <w:t>The preferred party</w:t>
      </w:r>
      <w:r w:rsidR="003D7BCD">
        <w:rPr>
          <w:rFonts w:ascii="Arial" w:hAnsi="Arial" w:cs="Arial"/>
          <w:sz w:val="22"/>
          <w:szCs w:val="22"/>
        </w:rPr>
        <w:t xml:space="preserve"> is in a better position as a consequence</w:t>
      </w:r>
      <w:r w:rsidR="00F4590D">
        <w:rPr>
          <w:rFonts w:ascii="Arial" w:hAnsi="Arial" w:cs="Arial"/>
          <w:sz w:val="22"/>
          <w:szCs w:val="22"/>
        </w:rPr>
        <w:t xml:space="preserve"> of the </w:t>
      </w:r>
      <w:r w:rsidR="003D7BCD">
        <w:rPr>
          <w:rFonts w:ascii="Arial" w:hAnsi="Arial" w:cs="Arial"/>
          <w:sz w:val="22"/>
          <w:szCs w:val="22"/>
        </w:rPr>
        <w:t>unfair preference than he would have ordinarily been</w:t>
      </w:r>
      <w:r w:rsidR="006E3F36">
        <w:rPr>
          <w:rFonts w:ascii="Arial" w:hAnsi="Arial" w:cs="Arial"/>
          <w:sz w:val="22"/>
          <w:szCs w:val="22"/>
        </w:rPr>
        <w:t xml:space="preserve"> had the </w:t>
      </w:r>
      <w:r w:rsidR="00D31BD3">
        <w:rPr>
          <w:rFonts w:ascii="Arial" w:hAnsi="Arial" w:cs="Arial"/>
          <w:sz w:val="22"/>
          <w:szCs w:val="22"/>
        </w:rPr>
        <w:t xml:space="preserve">unfair </w:t>
      </w:r>
      <w:r w:rsidR="006E3F36">
        <w:rPr>
          <w:rFonts w:ascii="Arial" w:hAnsi="Arial" w:cs="Arial"/>
          <w:sz w:val="22"/>
          <w:szCs w:val="22"/>
        </w:rPr>
        <w:t>preference not been made</w:t>
      </w:r>
      <w:r w:rsidR="00F4590D">
        <w:rPr>
          <w:rFonts w:ascii="Arial" w:hAnsi="Arial" w:cs="Arial"/>
          <w:sz w:val="22"/>
          <w:szCs w:val="22"/>
        </w:rPr>
        <w:t xml:space="preserve"> in the event of distribution of assets during liquidation</w:t>
      </w:r>
    </w:p>
    <w:p w14:paraId="0E811CF7" w14:textId="77777777" w:rsidR="007B7A24" w:rsidRDefault="006E3F36" w:rsidP="00526E76">
      <w:pPr>
        <w:pStyle w:val="ListParagraph"/>
        <w:numPr>
          <w:ilvl w:val="0"/>
          <w:numId w:val="18"/>
        </w:numPr>
        <w:jc w:val="both"/>
        <w:rPr>
          <w:rFonts w:ascii="Arial" w:hAnsi="Arial" w:cs="Arial"/>
          <w:sz w:val="22"/>
          <w:szCs w:val="22"/>
        </w:rPr>
      </w:pPr>
      <w:r w:rsidRPr="007B7A24">
        <w:rPr>
          <w:rFonts w:ascii="Arial" w:hAnsi="Arial" w:cs="Arial"/>
          <w:sz w:val="22"/>
          <w:szCs w:val="22"/>
        </w:rPr>
        <w:t>Act of giving unfair preference was influenced by a desire to put the creditor</w:t>
      </w:r>
      <w:r w:rsidR="00F4590D" w:rsidRPr="007B7A24">
        <w:rPr>
          <w:rFonts w:ascii="Arial" w:hAnsi="Arial" w:cs="Arial"/>
          <w:sz w:val="22"/>
          <w:szCs w:val="22"/>
        </w:rPr>
        <w:t>, surety</w:t>
      </w:r>
      <w:r w:rsidR="00313590" w:rsidRPr="007B7A24">
        <w:rPr>
          <w:rFonts w:ascii="Arial" w:hAnsi="Arial" w:cs="Arial"/>
          <w:sz w:val="22"/>
          <w:szCs w:val="22"/>
        </w:rPr>
        <w:t xml:space="preserve"> or guarantor</w:t>
      </w:r>
      <w:r w:rsidRPr="007B7A24">
        <w:rPr>
          <w:rFonts w:ascii="Arial" w:hAnsi="Arial" w:cs="Arial"/>
          <w:sz w:val="22"/>
          <w:szCs w:val="22"/>
        </w:rPr>
        <w:t xml:space="preserve"> in a better position</w:t>
      </w:r>
      <w:r w:rsidR="003E0B4A" w:rsidRPr="007B7A24">
        <w:rPr>
          <w:rFonts w:ascii="Arial" w:hAnsi="Arial" w:cs="Arial"/>
          <w:sz w:val="22"/>
          <w:szCs w:val="22"/>
        </w:rPr>
        <w:t xml:space="preserve"> post the transaction</w:t>
      </w:r>
      <w:r w:rsidR="00576284" w:rsidRPr="007B7A24">
        <w:rPr>
          <w:rFonts w:ascii="Arial" w:hAnsi="Arial" w:cs="Arial"/>
          <w:sz w:val="22"/>
          <w:szCs w:val="22"/>
        </w:rPr>
        <w:t>. The threshold for judging the element of desire for preferential transactions with associates and connected parties is lower</w:t>
      </w:r>
    </w:p>
    <w:p w14:paraId="1B11494E" w14:textId="44316B7E" w:rsidR="00470030" w:rsidRPr="007B7A24" w:rsidRDefault="009C53C1" w:rsidP="00526E76">
      <w:pPr>
        <w:pStyle w:val="ListParagraph"/>
        <w:numPr>
          <w:ilvl w:val="0"/>
          <w:numId w:val="18"/>
        </w:numPr>
        <w:jc w:val="both"/>
        <w:rPr>
          <w:rFonts w:ascii="Arial" w:hAnsi="Arial" w:cs="Arial"/>
          <w:sz w:val="22"/>
          <w:szCs w:val="22"/>
        </w:rPr>
      </w:pPr>
      <w:r w:rsidRPr="007B7A24">
        <w:rPr>
          <w:rFonts w:ascii="Arial" w:hAnsi="Arial" w:cs="Arial"/>
          <w:sz w:val="22"/>
          <w:szCs w:val="22"/>
        </w:rPr>
        <w:t>Additionally, intent may be circumstantial and could be proven by having recourse to the ‘badges of fraud’ listed in US state fraudulent transfer law</w:t>
      </w:r>
    </w:p>
    <w:p w14:paraId="0A5AE66C" w14:textId="77777777" w:rsidR="009C53C1" w:rsidRDefault="009C53C1" w:rsidP="002A37BB">
      <w:pPr>
        <w:jc w:val="both"/>
        <w:rPr>
          <w:rFonts w:ascii="Arial" w:hAnsi="Arial" w:cs="Arial"/>
          <w:sz w:val="22"/>
          <w:szCs w:val="22"/>
        </w:rPr>
      </w:pPr>
    </w:p>
    <w:p w14:paraId="2A9088D2" w14:textId="23B81304" w:rsidR="00CF0E5C" w:rsidRDefault="00CF0E5C" w:rsidP="002A37BB">
      <w:pPr>
        <w:jc w:val="both"/>
        <w:rPr>
          <w:rFonts w:ascii="Arial" w:hAnsi="Arial" w:cs="Arial"/>
          <w:sz w:val="22"/>
          <w:szCs w:val="22"/>
        </w:rPr>
      </w:pPr>
      <w:r>
        <w:rPr>
          <w:rFonts w:ascii="Arial" w:hAnsi="Arial" w:cs="Arial"/>
          <w:sz w:val="22"/>
          <w:szCs w:val="22"/>
        </w:rPr>
        <w:t xml:space="preserve">Defence for avoiding claw back </w:t>
      </w:r>
      <w:r w:rsidR="000C7DB1">
        <w:rPr>
          <w:rFonts w:ascii="Arial" w:hAnsi="Arial" w:cs="Arial"/>
          <w:sz w:val="22"/>
          <w:szCs w:val="22"/>
        </w:rPr>
        <w:t>of unfair preferential transactions</w:t>
      </w:r>
      <w:r>
        <w:rPr>
          <w:rFonts w:ascii="Arial" w:hAnsi="Arial" w:cs="Arial"/>
          <w:sz w:val="22"/>
          <w:szCs w:val="22"/>
        </w:rPr>
        <w:t xml:space="preserve"> would be:</w:t>
      </w:r>
    </w:p>
    <w:p w14:paraId="3D76E3C4" w14:textId="150CB477" w:rsidR="00276626" w:rsidRDefault="00276626" w:rsidP="00CF0E5C">
      <w:pPr>
        <w:pStyle w:val="ListParagraph"/>
        <w:numPr>
          <w:ilvl w:val="0"/>
          <w:numId w:val="19"/>
        </w:numPr>
        <w:jc w:val="both"/>
        <w:rPr>
          <w:rFonts w:ascii="Arial" w:hAnsi="Arial" w:cs="Arial"/>
          <w:sz w:val="22"/>
          <w:szCs w:val="22"/>
        </w:rPr>
      </w:pPr>
      <w:r>
        <w:rPr>
          <w:rFonts w:ascii="Arial" w:hAnsi="Arial" w:cs="Arial"/>
          <w:sz w:val="22"/>
          <w:szCs w:val="22"/>
        </w:rPr>
        <w:t>Transactions made outside the suspect period</w:t>
      </w:r>
    </w:p>
    <w:p w14:paraId="4BDE0223" w14:textId="522D1633" w:rsidR="00CF0E5C" w:rsidRPr="00CF0E5C" w:rsidRDefault="00CF0E5C" w:rsidP="00CF0E5C">
      <w:pPr>
        <w:pStyle w:val="ListParagraph"/>
        <w:numPr>
          <w:ilvl w:val="0"/>
          <w:numId w:val="19"/>
        </w:numPr>
        <w:jc w:val="both"/>
        <w:rPr>
          <w:rFonts w:ascii="Arial" w:hAnsi="Arial" w:cs="Arial"/>
          <w:sz w:val="22"/>
          <w:szCs w:val="22"/>
        </w:rPr>
      </w:pPr>
      <w:r w:rsidRPr="00CF0E5C">
        <w:rPr>
          <w:rFonts w:ascii="Arial" w:hAnsi="Arial" w:cs="Arial"/>
          <w:sz w:val="22"/>
          <w:szCs w:val="22"/>
        </w:rPr>
        <w:t>Transactions made in the ordinary course of business or financial affairs of the corporate debtor</w:t>
      </w:r>
    </w:p>
    <w:p w14:paraId="782C2FA7" w14:textId="7F6EB6E0" w:rsidR="00CF0E5C" w:rsidRDefault="00CF0E5C" w:rsidP="00CF0E5C">
      <w:pPr>
        <w:pStyle w:val="ListParagraph"/>
        <w:numPr>
          <w:ilvl w:val="0"/>
          <w:numId w:val="19"/>
        </w:numPr>
        <w:jc w:val="both"/>
        <w:rPr>
          <w:rFonts w:ascii="Arial" w:hAnsi="Arial" w:cs="Arial"/>
          <w:sz w:val="22"/>
          <w:szCs w:val="22"/>
        </w:rPr>
      </w:pPr>
      <w:r w:rsidRPr="00CF0E5C">
        <w:rPr>
          <w:rFonts w:ascii="Arial" w:hAnsi="Arial" w:cs="Arial"/>
          <w:sz w:val="22"/>
          <w:szCs w:val="22"/>
        </w:rPr>
        <w:t>Any transfer creating security interest in the asset acquired by the debtor to the extent that security interest secure</w:t>
      </w:r>
      <w:r w:rsidR="003A3ED4">
        <w:rPr>
          <w:rFonts w:ascii="Arial" w:hAnsi="Arial" w:cs="Arial"/>
          <w:sz w:val="22"/>
          <w:szCs w:val="22"/>
        </w:rPr>
        <w:t>s</w:t>
      </w:r>
      <w:r w:rsidRPr="00CF0E5C">
        <w:rPr>
          <w:rFonts w:ascii="Arial" w:hAnsi="Arial" w:cs="Arial"/>
          <w:sz w:val="22"/>
          <w:szCs w:val="22"/>
        </w:rPr>
        <w:t xml:space="preserve"> new value </w:t>
      </w:r>
      <w:r w:rsidR="00040687">
        <w:rPr>
          <w:rFonts w:ascii="Arial" w:hAnsi="Arial" w:cs="Arial"/>
          <w:sz w:val="22"/>
          <w:szCs w:val="22"/>
        </w:rPr>
        <w:t>and was given after signing the security agreement</w:t>
      </w:r>
    </w:p>
    <w:p w14:paraId="4A0D82CC" w14:textId="52397438" w:rsidR="003A3ED4" w:rsidRDefault="003A3ED4" w:rsidP="00CF0E5C">
      <w:pPr>
        <w:pStyle w:val="ListParagraph"/>
        <w:numPr>
          <w:ilvl w:val="0"/>
          <w:numId w:val="19"/>
        </w:numPr>
        <w:jc w:val="both"/>
        <w:rPr>
          <w:rFonts w:ascii="Arial" w:hAnsi="Arial" w:cs="Arial"/>
          <w:sz w:val="22"/>
          <w:szCs w:val="22"/>
        </w:rPr>
      </w:pPr>
      <w:r>
        <w:rPr>
          <w:rFonts w:ascii="Arial" w:hAnsi="Arial" w:cs="Arial"/>
          <w:sz w:val="22"/>
          <w:szCs w:val="22"/>
        </w:rPr>
        <w:t>Transaction</w:t>
      </w:r>
      <w:r w:rsidR="006D7E71">
        <w:rPr>
          <w:rFonts w:ascii="Arial" w:hAnsi="Arial" w:cs="Arial"/>
          <w:sz w:val="22"/>
          <w:szCs w:val="22"/>
        </w:rPr>
        <w:t>s</w:t>
      </w:r>
      <w:r>
        <w:rPr>
          <w:rFonts w:ascii="Arial" w:hAnsi="Arial" w:cs="Arial"/>
          <w:sz w:val="22"/>
          <w:szCs w:val="22"/>
        </w:rPr>
        <w:t xml:space="preserve"> done in good faith and for value with unconnected parties</w:t>
      </w:r>
    </w:p>
    <w:p w14:paraId="7F82757A" w14:textId="556AA0AA" w:rsidR="006D7E71" w:rsidRPr="00CF0E5C" w:rsidRDefault="000E6824" w:rsidP="00CF0E5C">
      <w:pPr>
        <w:pStyle w:val="ListParagraph"/>
        <w:numPr>
          <w:ilvl w:val="0"/>
          <w:numId w:val="19"/>
        </w:numPr>
        <w:jc w:val="both"/>
        <w:rPr>
          <w:rFonts w:ascii="Arial" w:hAnsi="Arial" w:cs="Arial"/>
          <w:sz w:val="22"/>
          <w:szCs w:val="22"/>
        </w:rPr>
      </w:pPr>
      <w:r>
        <w:rPr>
          <w:rFonts w:ascii="Arial" w:hAnsi="Arial" w:cs="Arial"/>
          <w:sz w:val="22"/>
          <w:szCs w:val="22"/>
        </w:rPr>
        <w:t>Any transfer of interest in a property in the possession of the debtor but owned by a person who is not debtor facing insolvency</w:t>
      </w:r>
      <w:r w:rsidR="0054482E">
        <w:rPr>
          <w:rFonts w:ascii="Arial" w:hAnsi="Arial" w:cs="Arial"/>
          <w:sz w:val="22"/>
          <w:szCs w:val="22"/>
        </w:rPr>
        <w:t xml:space="preserve"> </w:t>
      </w:r>
    </w:p>
    <w:p w14:paraId="23C1F21D" w14:textId="77777777" w:rsidR="00CF0E5C" w:rsidRDefault="00CF0E5C" w:rsidP="002A37BB">
      <w:pPr>
        <w:jc w:val="both"/>
        <w:rPr>
          <w:rFonts w:ascii="Arial" w:hAnsi="Arial" w:cs="Arial"/>
          <w:sz w:val="22"/>
          <w:szCs w:val="22"/>
        </w:rPr>
      </w:pPr>
    </w:p>
    <w:p w14:paraId="213A1D09" w14:textId="1A295299" w:rsidR="00584E32" w:rsidRDefault="00111A01" w:rsidP="002A37BB">
      <w:pPr>
        <w:jc w:val="both"/>
        <w:rPr>
          <w:rFonts w:ascii="Arial" w:hAnsi="Arial" w:cs="Arial"/>
          <w:sz w:val="22"/>
          <w:szCs w:val="22"/>
        </w:rPr>
      </w:pPr>
      <w:r>
        <w:rPr>
          <w:rFonts w:ascii="Arial" w:hAnsi="Arial" w:cs="Arial"/>
          <w:sz w:val="22"/>
          <w:szCs w:val="22"/>
        </w:rPr>
        <w:t>U/s 224 of the IRDA (Transactions at undervalue), o</w:t>
      </w:r>
      <w:r w:rsidR="00CF0E5C">
        <w:rPr>
          <w:rFonts w:ascii="Arial" w:hAnsi="Arial" w:cs="Arial"/>
          <w:sz w:val="22"/>
          <w:szCs w:val="22"/>
        </w:rPr>
        <w:t>n application of the</w:t>
      </w:r>
      <w:r w:rsidR="00221633">
        <w:rPr>
          <w:rFonts w:ascii="Arial" w:hAnsi="Arial" w:cs="Arial"/>
          <w:sz w:val="22"/>
          <w:szCs w:val="22"/>
        </w:rPr>
        <w:t xml:space="preserve"> judicial manager or </w:t>
      </w:r>
      <w:r w:rsidR="00CF0E5C">
        <w:rPr>
          <w:rFonts w:ascii="Arial" w:hAnsi="Arial" w:cs="Arial"/>
          <w:sz w:val="22"/>
          <w:szCs w:val="22"/>
        </w:rPr>
        <w:t xml:space="preserve"> liquidator, the court may order </w:t>
      </w:r>
      <w:r w:rsidR="005E3EB8">
        <w:rPr>
          <w:rFonts w:ascii="Arial" w:hAnsi="Arial" w:cs="Arial"/>
          <w:sz w:val="22"/>
          <w:szCs w:val="22"/>
        </w:rPr>
        <w:t xml:space="preserve">setting aside and </w:t>
      </w:r>
      <w:r w:rsidR="00CF0E5C">
        <w:rPr>
          <w:rFonts w:ascii="Arial" w:hAnsi="Arial" w:cs="Arial"/>
          <w:sz w:val="22"/>
          <w:szCs w:val="22"/>
        </w:rPr>
        <w:t>restitution of under value</w:t>
      </w:r>
      <w:r w:rsidR="005E3EB8">
        <w:rPr>
          <w:rFonts w:ascii="Arial" w:hAnsi="Arial" w:cs="Arial"/>
          <w:sz w:val="22"/>
          <w:szCs w:val="22"/>
        </w:rPr>
        <w:t xml:space="preserve"> transactions entered into by the debtor for no consideration or for a consideration lower than the value of the consideration provided by the insolvent debtor. </w:t>
      </w:r>
    </w:p>
    <w:p w14:paraId="2796C0BB" w14:textId="77777777" w:rsidR="00584E32" w:rsidRDefault="00584E32" w:rsidP="002A37BB">
      <w:pPr>
        <w:jc w:val="both"/>
        <w:rPr>
          <w:rFonts w:ascii="Arial" w:hAnsi="Arial" w:cs="Arial"/>
          <w:sz w:val="22"/>
          <w:szCs w:val="22"/>
        </w:rPr>
      </w:pPr>
    </w:p>
    <w:p w14:paraId="774C9564" w14:textId="6E5BC76A" w:rsidR="00576284" w:rsidRDefault="00084B54" w:rsidP="002A37BB">
      <w:pPr>
        <w:jc w:val="both"/>
        <w:rPr>
          <w:rFonts w:ascii="Arial" w:hAnsi="Arial" w:cs="Arial"/>
          <w:sz w:val="22"/>
          <w:szCs w:val="22"/>
        </w:rPr>
      </w:pPr>
      <w:r>
        <w:rPr>
          <w:rFonts w:ascii="Arial" w:hAnsi="Arial" w:cs="Arial"/>
          <w:sz w:val="22"/>
          <w:szCs w:val="22"/>
        </w:rPr>
        <w:t>In order to successfully void under value</w:t>
      </w:r>
      <w:r w:rsidR="00F4541B">
        <w:rPr>
          <w:rFonts w:ascii="Arial" w:hAnsi="Arial" w:cs="Arial"/>
          <w:sz w:val="22"/>
          <w:szCs w:val="22"/>
        </w:rPr>
        <w:t xml:space="preserve"> transactions</w:t>
      </w:r>
      <w:r>
        <w:rPr>
          <w:rFonts w:ascii="Arial" w:hAnsi="Arial" w:cs="Arial"/>
          <w:sz w:val="22"/>
          <w:szCs w:val="22"/>
        </w:rPr>
        <w:t xml:space="preserve">, the </w:t>
      </w:r>
      <w:r w:rsidR="00F4541B">
        <w:rPr>
          <w:rFonts w:ascii="Arial" w:hAnsi="Arial" w:cs="Arial"/>
          <w:sz w:val="22"/>
          <w:szCs w:val="22"/>
        </w:rPr>
        <w:t xml:space="preserve">following </w:t>
      </w:r>
      <w:r>
        <w:rPr>
          <w:rFonts w:ascii="Arial" w:hAnsi="Arial" w:cs="Arial"/>
          <w:sz w:val="22"/>
          <w:szCs w:val="22"/>
        </w:rPr>
        <w:t>elements must be tested:</w:t>
      </w:r>
    </w:p>
    <w:p w14:paraId="58033C87" w14:textId="354D3B5E" w:rsidR="00084B54" w:rsidRDefault="00084B54" w:rsidP="00084B54">
      <w:pPr>
        <w:pStyle w:val="ListParagraph"/>
        <w:numPr>
          <w:ilvl w:val="0"/>
          <w:numId w:val="18"/>
        </w:numPr>
        <w:jc w:val="both"/>
        <w:rPr>
          <w:rFonts w:ascii="Arial" w:hAnsi="Arial" w:cs="Arial"/>
          <w:sz w:val="22"/>
          <w:szCs w:val="22"/>
        </w:rPr>
      </w:pPr>
      <w:r>
        <w:rPr>
          <w:rFonts w:ascii="Arial" w:hAnsi="Arial" w:cs="Arial"/>
          <w:sz w:val="22"/>
          <w:szCs w:val="22"/>
        </w:rPr>
        <w:t xml:space="preserve">Under value transaction </w:t>
      </w:r>
      <w:r w:rsidRPr="00AA0BC0">
        <w:rPr>
          <w:rFonts w:ascii="Arial" w:hAnsi="Arial" w:cs="Arial"/>
          <w:sz w:val="22"/>
          <w:szCs w:val="22"/>
        </w:rPr>
        <w:t xml:space="preserve">should </w:t>
      </w:r>
      <w:r>
        <w:rPr>
          <w:rFonts w:ascii="Arial" w:hAnsi="Arial" w:cs="Arial"/>
          <w:sz w:val="22"/>
          <w:szCs w:val="22"/>
        </w:rPr>
        <w:t>have been entered into</w:t>
      </w:r>
      <w:r w:rsidRPr="00AA0BC0">
        <w:rPr>
          <w:rFonts w:ascii="Arial" w:hAnsi="Arial" w:cs="Arial"/>
          <w:sz w:val="22"/>
          <w:szCs w:val="22"/>
        </w:rPr>
        <w:t xml:space="preserve"> </w:t>
      </w:r>
      <w:r>
        <w:rPr>
          <w:rFonts w:ascii="Arial" w:hAnsi="Arial" w:cs="Arial"/>
          <w:sz w:val="22"/>
          <w:szCs w:val="22"/>
        </w:rPr>
        <w:t xml:space="preserve">5 years </w:t>
      </w:r>
      <w:r w:rsidRPr="00AA0BC0">
        <w:rPr>
          <w:rFonts w:ascii="Arial" w:hAnsi="Arial" w:cs="Arial"/>
          <w:sz w:val="22"/>
          <w:szCs w:val="22"/>
        </w:rPr>
        <w:t>prior to commencement of winding-up</w:t>
      </w:r>
      <w:r w:rsidR="00276626">
        <w:rPr>
          <w:rFonts w:ascii="Arial" w:hAnsi="Arial" w:cs="Arial"/>
          <w:sz w:val="22"/>
          <w:szCs w:val="22"/>
        </w:rPr>
        <w:t xml:space="preserve"> (suspect period)</w:t>
      </w:r>
    </w:p>
    <w:p w14:paraId="656EF3E3" w14:textId="505B3159" w:rsidR="00084B54" w:rsidRDefault="00084B54" w:rsidP="00084B54">
      <w:pPr>
        <w:pStyle w:val="ListParagraph"/>
        <w:numPr>
          <w:ilvl w:val="0"/>
          <w:numId w:val="18"/>
        </w:numPr>
        <w:jc w:val="both"/>
        <w:rPr>
          <w:rFonts w:ascii="Arial" w:hAnsi="Arial" w:cs="Arial"/>
          <w:sz w:val="22"/>
          <w:szCs w:val="22"/>
        </w:rPr>
      </w:pPr>
      <w:r>
        <w:rPr>
          <w:rFonts w:ascii="Arial" w:hAnsi="Arial" w:cs="Arial"/>
          <w:sz w:val="22"/>
          <w:szCs w:val="22"/>
        </w:rPr>
        <w:t>Transaction</w:t>
      </w:r>
      <w:r w:rsidR="00B61452">
        <w:rPr>
          <w:rFonts w:ascii="Arial" w:hAnsi="Arial" w:cs="Arial"/>
          <w:sz w:val="22"/>
          <w:szCs w:val="22"/>
        </w:rPr>
        <w:t>s</w:t>
      </w:r>
      <w:r>
        <w:rPr>
          <w:rFonts w:ascii="Arial" w:hAnsi="Arial" w:cs="Arial"/>
          <w:sz w:val="22"/>
          <w:szCs w:val="22"/>
        </w:rPr>
        <w:t xml:space="preserve"> made as a gift or is a gratuitous transaction</w:t>
      </w:r>
    </w:p>
    <w:p w14:paraId="48025102" w14:textId="506653B1" w:rsidR="007158C8" w:rsidRDefault="00084B54" w:rsidP="00084B54">
      <w:pPr>
        <w:pStyle w:val="ListParagraph"/>
        <w:numPr>
          <w:ilvl w:val="0"/>
          <w:numId w:val="18"/>
        </w:numPr>
        <w:jc w:val="both"/>
        <w:rPr>
          <w:rFonts w:ascii="Arial" w:hAnsi="Arial" w:cs="Arial"/>
          <w:sz w:val="22"/>
          <w:szCs w:val="22"/>
        </w:rPr>
      </w:pPr>
      <w:r>
        <w:rPr>
          <w:rFonts w:ascii="Arial" w:hAnsi="Arial" w:cs="Arial"/>
          <w:sz w:val="22"/>
          <w:szCs w:val="22"/>
        </w:rPr>
        <w:t>Transaction</w:t>
      </w:r>
      <w:r w:rsidR="00B61452">
        <w:rPr>
          <w:rFonts w:ascii="Arial" w:hAnsi="Arial" w:cs="Arial"/>
          <w:sz w:val="22"/>
          <w:szCs w:val="22"/>
        </w:rPr>
        <w:t>s</w:t>
      </w:r>
      <w:r>
        <w:rPr>
          <w:rFonts w:ascii="Arial" w:hAnsi="Arial" w:cs="Arial"/>
          <w:sz w:val="22"/>
          <w:szCs w:val="22"/>
        </w:rPr>
        <w:t xml:space="preserve"> with party involving transfer of asset(s) by the debtor for a consideration the value of which is significantly less  than the value of the consideration provided by the debtor and such transaction has not taken place in the ordinary course of business</w:t>
      </w:r>
    </w:p>
    <w:p w14:paraId="63A3D078" w14:textId="3CB79A5F" w:rsidR="00084B54" w:rsidRPr="002A37BB" w:rsidRDefault="007158C8" w:rsidP="00084B54">
      <w:pPr>
        <w:pStyle w:val="ListParagraph"/>
        <w:numPr>
          <w:ilvl w:val="0"/>
          <w:numId w:val="18"/>
        </w:numPr>
        <w:jc w:val="both"/>
        <w:rPr>
          <w:rFonts w:ascii="Arial" w:hAnsi="Arial" w:cs="Arial"/>
          <w:sz w:val="22"/>
          <w:szCs w:val="22"/>
        </w:rPr>
      </w:pPr>
      <w:r>
        <w:rPr>
          <w:rFonts w:ascii="Arial" w:hAnsi="Arial" w:cs="Arial"/>
          <w:sz w:val="22"/>
          <w:szCs w:val="22"/>
        </w:rPr>
        <w:t xml:space="preserve">Where an individual is bankrupt and enters into a transaction where the consideration is marriage </w:t>
      </w:r>
      <w:r w:rsidR="00084B54">
        <w:rPr>
          <w:rFonts w:ascii="Arial" w:hAnsi="Arial" w:cs="Arial"/>
          <w:sz w:val="22"/>
          <w:szCs w:val="22"/>
        </w:rPr>
        <w:t xml:space="preserve">  </w:t>
      </w:r>
    </w:p>
    <w:p w14:paraId="5791A1DA" w14:textId="0181E0EF" w:rsidR="00020557" w:rsidRDefault="00020557" w:rsidP="002A37BB">
      <w:pPr>
        <w:jc w:val="both"/>
        <w:rPr>
          <w:rFonts w:ascii="Arial" w:hAnsi="Arial" w:cs="Arial"/>
          <w:sz w:val="22"/>
          <w:szCs w:val="22"/>
        </w:rPr>
      </w:pPr>
    </w:p>
    <w:p w14:paraId="1E4A97EF" w14:textId="37CD75B3" w:rsidR="000C7DB1" w:rsidRDefault="000C7DB1" w:rsidP="000C7DB1">
      <w:pPr>
        <w:jc w:val="both"/>
        <w:rPr>
          <w:rFonts w:ascii="Arial" w:hAnsi="Arial" w:cs="Arial"/>
          <w:sz w:val="22"/>
          <w:szCs w:val="22"/>
        </w:rPr>
      </w:pPr>
      <w:r>
        <w:rPr>
          <w:rFonts w:ascii="Arial" w:hAnsi="Arial" w:cs="Arial"/>
          <w:sz w:val="22"/>
          <w:szCs w:val="22"/>
        </w:rPr>
        <w:t>Defence for avoiding claw back of under value transactions would be:</w:t>
      </w:r>
    </w:p>
    <w:p w14:paraId="46CCE6C8" w14:textId="77777777" w:rsidR="00276626" w:rsidRDefault="00276626" w:rsidP="00276626">
      <w:pPr>
        <w:pStyle w:val="ListParagraph"/>
        <w:numPr>
          <w:ilvl w:val="0"/>
          <w:numId w:val="19"/>
        </w:numPr>
        <w:jc w:val="both"/>
        <w:rPr>
          <w:rFonts w:ascii="Arial" w:hAnsi="Arial" w:cs="Arial"/>
          <w:sz w:val="22"/>
          <w:szCs w:val="22"/>
        </w:rPr>
      </w:pPr>
      <w:r>
        <w:rPr>
          <w:rFonts w:ascii="Arial" w:hAnsi="Arial" w:cs="Arial"/>
          <w:sz w:val="22"/>
          <w:szCs w:val="22"/>
        </w:rPr>
        <w:t>Transactions made outside the suspect period</w:t>
      </w:r>
    </w:p>
    <w:p w14:paraId="4B9BC2E4" w14:textId="6BF79603" w:rsidR="004B48CB" w:rsidRDefault="004B48CB" w:rsidP="00276626">
      <w:pPr>
        <w:pStyle w:val="ListParagraph"/>
        <w:numPr>
          <w:ilvl w:val="0"/>
          <w:numId w:val="19"/>
        </w:numPr>
        <w:jc w:val="both"/>
        <w:rPr>
          <w:rFonts w:ascii="Arial" w:hAnsi="Arial" w:cs="Arial"/>
          <w:sz w:val="22"/>
          <w:szCs w:val="22"/>
        </w:rPr>
      </w:pPr>
      <w:r>
        <w:rPr>
          <w:rFonts w:ascii="Arial" w:hAnsi="Arial" w:cs="Arial"/>
          <w:sz w:val="22"/>
          <w:szCs w:val="22"/>
        </w:rPr>
        <w:t xml:space="preserve">Sale on a higher than valuation obtained through a public auction or as </w:t>
      </w:r>
      <w:r w:rsidR="00F067C6">
        <w:rPr>
          <w:rFonts w:ascii="Arial" w:hAnsi="Arial" w:cs="Arial"/>
          <w:sz w:val="22"/>
          <w:szCs w:val="22"/>
        </w:rPr>
        <w:t>determined</w:t>
      </w:r>
      <w:r>
        <w:rPr>
          <w:rFonts w:ascii="Arial" w:hAnsi="Arial" w:cs="Arial"/>
          <w:sz w:val="22"/>
          <w:szCs w:val="22"/>
        </w:rPr>
        <w:t xml:space="preserve"> by a</w:t>
      </w:r>
      <w:r w:rsidR="00F067C6">
        <w:rPr>
          <w:rFonts w:ascii="Arial" w:hAnsi="Arial" w:cs="Arial"/>
          <w:sz w:val="22"/>
          <w:szCs w:val="22"/>
        </w:rPr>
        <w:t>n</w:t>
      </w:r>
      <w:r>
        <w:rPr>
          <w:rFonts w:ascii="Arial" w:hAnsi="Arial" w:cs="Arial"/>
          <w:sz w:val="22"/>
          <w:szCs w:val="22"/>
        </w:rPr>
        <w:t xml:space="preserve"> independent valuer</w:t>
      </w:r>
    </w:p>
    <w:p w14:paraId="36AA2CD7" w14:textId="77777777" w:rsidR="000C7DB1" w:rsidRDefault="000C7DB1" w:rsidP="000C7DB1">
      <w:pPr>
        <w:pStyle w:val="ListParagraph"/>
        <w:numPr>
          <w:ilvl w:val="0"/>
          <w:numId w:val="19"/>
        </w:numPr>
        <w:jc w:val="both"/>
        <w:rPr>
          <w:rFonts w:ascii="Arial" w:hAnsi="Arial" w:cs="Arial"/>
          <w:sz w:val="22"/>
          <w:szCs w:val="22"/>
        </w:rPr>
      </w:pPr>
      <w:r w:rsidRPr="00CF0E5C">
        <w:rPr>
          <w:rFonts w:ascii="Arial" w:hAnsi="Arial" w:cs="Arial"/>
          <w:sz w:val="22"/>
          <w:szCs w:val="22"/>
        </w:rPr>
        <w:t>Transactions made in the ordinary course of business or financial affairs of the corporate debtor</w:t>
      </w:r>
    </w:p>
    <w:p w14:paraId="5D0B8718" w14:textId="398716DD" w:rsidR="000C7DB1" w:rsidRDefault="000C7DB1" w:rsidP="000C7DB1">
      <w:pPr>
        <w:pStyle w:val="ListParagraph"/>
        <w:numPr>
          <w:ilvl w:val="0"/>
          <w:numId w:val="19"/>
        </w:numPr>
        <w:jc w:val="both"/>
        <w:rPr>
          <w:rFonts w:ascii="Arial" w:hAnsi="Arial" w:cs="Arial"/>
          <w:sz w:val="22"/>
          <w:szCs w:val="22"/>
        </w:rPr>
      </w:pPr>
      <w:r w:rsidRPr="000C7DB1">
        <w:rPr>
          <w:rFonts w:ascii="Arial" w:hAnsi="Arial" w:cs="Arial"/>
          <w:sz w:val="22"/>
          <w:szCs w:val="22"/>
        </w:rPr>
        <w:t>Transactions done in good faith and for value with unconnected parties</w:t>
      </w:r>
    </w:p>
    <w:p w14:paraId="0E84F634" w14:textId="5B972413" w:rsidR="000C7DB1" w:rsidRPr="000C7DB1" w:rsidRDefault="000C7DB1" w:rsidP="000C7DB1">
      <w:pPr>
        <w:pStyle w:val="ListParagraph"/>
        <w:numPr>
          <w:ilvl w:val="0"/>
          <w:numId w:val="19"/>
        </w:numPr>
        <w:jc w:val="both"/>
        <w:rPr>
          <w:rFonts w:ascii="Arial" w:hAnsi="Arial" w:cs="Arial"/>
          <w:sz w:val="22"/>
          <w:szCs w:val="22"/>
        </w:rPr>
      </w:pPr>
      <w:r>
        <w:rPr>
          <w:rFonts w:ascii="Arial" w:hAnsi="Arial" w:cs="Arial"/>
          <w:sz w:val="22"/>
          <w:szCs w:val="22"/>
        </w:rPr>
        <w:t>For individuals, transaction effectuated in exempted assets</w:t>
      </w:r>
    </w:p>
    <w:p w14:paraId="6E9EE340" w14:textId="6080F174" w:rsidR="004F5DE9"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lastRenderedPageBreak/>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4094448B" w14:textId="77777777" w:rsidR="00DA3457" w:rsidRPr="009B3859" w:rsidRDefault="00DA3457" w:rsidP="00DA3457">
      <w:pPr>
        <w:ind w:left="720" w:hanging="720"/>
        <w:jc w:val="both"/>
        <w:rPr>
          <w:rFonts w:ascii="Arial" w:hAnsi="Arial" w:cs="Arial"/>
          <w:b/>
          <w:sz w:val="22"/>
          <w:szCs w:val="22"/>
          <w:lang w:val="en-GB"/>
        </w:rPr>
      </w:pPr>
      <w:r w:rsidRPr="009B3859">
        <w:rPr>
          <w:rFonts w:ascii="Arial" w:hAnsi="Arial" w:cs="Arial"/>
          <w:b/>
          <w:sz w:val="22"/>
          <w:szCs w:val="22"/>
          <w:lang w:val="en-GB"/>
        </w:rPr>
        <w:t>ANSWER</w:t>
      </w:r>
    </w:p>
    <w:p w14:paraId="6CCB7F31" w14:textId="77777777" w:rsidR="00E90991" w:rsidRDefault="00E90991" w:rsidP="002A37BB">
      <w:pPr>
        <w:ind w:left="720" w:hanging="720"/>
        <w:jc w:val="both"/>
        <w:rPr>
          <w:rFonts w:ascii="Arial" w:hAnsi="Arial" w:cs="Arial"/>
          <w:sz w:val="22"/>
          <w:szCs w:val="22"/>
          <w:lang w:val="en-GB"/>
        </w:rPr>
      </w:pPr>
    </w:p>
    <w:p w14:paraId="13167286" w14:textId="091693FF" w:rsidR="00DA3457" w:rsidRDefault="00C91C93" w:rsidP="00C91C93">
      <w:pPr>
        <w:ind w:hanging="270"/>
        <w:jc w:val="both"/>
        <w:rPr>
          <w:rFonts w:ascii="Arial" w:hAnsi="Arial" w:cs="Arial"/>
          <w:sz w:val="22"/>
          <w:szCs w:val="22"/>
          <w:lang w:val="en-GB"/>
        </w:rPr>
      </w:pPr>
      <w:r>
        <w:rPr>
          <w:rFonts w:ascii="Arial" w:hAnsi="Arial" w:cs="Arial"/>
          <w:sz w:val="22"/>
          <w:szCs w:val="22"/>
          <w:lang w:val="en-GB"/>
        </w:rPr>
        <w:tab/>
        <w:t>The objective of JIN Guidelines is to improve efficiency and effectiveness of parallel proceedings</w:t>
      </w:r>
      <w:r w:rsidR="00A2529F">
        <w:rPr>
          <w:rFonts w:ascii="Arial" w:hAnsi="Arial" w:cs="Arial"/>
          <w:sz w:val="22"/>
          <w:szCs w:val="22"/>
          <w:lang w:val="en-GB"/>
        </w:rPr>
        <w:t xml:space="preserve"> in cross-border insolvency “</w:t>
      </w:r>
      <w:r w:rsidR="00A2529F" w:rsidRPr="00545355">
        <w:rPr>
          <w:rFonts w:ascii="Arial" w:hAnsi="Arial" w:cs="Arial"/>
          <w:i/>
          <w:sz w:val="22"/>
          <w:szCs w:val="22"/>
          <w:lang w:val="en-GB"/>
        </w:rPr>
        <w:t>by enhancing co-ordination and co-operation amongst courts under whose supervision such proceedings are being conducted</w:t>
      </w:r>
      <w:r w:rsidR="00A2529F">
        <w:rPr>
          <w:rFonts w:ascii="Arial" w:hAnsi="Arial" w:cs="Arial"/>
          <w:sz w:val="22"/>
          <w:szCs w:val="22"/>
          <w:lang w:val="en-GB"/>
        </w:rPr>
        <w:t xml:space="preserve">”. </w:t>
      </w:r>
    </w:p>
    <w:p w14:paraId="0E0F2182" w14:textId="77777777" w:rsidR="001B71D3" w:rsidRDefault="001B71D3" w:rsidP="00C91C93">
      <w:pPr>
        <w:ind w:hanging="270"/>
        <w:jc w:val="both"/>
        <w:rPr>
          <w:rFonts w:ascii="Arial" w:hAnsi="Arial" w:cs="Arial"/>
          <w:sz w:val="22"/>
          <w:szCs w:val="22"/>
          <w:lang w:val="en-GB"/>
        </w:rPr>
      </w:pPr>
    </w:p>
    <w:p w14:paraId="75854194" w14:textId="76F0101A" w:rsidR="001B71D3" w:rsidRDefault="001B71D3" w:rsidP="00C91C93">
      <w:pPr>
        <w:ind w:hanging="270"/>
        <w:jc w:val="both"/>
        <w:rPr>
          <w:rFonts w:ascii="Arial" w:hAnsi="Arial" w:cs="Arial"/>
          <w:sz w:val="22"/>
          <w:szCs w:val="22"/>
          <w:lang w:val="en-GB"/>
        </w:rPr>
      </w:pPr>
      <w:r>
        <w:rPr>
          <w:rFonts w:ascii="Arial" w:hAnsi="Arial" w:cs="Arial"/>
          <w:sz w:val="22"/>
          <w:szCs w:val="22"/>
          <w:lang w:val="en-GB"/>
        </w:rPr>
        <w:tab/>
      </w:r>
      <w:r w:rsidR="000F2243">
        <w:rPr>
          <w:rFonts w:ascii="Arial" w:hAnsi="Arial" w:cs="Arial"/>
          <w:sz w:val="22"/>
          <w:szCs w:val="22"/>
          <w:lang w:val="en-GB"/>
        </w:rPr>
        <w:t xml:space="preserve">Significantly, </w:t>
      </w:r>
      <w:r>
        <w:rPr>
          <w:rFonts w:ascii="Arial" w:hAnsi="Arial" w:cs="Arial"/>
          <w:sz w:val="22"/>
          <w:szCs w:val="22"/>
          <w:lang w:val="en-GB"/>
        </w:rPr>
        <w:t>JIN Guidelines have facilitated the approach of using protocol</w:t>
      </w:r>
      <w:r w:rsidR="000F2243">
        <w:rPr>
          <w:rFonts w:ascii="Arial" w:hAnsi="Arial" w:cs="Arial"/>
          <w:sz w:val="22"/>
          <w:szCs w:val="22"/>
          <w:lang w:val="en-GB"/>
        </w:rPr>
        <w:t>s</w:t>
      </w:r>
      <w:r>
        <w:rPr>
          <w:rFonts w:ascii="Arial" w:hAnsi="Arial" w:cs="Arial"/>
          <w:sz w:val="22"/>
          <w:szCs w:val="22"/>
          <w:lang w:val="en-GB"/>
        </w:rPr>
        <w:t xml:space="preserve"> or cross border insolvency agreements for co-ordination and co-operation and provided a specific framework that insolvency practitioners may have reference to </w:t>
      </w:r>
      <w:r w:rsidR="000F2243">
        <w:rPr>
          <w:rFonts w:ascii="Arial" w:hAnsi="Arial" w:cs="Arial"/>
          <w:sz w:val="22"/>
          <w:szCs w:val="22"/>
          <w:lang w:val="en-GB"/>
        </w:rPr>
        <w:t>while administ</w:t>
      </w:r>
      <w:r w:rsidR="006558F8">
        <w:rPr>
          <w:rFonts w:ascii="Arial" w:hAnsi="Arial" w:cs="Arial"/>
          <w:sz w:val="22"/>
          <w:szCs w:val="22"/>
          <w:lang w:val="en-GB"/>
        </w:rPr>
        <w:t>ering international insolvency</w:t>
      </w:r>
      <w:r w:rsidR="000F2243">
        <w:rPr>
          <w:rFonts w:ascii="Arial" w:hAnsi="Arial" w:cs="Arial"/>
          <w:sz w:val="22"/>
          <w:szCs w:val="22"/>
          <w:lang w:val="en-GB"/>
        </w:rPr>
        <w:t xml:space="preserve"> cases.</w:t>
      </w:r>
    </w:p>
    <w:p w14:paraId="4A34E805" w14:textId="77777777" w:rsidR="00A2529F" w:rsidRDefault="00A2529F" w:rsidP="00C91C93">
      <w:pPr>
        <w:ind w:hanging="270"/>
        <w:jc w:val="both"/>
        <w:rPr>
          <w:rFonts w:ascii="Arial" w:hAnsi="Arial" w:cs="Arial"/>
          <w:sz w:val="22"/>
          <w:szCs w:val="22"/>
          <w:lang w:val="en-GB"/>
        </w:rPr>
      </w:pPr>
    </w:p>
    <w:p w14:paraId="608361AD" w14:textId="15EED564" w:rsidR="00C72848" w:rsidRPr="002A37BB" w:rsidRDefault="00A2529F" w:rsidP="00BB43F4">
      <w:pPr>
        <w:ind w:hanging="270"/>
        <w:jc w:val="both"/>
        <w:rPr>
          <w:rFonts w:ascii="Arial" w:hAnsi="Arial" w:cs="Arial"/>
          <w:b/>
          <w:bCs/>
          <w:sz w:val="22"/>
          <w:szCs w:val="22"/>
          <w:lang w:val="en-GB"/>
        </w:rPr>
      </w:pPr>
      <w:r>
        <w:rPr>
          <w:rFonts w:ascii="Arial" w:hAnsi="Arial" w:cs="Arial"/>
          <w:sz w:val="22"/>
          <w:szCs w:val="22"/>
          <w:lang w:val="en-GB"/>
        </w:rPr>
        <w:tab/>
      </w:r>
      <w:r w:rsidR="0007291B"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proofErr w:type="gramStart"/>
      <w:r>
        <w:rPr>
          <w:rFonts w:ascii="Arial" w:hAnsi="Arial" w:cs="Arial"/>
          <w:sz w:val="22"/>
          <w:szCs w:val="22"/>
          <w:lang w:val="en-GB"/>
        </w:rPr>
        <w:t>of</w:t>
      </w:r>
      <w:proofErr w:type="gramEnd"/>
      <w:r>
        <w:rPr>
          <w:rFonts w:ascii="Arial" w:hAnsi="Arial" w:cs="Arial"/>
          <w:sz w:val="22"/>
          <w:szCs w:val="22"/>
          <w:lang w:val="en-GB"/>
        </w:rPr>
        <w:t xml:space="preserve">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52BF67F1" w14:textId="77777777" w:rsidR="00F87DCA" w:rsidRPr="009B3859" w:rsidRDefault="00F87DCA" w:rsidP="00F87DCA">
      <w:pPr>
        <w:ind w:left="720" w:hanging="720"/>
        <w:jc w:val="both"/>
        <w:rPr>
          <w:rFonts w:ascii="Arial" w:hAnsi="Arial" w:cs="Arial"/>
          <w:b/>
          <w:sz w:val="22"/>
          <w:szCs w:val="22"/>
          <w:lang w:val="en-GB"/>
        </w:rPr>
      </w:pPr>
      <w:r w:rsidRPr="009B3859">
        <w:rPr>
          <w:rFonts w:ascii="Arial" w:hAnsi="Arial" w:cs="Arial"/>
          <w:b/>
          <w:sz w:val="22"/>
          <w:szCs w:val="22"/>
          <w:lang w:val="en-GB"/>
        </w:rPr>
        <w:t>ANSWER</w:t>
      </w:r>
    </w:p>
    <w:p w14:paraId="0F85A4BD" w14:textId="77777777" w:rsidR="0045683E" w:rsidRDefault="0045683E" w:rsidP="002A37BB">
      <w:pPr>
        <w:jc w:val="both"/>
        <w:rPr>
          <w:rFonts w:ascii="Arial" w:hAnsi="Arial" w:cs="Arial"/>
          <w:bCs/>
          <w:sz w:val="22"/>
          <w:szCs w:val="22"/>
          <w:lang w:val="en-GB"/>
        </w:rPr>
      </w:pPr>
    </w:p>
    <w:p w14:paraId="45C50E7E" w14:textId="77777777" w:rsidR="00197A18" w:rsidRDefault="00E66901" w:rsidP="002A37BB">
      <w:pPr>
        <w:jc w:val="both"/>
        <w:rPr>
          <w:rFonts w:ascii="Arial" w:hAnsi="Arial" w:cs="Arial"/>
          <w:bCs/>
          <w:sz w:val="22"/>
          <w:szCs w:val="22"/>
          <w:lang w:val="en-GB"/>
        </w:rPr>
      </w:pPr>
      <w:r>
        <w:rPr>
          <w:rFonts w:ascii="Arial" w:hAnsi="Arial" w:cs="Arial"/>
          <w:bCs/>
          <w:sz w:val="22"/>
          <w:szCs w:val="22"/>
          <w:lang w:val="en-GB"/>
        </w:rPr>
        <w:t>Annulment of</w:t>
      </w:r>
      <w:r w:rsidR="00197A18">
        <w:rPr>
          <w:rFonts w:ascii="Arial" w:hAnsi="Arial" w:cs="Arial"/>
          <w:bCs/>
          <w:sz w:val="22"/>
          <w:szCs w:val="22"/>
          <w:lang w:val="en-GB"/>
        </w:rPr>
        <w:t xml:space="preserve"> bankruptcy under Singapore IRDA </w:t>
      </w:r>
    </w:p>
    <w:p w14:paraId="61D43630" w14:textId="77777777" w:rsidR="00197A18" w:rsidRDefault="00197A18" w:rsidP="002A37BB">
      <w:pPr>
        <w:jc w:val="both"/>
        <w:rPr>
          <w:rFonts w:ascii="Arial" w:hAnsi="Arial" w:cs="Arial"/>
          <w:bCs/>
          <w:sz w:val="22"/>
          <w:szCs w:val="22"/>
          <w:lang w:val="en-GB"/>
        </w:rPr>
      </w:pPr>
    </w:p>
    <w:p w14:paraId="140358BA" w14:textId="310D9400" w:rsidR="00F87DCA" w:rsidRDefault="00197A18" w:rsidP="002A37BB">
      <w:pPr>
        <w:jc w:val="both"/>
        <w:rPr>
          <w:rFonts w:ascii="Arial" w:hAnsi="Arial" w:cs="Arial"/>
          <w:bCs/>
          <w:sz w:val="22"/>
          <w:szCs w:val="22"/>
          <w:lang w:val="en-GB"/>
        </w:rPr>
      </w:pPr>
      <w:r>
        <w:rPr>
          <w:rFonts w:ascii="Arial" w:hAnsi="Arial" w:cs="Arial"/>
          <w:bCs/>
          <w:sz w:val="22"/>
          <w:szCs w:val="22"/>
          <w:lang w:val="en-GB"/>
        </w:rPr>
        <w:t>By the Court</w:t>
      </w:r>
    </w:p>
    <w:p w14:paraId="340F3CEF" w14:textId="77777777" w:rsidR="00E66901" w:rsidRDefault="00E66901" w:rsidP="002A37BB">
      <w:pPr>
        <w:jc w:val="both"/>
        <w:rPr>
          <w:rFonts w:ascii="Arial" w:hAnsi="Arial" w:cs="Arial"/>
          <w:bCs/>
          <w:sz w:val="22"/>
          <w:szCs w:val="22"/>
          <w:lang w:val="en-GB"/>
        </w:rPr>
      </w:pPr>
    </w:p>
    <w:p w14:paraId="16B43C0E" w14:textId="07B3394B" w:rsidR="00E66901" w:rsidRDefault="001B02C6" w:rsidP="002A37BB">
      <w:pPr>
        <w:jc w:val="both"/>
        <w:rPr>
          <w:rFonts w:ascii="Arial" w:hAnsi="Arial" w:cs="Arial"/>
          <w:bCs/>
          <w:sz w:val="22"/>
          <w:szCs w:val="22"/>
          <w:lang w:val="en-GB"/>
        </w:rPr>
      </w:pPr>
      <w:r>
        <w:rPr>
          <w:rFonts w:ascii="Arial" w:hAnsi="Arial" w:cs="Arial"/>
          <w:bCs/>
          <w:sz w:val="22"/>
          <w:szCs w:val="22"/>
          <w:lang w:val="en-GB"/>
        </w:rPr>
        <w:t>Under section 392 of the Singapore IRDA, a</w:t>
      </w:r>
      <w:r w:rsidR="00E66901">
        <w:rPr>
          <w:rFonts w:ascii="Arial" w:hAnsi="Arial" w:cs="Arial"/>
          <w:bCs/>
          <w:sz w:val="22"/>
          <w:szCs w:val="22"/>
          <w:lang w:val="en-GB"/>
        </w:rPr>
        <w:t>n application for annulment must be made within 12 months of the bankruptcy order being made</w:t>
      </w:r>
      <w:r w:rsidR="00E5525D">
        <w:rPr>
          <w:rFonts w:ascii="Arial" w:hAnsi="Arial" w:cs="Arial"/>
          <w:bCs/>
          <w:sz w:val="22"/>
          <w:szCs w:val="22"/>
          <w:lang w:val="en-GB"/>
        </w:rPr>
        <w:t>,</w:t>
      </w:r>
      <w:r w:rsidR="00E66901">
        <w:rPr>
          <w:rFonts w:ascii="Arial" w:hAnsi="Arial" w:cs="Arial"/>
          <w:bCs/>
          <w:sz w:val="22"/>
          <w:szCs w:val="22"/>
          <w:lang w:val="en-GB"/>
        </w:rPr>
        <w:t xml:space="preserve"> unless leave is given by the court for the application to be made later.</w:t>
      </w:r>
    </w:p>
    <w:p w14:paraId="5093C00C" w14:textId="77777777" w:rsidR="00E66901" w:rsidRDefault="00E66901" w:rsidP="002A37BB">
      <w:pPr>
        <w:jc w:val="both"/>
        <w:rPr>
          <w:rFonts w:ascii="Arial" w:hAnsi="Arial" w:cs="Arial"/>
          <w:bCs/>
          <w:sz w:val="22"/>
          <w:szCs w:val="22"/>
          <w:lang w:val="en-GB"/>
        </w:rPr>
      </w:pPr>
    </w:p>
    <w:p w14:paraId="35567DFE" w14:textId="3BBB26D7" w:rsidR="00E66901" w:rsidRDefault="00E66901" w:rsidP="002A37BB">
      <w:pPr>
        <w:jc w:val="both"/>
        <w:rPr>
          <w:rFonts w:ascii="Arial" w:hAnsi="Arial" w:cs="Arial"/>
          <w:bCs/>
          <w:sz w:val="22"/>
          <w:szCs w:val="22"/>
          <w:lang w:val="en-GB"/>
        </w:rPr>
      </w:pPr>
      <w:r>
        <w:rPr>
          <w:rFonts w:ascii="Arial" w:hAnsi="Arial" w:cs="Arial"/>
          <w:bCs/>
          <w:sz w:val="22"/>
          <w:szCs w:val="22"/>
          <w:lang w:val="en-GB"/>
        </w:rPr>
        <w:t>The Court to whom application is made by the bankrupt may annul the bankruptcy if:</w:t>
      </w:r>
    </w:p>
    <w:p w14:paraId="15CDD682" w14:textId="46166670" w:rsidR="00E66901" w:rsidRDefault="00E66901" w:rsidP="00E66901">
      <w:pPr>
        <w:pStyle w:val="ListParagraph"/>
        <w:numPr>
          <w:ilvl w:val="0"/>
          <w:numId w:val="20"/>
        </w:numPr>
        <w:jc w:val="both"/>
        <w:rPr>
          <w:rFonts w:ascii="Arial" w:hAnsi="Arial" w:cs="Arial"/>
          <w:bCs/>
          <w:sz w:val="22"/>
          <w:szCs w:val="22"/>
          <w:lang w:val="en-GB"/>
        </w:rPr>
      </w:pPr>
      <w:r w:rsidRPr="00E66901">
        <w:rPr>
          <w:rFonts w:ascii="Arial" w:hAnsi="Arial" w:cs="Arial"/>
          <w:bCs/>
          <w:sz w:val="22"/>
          <w:szCs w:val="22"/>
          <w:lang w:val="en-GB"/>
        </w:rPr>
        <w:t>The order ought not to have been made on grounds existing at that time</w:t>
      </w:r>
      <w:r>
        <w:rPr>
          <w:rFonts w:ascii="Arial" w:hAnsi="Arial" w:cs="Arial"/>
          <w:bCs/>
          <w:sz w:val="22"/>
          <w:szCs w:val="22"/>
          <w:lang w:val="en-GB"/>
        </w:rPr>
        <w:t>;</w:t>
      </w:r>
    </w:p>
    <w:p w14:paraId="388AAF2F" w14:textId="703BED95" w:rsidR="00E66901" w:rsidRDefault="00E66901" w:rsidP="00E66901">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Debts and expenses of the bankruptcy have been paid or secured to the satisfaction of the court;</w:t>
      </w:r>
    </w:p>
    <w:p w14:paraId="65053357" w14:textId="051DB910" w:rsidR="00E5525D" w:rsidRDefault="00E66901" w:rsidP="00E66901">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Distribution of the estate</w:t>
      </w:r>
      <w:r w:rsidR="00E5525D">
        <w:rPr>
          <w:rFonts w:ascii="Arial" w:hAnsi="Arial" w:cs="Arial"/>
          <w:bCs/>
          <w:sz w:val="22"/>
          <w:szCs w:val="22"/>
          <w:lang w:val="en-GB"/>
        </w:rPr>
        <w:t xml:space="preserve"> will take place in Malaysia; or </w:t>
      </w:r>
    </w:p>
    <w:p w14:paraId="15004E1F" w14:textId="2663958F" w:rsidR="00E66901" w:rsidRDefault="00281366" w:rsidP="00E66901">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M</w:t>
      </w:r>
      <w:r w:rsidR="00E66901">
        <w:rPr>
          <w:rFonts w:ascii="Arial" w:hAnsi="Arial" w:cs="Arial"/>
          <w:bCs/>
          <w:sz w:val="22"/>
          <w:szCs w:val="22"/>
          <w:lang w:val="en-GB"/>
        </w:rPr>
        <w:t>ajority of creditors are Malaysian residents and distribution ought to happen there</w:t>
      </w:r>
      <w:r>
        <w:rPr>
          <w:rFonts w:ascii="Arial" w:hAnsi="Arial" w:cs="Arial"/>
          <w:bCs/>
          <w:sz w:val="22"/>
          <w:szCs w:val="22"/>
          <w:lang w:val="en-GB"/>
        </w:rPr>
        <w:t xml:space="preserve"> under Malaysian bankruptcy law</w:t>
      </w:r>
    </w:p>
    <w:p w14:paraId="3A96A08E" w14:textId="77777777" w:rsidR="00E66901" w:rsidRDefault="00E66901" w:rsidP="00E66901">
      <w:pPr>
        <w:jc w:val="both"/>
        <w:rPr>
          <w:rFonts w:ascii="Arial" w:hAnsi="Arial" w:cs="Arial"/>
          <w:bCs/>
          <w:sz w:val="22"/>
          <w:szCs w:val="22"/>
          <w:lang w:val="en-GB"/>
        </w:rPr>
      </w:pPr>
    </w:p>
    <w:p w14:paraId="7B632CED" w14:textId="1618EC4D" w:rsidR="00197A18" w:rsidRDefault="00197A18" w:rsidP="00197A18">
      <w:pPr>
        <w:jc w:val="both"/>
        <w:rPr>
          <w:rFonts w:ascii="Arial" w:hAnsi="Arial" w:cs="Arial"/>
          <w:bCs/>
          <w:sz w:val="22"/>
          <w:szCs w:val="22"/>
          <w:lang w:val="en-GB"/>
        </w:rPr>
      </w:pPr>
      <w:r>
        <w:rPr>
          <w:rFonts w:ascii="Arial" w:hAnsi="Arial" w:cs="Arial"/>
          <w:bCs/>
          <w:sz w:val="22"/>
          <w:szCs w:val="22"/>
          <w:lang w:val="en-GB"/>
        </w:rPr>
        <w:t>Annulment of</w:t>
      </w:r>
      <w:r w:rsidR="00A312CA">
        <w:rPr>
          <w:rFonts w:ascii="Arial" w:hAnsi="Arial" w:cs="Arial"/>
          <w:bCs/>
          <w:sz w:val="22"/>
          <w:szCs w:val="22"/>
          <w:lang w:val="en-GB"/>
        </w:rPr>
        <w:t xml:space="preserve"> the</w:t>
      </w:r>
      <w:r>
        <w:rPr>
          <w:rFonts w:ascii="Arial" w:hAnsi="Arial" w:cs="Arial"/>
          <w:bCs/>
          <w:sz w:val="22"/>
          <w:szCs w:val="22"/>
          <w:lang w:val="en-GB"/>
        </w:rPr>
        <w:t xml:space="preserve"> bankruptcy by the Official Assignee</w:t>
      </w:r>
    </w:p>
    <w:p w14:paraId="709FB8D0" w14:textId="77777777" w:rsidR="00197A18" w:rsidRDefault="00197A18" w:rsidP="00E66901">
      <w:pPr>
        <w:jc w:val="both"/>
        <w:rPr>
          <w:rFonts w:ascii="Arial" w:hAnsi="Arial" w:cs="Arial"/>
          <w:bCs/>
          <w:sz w:val="22"/>
          <w:szCs w:val="22"/>
          <w:lang w:val="en-GB"/>
        </w:rPr>
      </w:pPr>
    </w:p>
    <w:p w14:paraId="31840571" w14:textId="7E76AE29" w:rsidR="00197A18" w:rsidRDefault="00197A18" w:rsidP="00197A18">
      <w:pPr>
        <w:jc w:val="both"/>
        <w:rPr>
          <w:rFonts w:ascii="Arial" w:hAnsi="Arial" w:cs="Arial"/>
          <w:bCs/>
          <w:sz w:val="22"/>
          <w:szCs w:val="22"/>
          <w:lang w:val="en-GB"/>
        </w:rPr>
      </w:pPr>
      <w:r>
        <w:rPr>
          <w:rFonts w:ascii="Arial" w:hAnsi="Arial" w:cs="Arial"/>
          <w:bCs/>
          <w:sz w:val="22"/>
          <w:szCs w:val="22"/>
          <w:lang w:val="en-GB"/>
        </w:rPr>
        <w:t>Under section 393 of the Singapore IRDA, a certificate annulling bankruptcy may be issued where it appears to the Official Assignee that debts for which proof has been provided and admitted and all expenses of bankruptcy have been repaid by the bankrupt.</w:t>
      </w:r>
    </w:p>
    <w:p w14:paraId="58182659" w14:textId="77777777" w:rsidR="00197A18" w:rsidRDefault="00197A18" w:rsidP="00E66901">
      <w:pPr>
        <w:jc w:val="both"/>
        <w:rPr>
          <w:rFonts w:ascii="Arial" w:hAnsi="Arial" w:cs="Arial"/>
          <w:bCs/>
          <w:sz w:val="22"/>
          <w:szCs w:val="22"/>
          <w:lang w:val="en-GB"/>
        </w:rPr>
      </w:pPr>
    </w:p>
    <w:p w14:paraId="7ACF4213" w14:textId="7513ABDE" w:rsidR="00E66901" w:rsidRDefault="00E66901" w:rsidP="00E66901">
      <w:pPr>
        <w:jc w:val="both"/>
        <w:rPr>
          <w:rFonts w:ascii="Arial" w:hAnsi="Arial" w:cs="Arial"/>
          <w:bCs/>
          <w:sz w:val="22"/>
          <w:szCs w:val="22"/>
          <w:lang w:val="en-GB"/>
        </w:rPr>
      </w:pPr>
      <w:r>
        <w:rPr>
          <w:rFonts w:ascii="Arial" w:hAnsi="Arial" w:cs="Arial"/>
          <w:bCs/>
          <w:sz w:val="22"/>
          <w:szCs w:val="22"/>
          <w:lang w:val="en-GB"/>
        </w:rPr>
        <w:t>Discharge of the bankrupt by Court</w:t>
      </w:r>
    </w:p>
    <w:p w14:paraId="7C26BC53" w14:textId="77777777" w:rsidR="00E66901" w:rsidRDefault="00E66901" w:rsidP="00E66901">
      <w:pPr>
        <w:jc w:val="both"/>
        <w:rPr>
          <w:rFonts w:ascii="Arial" w:hAnsi="Arial" w:cs="Arial"/>
          <w:bCs/>
          <w:sz w:val="22"/>
          <w:szCs w:val="22"/>
          <w:lang w:val="en-GB"/>
        </w:rPr>
      </w:pPr>
    </w:p>
    <w:p w14:paraId="0EB55D43" w14:textId="1CAE10FF" w:rsidR="00E66901" w:rsidRPr="00E66901" w:rsidRDefault="000D6B7A" w:rsidP="00E66901">
      <w:pPr>
        <w:jc w:val="both"/>
        <w:rPr>
          <w:rFonts w:ascii="Arial" w:hAnsi="Arial" w:cs="Arial"/>
          <w:bCs/>
          <w:sz w:val="22"/>
          <w:szCs w:val="22"/>
          <w:lang w:val="en-GB"/>
        </w:rPr>
      </w:pPr>
      <w:r>
        <w:rPr>
          <w:rFonts w:ascii="Arial" w:hAnsi="Arial" w:cs="Arial"/>
          <w:bCs/>
          <w:sz w:val="22"/>
          <w:szCs w:val="22"/>
          <w:lang w:val="en-GB"/>
        </w:rPr>
        <w:t>Under section 394 of the Singapore IRDA, T</w:t>
      </w:r>
      <w:r w:rsidR="00A84908">
        <w:rPr>
          <w:rFonts w:ascii="Arial" w:hAnsi="Arial" w:cs="Arial"/>
          <w:bCs/>
          <w:sz w:val="22"/>
          <w:szCs w:val="22"/>
          <w:lang w:val="en-GB"/>
        </w:rPr>
        <w:t>he application is served o</w:t>
      </w:r>
      <w:r w:rsidR="003C6696">
        <w:rPr>
          <w:rFonts w:ascii="Arial" w:hAnsi="Arial" w:cs="Arial"/>
          <w:bCs/>
          <w:sz w:val="22"/>
          <w:szCs w:val="22"/>
          <w:lang w:val="en-GB"/>
        </w:rPr>
        <w:t>n each creditor who has filed proof of debt and is eligible for court hearing before an order of discharge is given. The court may make an order discharging the bankrupt absolutely or with conditions. Conditions</w:t>
      </w:r>
      <w:r w:rsidR="00A94955">
        <w:rPr>
          <w:rFonts w:ascii="Arial" w:hAnsi="Arial" w:cs="Arial"/>
          <w:bCs/>
          <w:sz w:val="22"/>
          <w:szCs w:val="22"/>
          <w:lang w:val="en-GB"/>
        </w:rPr>
        <w:t xml:space="preserve"> </w:t>
      </w:r>
      <w:r w:rsidR="003C6696">
        <w:rPr>
          <w:rFonts w:ascii="Arial" w:hAnsi="Arial" w:cs="Arial"/>
          <w:bCs/>
          <w:sz w:val="22"/>
          <w:szCs w:val="22"/>
          <w:lang w:val="en-GB"/>
        </w:rPr>
        <w:t>may be with respect to future income or property of the bankrupt.</w:t>
      </w:r>
    </w:p>
    <w:p w14:paraId="4D3FAE59" w14:textId="77777777" w:rsidR="00E66901" w:rsidRPr="00E66901" w:rsidRDefault="00E66901" w:rsidP="00E66901">
      <w:pPr>
        <w:ind w:left="360"/>
        <w:jc w:val="both"/>
        <w:rPr>
          <w:rFonts w:ascii="Arial" w:hAnsi="Arial" w:cs="Arial"/>
          <w:bCs/>
          <w:sz w:val="22"/>
          <w:szCs w:val="22"/>
          <w:lang w:val="en-GB"/>
        </w:rPr>
      </w:pPr>
    </w:p>
    <w:p w14:paraId="150DB26A" w14:textId="48F0C15C" w:rsidR="00C550C8" w:rsidRDefault="00F661D0" w:rsidP="002A37BB">
      <w:pPr>
        <w:jc w:val="both"/>
        <w:rPr>
          <w:rFonts w:ascii="Arial" w:hAnsi="Arial" w:cs="Arial"/>
          <w:bCs/>
          <w:sz w:val="22"/>
          <w:szCs w:val="22"/>
          <w:lang w:val="en-GB"/>
        </w:rPr>
      </w:pPr>
      <w:r>
        <w:rPr>
          <w:rFonts w:ascii="Arial" w:hAnsi="Arial" w:cs="Arial"/>
          <w:bCs/>
          <w:sz w:val="22"/>
          <w:szCs w:val="22"/>
          <w:lang w:val="en-GB"/>
        </w:rPr>
        <w:t>Discharge by Official Assignee</w:t>
      </w:r>
    </w:p>
    <w:p w14:paraId="25F52748" w14:textId="77777777" w:rsidR="00F661D0" w:rsidRDefault="00F661D0" w:rsidP="002A37BB">
      <w:pPr>
        <w:jc w:val="both"/>
        <w:rPr>
          <w:rFonts w:ascii="Arial" w:hAnsi="Arial" w:cs="Arial"/>
          <w:bCs/>
          <w:sz w:val="22"/>
          <w:szCs w:val="22"/>
          <w:lang w:val="en-GB"/>
        </w:rPr>
      </w:pPr>
    </w:p>
    <w:p w14:paraId="5736B5D8" w14:textId="5638A07E" w:rsidR="00F661D0" w:rsidRDefault="008B2CE9" w:rsidP="002A37BB">
      <w:pPr>
        <w:jc w:val="both"/>
        <w:rPr>
          <w:rFonts w:ascii="Arial" w:hAnsi="Arial" w:cs="Arial"/>
          <w:bCs/>
          <w:sz w:val="22"/>
          <w:szCs w:val="22"/>
          <w:lang w:val="en-GB"/>
        </w:rPr>
      </w:pPr>
      <w:r>
        <w:rPr>
          <w:rFonts w:ascii="Arial" w:hAnsi="Arial" w:cs="Arial"/>
          <w:bCs/>
          <w:sz w:val="22"/>
          <w:szCs w:val="22"/>
          <w:lang w:val="en-GB"/>
        </w:rPr>
        <w:t>Under section 39</w:t>
      </w:r>
      <w:r w:rsidR="00F3051A">
        <w:rPr>
          <w:rFonts w:ascii="Arial" w:hAnsi="Arial" w:cs="Arial"/>
          <w:bCs/>
          <w:sz w:val="22"/>
          <w:szCs w:val="22"/>
          <w:lang w:val="en-GB"/>
        </w:rPr>
        <w:t>5</w:t>
      </w:r>
      <w:r>
        <w:rPr>
          <w:rFonts w:ascii="Arial" w:hAnsi="Arial" w:cs="Arial"/>
          <w:bCs/>
          <w:sz w:val="22"/>
          <w:szCs w:val="22"/>
          <w:lang w:val="en-GB"/>
        </w:rPr>
        <w:t xml:space="preserve"> of the Singapore IRDA, </w:t>
      </w:r>
      <w:r w:rsidR="00F661D0">
        <w:rPr>
          <w:rFonts w:ascii="Arial" w:hAnsi="Arial" w:cs="Arial"/>
          <w:bCs/>
          <w:sz w:val="22"/>
          <w:szCs w:val="22"/>
          <w:lang w:val="en-GB"/>
        </w:rPr>
        <w:t>The Official Assignee may, in his discretion, issue a certificate of discharge subject to certain conditions.</w:t>
      </w:r>
      <w:r>
        <w:rPr>
          <w:rFonts w:ascii="Arial" w:hAnsi="Arial" w:cs="Arial"/>
          <w:bCs/>
          <w:sz w:val="22"/>
          <w:szCs w:val="22"/>
          <w:lang w:val="en-GB"/>
        </w:rPr>
        <w:t xml:space="preserve"> </w:t>
      </w:r>
    </w:p>
    <w:p w14:paraId="1C8479AE" w14:textId="77777777" w:rsidR="00F661D0" w:rsidRPr="002A37BB" w:rsidRDefault="00F661D0"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proofErr w:type="gramStart"/>
      <w:r>
        <w:rPr>
          <w:rFonts w:ascii="Arial" w:hAnsi="Arial" w:cs="Arial"/>
          <w:sz w:val="22"/>
          <w:szCs w:val="22"/>
          <w:lang w:val="en-GB"/>
        </w:rPr>
        <w:t>under</w:t>
      </w:r>
      <w:proofErr w:type="gramEnd"/>
      <w:r>
        <w:rPr>
          <w:rFonts w:ascii="Arial" w:hAnsi="Arial" w:cs="Arial"/>
          <w:sz w:val="22"/>
          <w:szCs w:val="22"/>
          <w:lang w:val="en-GB"/>
        </w:rPr>
        <w:t xml:space="preserve">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2C6516E0" w14:textId="77777777" w:rsidR="009F4739" w:rsidRPr="009B3859" w:rsidRDefault="009F4739" w:rsidP="009F4739">
      <w:pPr>
        <w:ind w:left="720" w:hanging="720"/>
        <w:jc w:val="both"/>
        <w:rPr>
          <w:rFonts w:ascii="Arial" w:hAnsi="Arial" w:cs="Arial"/>
          <w:b/>
          <w:sz w:val="22"/>
          <w:szCs w:val="22"/>
          <w:lang w:val="en-GB"/>
        </w:rPr>
      </w:pPr>
      <w:r w:rsidRPr="009B3859">
        <w:rPr>
          <w:rFonts w:ascii="Arial" w:hAnsi="Arial" w:cs="Arial"/>
          <w:b/>
          <w:sz w:val="22"/>
          <w:szCs w:val="22"/>
          <w:lang w:val="en-GB"/>
        </w:rPr>
        <w:t>ANSWER</w:t>
      </w:r>
    </w:p>
    <w:p w14:paraId="4E6412EF" w14:textId="77777777" w:rsidR="00544127" w:rsidRDefault="00544127" w:rsidP="002A37BB">
      <w:pPr>
        <w:ind w:left="720" w:hanging="720"/>
        <w:jc w:val="both"/>
        <w:rPr>
          <w:rFonts w:ascii="Arial" w:hAnsi="Arial" w:cs="Arial"/>
          <w:sz w:val="22"/>
          <w:szCs w:val="22"/>
        </w:rPr>
      </w:pPr>
    </w:p>
    <w:p w14:paraId="515B6878" w14:textId="7E1A9515" w:rsidR="009F4739" w:rsidRPr="002A37BB" w:rsidRDefault="007C4B26" w:rsidP="009F4739">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proofErr w:type="gramStart"/>
      <w:r w:rsidR="009F4739" w:rsidRPr="009F4739">
        <w:rPr>
          <w:rFonts w:ascii="Arial" w:hAnsi="Arial" w:cs="Arial"/>
          <w:sz w:val="22"/>
          <w:szCs w:val="22"/>
        </w:rPr>
        <w:t>the</w:t>
      </w:r>
      <w:proofErr w:type="gramEnd"/>
      <w:r w:rsidR="009F4739" w:rsidRPr="009F4739">
        <w:rPr>
          <w:rFonts w:ascii="Arial" w:hAnsi="Arial" w:cs="Arial"/>
          <w:sz w:val="22"/>
          <w:szCs w:val="22"/>
        </w:rPr>
        <w:t xml:space="preserve"> restrictions on ipso facto clauses</w:t>
      </w:r>
      <w:r w:rsidR="009F4739">
        <w:rPr>
          <w:rFonts w:ascii="Arial" w:hAnsi="Arial" w:cs="Arial"/>
          <w:sz w:val="22"/>
          <w:szCs w:val="22"/>
        </w:rPr>
        <w:t xml:space="preserve"> </w:t>
      </w:r>
      <w:r w:rsidR="009F4739">
        <w:rPr>
          <w:rFonts w:ascii="Arial" w:hAnsi="Arial" w:cs="Arial"/>
          <w:sz w:val="22"/>
          <w:szCs w:val="22"/>
          <w:lang w:val="en-GB"/>
        </w:rPr>
        <w:t xml:space="preserve">under the Singapore IRDA. </w:t>
      </w:r>
    </w:p>
    <w:p w14:paraId="41BE7F33" w14:textId="792D13BE" w:rsidR="009F4739" w:rsidRDefault="009F4739" w:rsidP="002A37BB">
      <w:pPr>
        <w:ind w:left="720" w:hanging="720"/>
        <w:jc w:val="both"/>
        <w:rPr>
          <w:rFonts w:ascii="Arial" w:hAnsi="Arial" w:cs="Arial"/>
          <w:sz w:val="22"/>
          <w:szCs w:val="22"/>
        </w:rPr>
      </w:pPr>
    </w:p>
    <w:p w14:paraId="227304B0" w14:textId="531246A6" w:rsidR="00FA52A1" w:rsidRDefault="00FA52A1" w:rsidP="002A37BB">
      <w:pPr>
        <w:ind w:left="720" w:hanging="720"/>
        <w:jc w:val="both"/>
        <w:rPr>
          <w:rFonts w:ascii="Arial" w:hAnsi="Arial" w:cs="Arial"/>
          <w:sz w:val="22"/>
          <w:szCs w:val="22"/>
        </w:rPr>
      </w:pPr>
      <w:r>
        <w:rPr>
          <w:rFonts w:ascii="Arial" w:hAnsi="Arial" w:cs="Arial"/>
          <w:sz w:val="22"/>
          <w:szCs w:val="22"/>
        </w:rPr>
        <w:t>Section 440 of the IRDA – Certain contractual rights limited</w:t>
      </w:r>
    </w:p>
    <w:p w14:paraId="31879D72" w14:textId="77777777" w:rsidR="00FA52A1" w:rsidRPr="00323BF3" w:rsidRDefault="00FA52A1" w:rsidP="002A37BB">
      <w:pPr>
        <w:ind w:left="720" w:hanging="720"/>
        <w:jc w:val="both"/>
        <w:rPr>
          <w:rFonts w:ascii="Arial" w:hAnsi="Arial" w:cs="Arial"/>
          <w:sz w:val="22"/>
          <w:szCs w:val="22"/>
        </w:rPr>
      </w:pPr>
    </w:p>
    <w:p w14:paraId="404E0EEB" w14:textId="56305C9D" w:rsidR="009F4739" w:rsidRDefault="009F4739" w:rsidP="009F4739">
      <w:pPr>
        <w:jc w:val="both"/>
        <w:rPr>
          <w:rFonts w:ascii="Arial" w:hAnsi="Arial" w:cs="Arial"/>
          <w:sz w:val="22"/>
          <w:szCs w:val="22"/>
        </w:rPr>
      </w:pPr>
      <w:r>
        <w:rPr>
          <w:rFonts w:ascii="Arial" w:hAnsi="Arial" w:cs="Arial"/>
          <w:sz w:val="22"/>
          <w:szCs w:val="22"/>
        </w:rPr>
        <w:t>The Singapor</w:t>
      </w:r>
      <w:r w:rsidR="00511933">
        <w:rPr>
          <w:rFonts w:ascii="Arial" w:hAnsi="Arial" w:cs="Arial"/>
          <w:sz w:val="22"/>
          <w:szCs w:val="22"/>
        </w:rPr>
        <w:t>e IRDA introduced new provision</w:t>
      </w:r>
      <w:r>
        <w:rPr>
          <w:rFonts w:ascii="Arial" w:hAnsi="Arial" w:cs="Arial"/>
          <w:sz w:val="22"/>
          <w:szCs w:val="22"/>
        </w:rPr>
        <w:t xml:space="preserve"> u/s 440 making </w:t>
      </w:r>
      <w:r w:rsidR="001943A7">
        <w:rPr>
          <w:rFonts w:ascii="Arial" w:hAnsi="Arial" w:cs="Arial"/>
          <w:sz w:val="22"/>
          <w:szCs w:val="22"/>
        </w:rPr>
        <w:t xml:space="preserve">certain </w:t>
      </w:r>
      <w:r>
        <w:rPr>
          <w:rFonts w:ascii="Arial" w:hAnsi="Arial" w:cs="Arial"/>
          <w:sz w:val="22"/>
          <w:szCs w:val="22"/>
        </w:rPr>
        <w:t>ipso facto clauses ino</w:t>
      </w:r>
      <w:r w:rsidR="00511933">
        <w:rPr>
          <w:rFonts w:ascii="Arial" w:hAnsi="Arial" w:cs="Arial"/>
          <w:sz w:val="22"/>
          <w:szCs w:val="22"/>
        </w:rPr>
        <w:t>perative upon debtor entering</w:t>
      </w:r>
      <w:r>
        <w:rPr>
          <w:rFonts w:ascii="Arial" w:hAnsi="Arial" w:cs="Arial"/>
          <w:sz w:val="22"/>
          <w:szCs w:val="22"/>
        </w:rPr>
        <w:t xml:space="preserve"> formal insolvency. This is directly inspired by a similar provision in the Canadian insol</w:t>
      </w:r>
      <w:r w:rsidR="00531EA5">
        <w:rPr>
          <w:rFonts w:ascii="Arial" w:hAnsi="Arial" w:cs="Arial"/>
          <w:sz w:val="22"/>
          <w:szCs w:val="22"/>
        </w:rPr>
        <w:t xml:space="preserve">vency laws. Other jurisdictions, similarly, </w:t>
      </w:r>
      <w:r>
        <w:rPr>
          <w:rFonts w:ascii="Arial" w:hAnsi="Arial" w:cs="Arial"/>
          <w:sz w:val="22"/>
          <w:szCs w:val="22"/>
        </w:rPr>
        <w:t>have restrictions on triggering ipso facto clauses on the debtor entering a formal insolvency procedure.</w:t>
      </w:r>
      <w:r w:rsidR="00AF0C9F">
        <w:rPr>
          <w:rFonts w:ascii="Arial" w:hAnsi="Arial" w:cs="Arial"/>
          <w:sz w:val="22"/>
          <w:szCs w:val="22"/>
        </w:rPr>
        <w:t xml:space="preserve"> Restrictions u/s 44</w:t>
      </w:r>
      <w:r w:rsidR="004B124C">
        <w:rPr>
          <w:rFonts w:ascii="Arial" w:hAnsi="Arial" w:cs="Arial"/>
          <w:sz w:val="22"/>
          <w:szCs w:val="22"/>
        </w:rPr>
        <w:t>0</w:t>
      </w:r>
      <w:r w:rsidR="00AF0C9F">
        <w:rPr>
          <w:rFonts w:ascii="Arial" w:hAnsi="Arial" w:cs="Arial"/>
          <w:sz w:val="22"/>
          <w:szCs w:val="22"/>
        </w:rPr>
        <w:t xml:space="preserve"> of IRDA, 2018 are applicable to judicial management and the super charged scheme</w:t>
      </w:r>
      <w:r w:rsidR="004B124C">
        <w:rPr>
          <w:rFonts w:ascii="Arial" w:hAnsi="Arial" w:cs="Arial"/>
          <w:sz w:val="22"/>
          <w:szCs w:val="22"/>
        </w:rPr>
        <w:t>,</w:t>
      </w:r>
      <w:r w:rsidR="001B5F21">
        <w:rPr>
          <w:rFonts w:ascii="Arial" w:hAnsi="Arial" w:cs="Arial"/>
          <w:sz w:val="22"/>
          <w:szCs w:val="22"/>
        </w:rPr>
        <w:t xml:space="preserve"> where contracts have been entered</w:t>
      </w:r>
      <w:r w:rsidR="0019616D">
        <w:rPr>
          <w:rFonts w:ascii="Arial" w:hAnsi="Arial" w:cs="Arial"/>
          <w:sz w:val="22"/>
          <w:szCs w:val="22"/>
        </w:rPr>
        <w:t xml:space="preserve"> after enactment of the IRDA</w:t>
      </w:r>
      <w:r w:rsidR="004A2488">
        <w:rPr>
          <w:rFonts w:ascii="Arial" w:hAnsi="Arial" w:cs="Arial"/>
          <w:sz w:val="22"/>
          <w:szCs w:val="22"/>
        </w:rPr>
        <w:t>.</w:t>
      </w:r>
      <w:r w:rsidR="001943A7">
        <w:rPr>
          <w:rFonts w:ascii="Arial" w:hAnsi="Arial" w:cs="Arial"/>
          <w:sz w:val="22"/>
          <w:szCs w:val="22"/>
        </w:rPr>
        <w:t xml:space="preserve"> However, there is no blanket restrictions on exercise of contractual rights </w:t>
      </w:r>
      <w:r w:rsidR="00572AA4">
        <w:rPr>
          <w:rFonts w:ascii="Arial" w:hAnsi="Arial" w:cs="Arial"/>
          <w:sz w:val="22"/>
          <w:szCs w:val="22"/>
        </w:rPr>
        <w:t>under</w:t>
      </w:r>
      <w:r w:rsidR="001943A7">
        <w:rPr>
          <w:rFonts w:ascii="Arial" w:hAnsi="Arial" w:cs="Arial"/>
          <w:sz w:val="22"/>
          <w:szCs w:val="22"/>
        </w:rPr>
        <w:t xml:space="preserve"> other legitimate grounds </w:t>
      </w:r>
      <w:r w:rsidR="00BD483C">
        <w:rPr>
          <w:rFonts w:ascii="Arial" w:hAnsi="Arial" w:cs="Arial"/>
          <w:sz w:val="22"/>
          <w:szCs w:val="22"/>
        </w:rPr>
        <w:t xml:space="preserve">such as default in payment of money for goods and services, leased property or any other valuable consideration provided after commencement of proceedings or </w:t>
      </w:r>
      <w:r w:rsidR="00971683">
        <w:rPr>
          <w:rFonts w:ascii="Arial" w:hAnsi="Arial" w:cs="Arial"/>
          <w:sz w:val="22"/>
          <w:szCs w:val="22"/>
        </w:rPr>
        <w:t xml:space="preserve">when </w:t>
      </w:r>
      <w:r w:rsidR="00BD483C">
        <w:rPr>
          <w:rFonts w:ascii="Arial" w:hAnsi="Arial" w:cs="Arial"/>
          <w:sz w:val="22"/>
          <w:szCs w:val="22"/>
        </w:rPr>
        <w:t xml:space="preserve">requiring further financing. </w:t>
      </w:r>
    </w:p>
    <w:p w14:paraId="2D31FDE1" w14:textId="77777777" w:rsidR="003F0C71" w:rsidRDefault="003F0C71" w:rsidP="009F4739">
      <w:pPr>
        <w:jc w:val="both"/>
        <w:rPr>
          <w:rFonts w:ascii="Arial" w:hAnsi="Arial" w:cs="Arial"/>
          <w:sz w:val="22"/>
          <w:szCs w:val="22"/>
        </w:rPr>
      </w:pPr>
    </w:p>
    <w:p w14:paraId="1BE3B25E" w14:textId="15911766" w:rsidR="00362BAC" w:rsidRDefault="00821216" w:rsidP="00362BAC">
      <w:pPr>
        <w:jc w:val="both"/>
        <w:rPr>
          <w:rFonts w:ascii="Arial" w:hAnsi="Arial" w:cs="Arial"/>
          <w:sz w:val="22"/>
          <w:szCs w:val="22"/>
        </w:rPr>
      </w:pPr>
      <w:r>
        <w:rPr>
          <w:rFonts w:ascii="Arial" w:hAnsi="Arial" w:cs="Arial"/>
          <w:sz w:val="22"/>
          <w:szCs w:val="22"/>
        </w:rPr>
        <w:t>U/s 440</w:t>
      </w:r>
      <w:r w:rsidR="00843186">
        <w:rPr>
          <w:rFonts w:ascii="Arial" w:hAnsi="Arial" w:cs="Arial"/>
          <w:sz w:val="22"/>
          <w:szCs w:val="22"/>
        </w:rPr>
        <w:t>(4) of the IRDA, a</w:t>
      </w:r>
      <w:r w:rsidR="003F0C71">
        <w:rPr>
          <w:rFonts w:ascii="Arial" w:hAnsi="Arial" w:cs="Arial"/>
          <w:sz w:val="22"/>
          <w:szCs w:val="22"/>
        </w:rPr>
        <w:t xml:space="preserve"> counter party to agreement with an insolvent debtor may apply to the </w:t>
      </w:r>
      <w:r w:rsidR="00473335">
        <w:rPr>
          <w:rFonts w:ascii="Arial" w:hAnsi="Arial" w:cs="Arial"/>
          <w:sz w:val="22"/>
          <w:szCs w:val="22"/>
        </w:rPr>
        <w:t>c</w:t>
      </w:r>
      <w:r w:rsidR="003F0C71">
        <w:rPr>
          <w:rFonts w:ascii="Arial" w:hAnsi="Arial" w:cs="Arial"/>
          <w:sz w:val="22"/>
          <w:szCs w:val="22"/>
        </w:rPr>
        <w:t>ourt seeking relief from application of this section</w:t>
      </w:r>
      <w:r w:rsidR="00473335">
        <w:rPr>
          <w:rFonts w:ascii="Arial" w:hAnsi="Arial" w:cs="Arial"/>
          <w:sz w:val="22"/>
          <w:szCs w:val="22"/>
        </w:rPr>
        <w:t>,</w:t>
      </w:r>
      <w:r w:rsidR="003F0C71">
        <w:rPr>
          <w:rFonts w:ascii="Arial" w:hAnsi="Arial" w:cs="Arial"/>
          <w:sz w:val="22"/>
          <w:szCs w:val="22"/>
        </w:rPr>
        <w:t xml:space="preserve"> where</w:t>
      </w:r>
      <w:r w:rsidR="00473335">
        <w:rPr>
          <w:rFonts w:ascii="Arial" w:hAnsi="Arial" w:cs="Arial"/>
          <w:sz w:val="22"/>
          <w:szCs w:val="22"/>
        </w:rPr>
        <w:t>,</w:t>
      </w:r>
      <w:r w:rsidR="003F0C71">
        <w:rPr>
          <w:rFonts w:ascii="Arial" w:hAnsi="Arial" w:cs="Arial"/>
          <w:sz w:val="22"/>
          <w:szCs w:val="22"/>
        </w:rPr>
        <w:t xml:space="preserve"> it can be demonstrated that restricting application of ipso facto clauses would cause applicant significant financial hardship</w:t>
      </w:r>
      <w:r w:rsidR="00473335">
        <w:rPr>
          <w:rFonts w:ascii="Arial" w:hAnsi="Arial" w:cs="Arial"/>
          <w:sz w:val="22"/>
          <w:szCs w:val="22"/>
        </w:rPr>
        <w:t xml:space="preserve"> to the counter-party</w:t>
      </w:r>
      <w:r w:rsidR="003F0C71">
        <w:rPr>
          <w:rFonts w:ascii="Arial" w:hAnsi="Arial" w:cs="Arial"/>
          <w:sz w:val="22"/>
          <w:szCs w:val="22"/>
        </w:rPr>
        <w:t xml:space="preserve">.  </w:t>
      </w:r>
    </w:p>
    <w:p w14:paraId="3DF49B21" w14:textId="77777777" w:rsidR="00362BAC" w:rsidRDefault="00362BAC" w:rsidP="00362BAC">
      <w:pPr>
        <w:jc w:val="both"/>
        <w:rPr>
          <w:rFonts w:ascii="Arial" w:hAnsi="Arial" w:cs="Arial"/>
          <w:sz w:val="22"/>
          <w:szCs w:val="22"/>
        </w:rPr>
      </w:pPr>
    </w:p>
    <w:p w14:paraId="14A64875" w14:textId="7727D2D4" w:rsidR="00362BAC" w:rsidRDefault="00362BAC" w:rsidP="00362BAC">
      <w:pPr>
        <w:jc w:val="both"/>
        <w:rPr>
          <w:rFonts w:ascii="Arial" w:hAnsi="Arial" w:cs="Arial"/>
          <w:sz w:val="22"/>
          <w:szCs w:val="22"/>
        </w:rPr>
      </w:pPr>
      <w:r>
        <w:rPr>
          <w:rFonts w:ascii="Arial" w:hAnsi="Arial" w:cs="Arial"/>
          <w:sz w:val="22"/>
          <w:szCs w:val="22"/>
        </w:rPr>
        <w:t>Section 440 (5) provides a carve-out and states that sub-section 440(1) does not apply to legal rights under the following contracts:</w:t>
      </w:r>
    </w:p>
    <w:p w14:paraId="4DD008EC" w14:textId="4720E4E4" w:rsidR="00362BAC" w:rsidRDefault="00362BAC" w:rsidP="00362BAC">
      <w:pPr>
        <w:pStyle w:val="ListParagraph"/>
        <w:numPr>
          <w:ilvl w:val="0"/>
          <w:numId w:val="22"/>
        </w:numPr>
        <w:jc w:val="both"/>
        <w:rPr>
          <w:rFonts w:ascii="Arial" w:hAnsi="Arial" w:cs="Arial"/>
          <w:sz w:val="22"/>
          <w:szCs w:val="22"/>
        </w:rPr>
      </w:pPr>
      <w:r w:rsidRPr="00362BAC">
        <w:rPr>
          <w:rFonts w:ascii="Arial" w:hAnsi="Arial" w:cs="Arial"/>
          <w:sz w:val="22"/>
          <w:szCs w:val="22"/>
        </w:rPr>
        <w:t>Eligible financial contracts</w:t>
      </w:r>
      <w:r>
        <w:rPr>
          <w:rFonts w:ascii="Arial" w:hAnsi="Arial" w:cs="Arial"/>
          <w:sz w:val="22"/>
          <w:szCs w:val="22"/>
        </w:rPr>
        <w:t xml:space="preserve"> as may be prescribed;</w:t>
      </w:r>
    </w:p>
    <w:p w14:paraId="68F71A82" w14:textId="340FAD97" w:rsidR="00362BAC" w:rsidRDefault="00843186" w:rsidP="00362BAC">
      <w:pPr>
        <w:pStyle w:val="ListParagraph"/>
        <w:numPr>
          <w:ilvl w:val="0"/>
          <w:numId w:val="22"/>
        </w:numPr>
        <w:jc w:val="both"/>
        <w:rPr>
          <w:rFonts w:ascii="Arial" w:hAnsi="Arial" w:cs="Arial"/>
          <w:sz w:val="22"/>
          <w:szCs w:val="22"/>
        </w:rPr>
      </w:pPr>
      <w:r>
        <w:rPr>
          <w:rFonts w:ascii="Arial" w:hAnsi="Arial" w:cs="Arial"/>
          <w:sz w:val="22"/>
          <w:szCs w:val="22"/>
        </w:rPr>
        <w:t>License</w:t>
      </w:r>
      <w:r w:rsidR="00362BAC">
        <w:rPr>
          <w:rFonts w:ascii="Arial" w:hAnsi="Arial" w:cs="Arial"/>
          <w:sz w:val="22"/>
          <w:szCs w:val="22"/>
        </w:rPr>
        <w:t>, permit or approval issued by the Government or a statutory body;</w:t>
      </w:r>
    </w:p>
    <w:p w14:paraId="53F9DDB0" w14:textId="34E5FA48" w:rsidR="00362BAC" w:rsidRDefault="00362BAC" w:rsidP="00362BAC">
      <w:pPr>
        <w:pStyle w:val="ListParagraph"/>
        <w:numPr>
          <w:ilvl w:val="0"/>
          <w:numId w:val="22"/>
        </w:numPr>
        <w:jc w:val="both"/>
        <w:rPr>
          <w:rFonts w:ascii="Arial" w:hAnsi="Arial" w:cs="Arial"/>
          <w:sz w:val="22"/>
          <w:szCs w:val="22"/>
        </w:rPr>
      </w:pPr>
      <w:r>
        <w:rPr>
          <w:rFonts w:ascii="Arial" w:hAnsi="Arial" w:cs="Arial"/>
          <w:sz w:val="22"/>
          <w:szCs w:val="22"/>
        </w:rPr>
        <w:t>Contract affecting national or economic interest of Singapore;</w:t>
      </w:r>
    </w:p>
    <w:p w14:paraId="6A896B4B" w14:textId="75BF746B" w:rsidR="00362BAC" w:rsidRDefault="00362BAC" w:rsidP="00362BAC">
      <w:pPr>
        <w:pStyle w:val="ListParagraph"/>
        <w:numPr>
          <w:ilvl w:val="0"/>
          <w:numId w:val="22"/>
        </w:numPr>
        <w:jc w:val="both"/>
        <w:rPr>
          <w:rFonts w:ascii="Arial" w:hAnsi="Arial" w:cs="Arial"/>
          <w:sz w:val="22"/>
          <w:szCs w:val="22"/>
        </w:rPr>
      </w:pPr>
      <w:r>
        <w:rPr>
          <w:rFonts w:ascii="Arial" w:hAnsi="Arial" w:cs="Arial"/>
          <w:sz w:val="22"/>
          <w:szCs w:val="22"/>
        </w:rPr>
        <w:t>Any commercial charter of ship;</w:t>
      </w:r>
    </w:p>
    <w:p w14:paraId="64735D06" w14:textId="77172A56" w:rsidR="00362BAC" w:rsidRDefault="00362BAC" w:rsidP="00362BAC">
      <w:pPr>
        <w:pStyle w:val="ListParagraph"/>
        <w:numPr>
          <w:ilvl w:val="0"/>
          <w:numId w:val="22"/>
        </w:numPr>
        <w:jc w:val="both"/>
        <w:rPr>
          <w:rFonts w:ascii="Arial" w:hAnsi="Arial" w:cs="Arial"/>
          <w:sz w:val="22"/>
          <w:szCs w:val="22"/>
        </w:rPr>
      </w:pPr>
      <w:r>
        <w:rPr>
          <w:rFonts w:ascii="Arial" w:hAnsi="Arial" w:cs="Arial"/>
          <w:sz w:val="22"/>
          <w:szCs w:val="22"/>
        </w:rPr>
        <w:t>Any agreement within  the meaning of the Convention as defined in section 2(1) of the International Interests in Aircraft Equipment Act (Cap. 144B); or</w:t>
      </w:r>
    </w:p>
    <w:p w14:paraId="4EC50329" w14:textId="537F9839" w:rsidR="00362BAC" w:rsidRPr="00362BAC" w:rsidRDefault="00362BAC" w:rsidP="00362BAC">
      <w:pPr>
        <w:pStyle w:val="ListParagraph"/>
        <w:numPr>
          <w:ilvl w:val="0"/>
          <w:numId w:val="22"/>
        </w:numPr>
        <w:jc w:val="both"/>
        <w:rPr>
          <w:rFonts w:ascii="Arial" w:hAnsi="Arial" w:cs="Arial"/>
          <w:sz w:val="22"/>
          <w:szCs w:val="22"/>
        </w:rPr>
      </w:pPr>
      <w:r>
        <w:rPr>
          <w:rFonts w:ascii="Arial" w:hAnsi="Arial" w:cs="Arial"/>
          <w:sz w:val="22"/>
          <w:szCs w:val="22"/>
        </w:rPr>
        <w:t>Any</w:t>
      </w:r>
      <w:r w:rsidR="00473335">
        <w:rPr>
          <w:rFonts w:ascii="Arial" w:hAnsi="Arial" w:cs="Arial"/>
          <w:sz w:val="22"/>
          <w:szCs w:val="22"/>
        </w:rPr>
        <w:t xml:space="preserve"> agreement that is the subject </w:t>
      </w:r>
      <w:r>
        <w:rPr>
          <w:rFonts w:ascii="Arial" w:hAnsi="Arial" w:cs="Arial"/>
          <w:sz w:val="22"/>
          <w:szCs w:val="22"/>
        </w:rPr>
        <w:t>of a treaty to which Singapore is a party, as may be pre</w:t>
      </w:r>
      <w:r w:rsidR="00FC78E1">
        <w:rPr>
          <w:rFonts w:ascii="Arial" w:hAnsi="Arial" w:cs="Arial"/>
          <w:sz w:val="22"/>
          <w:szCs w:val="22"/>
        </w:rPr>
        <w:t>s</w:t>
      </w:r>
      <w:r>
        <w:rPr>
          <w:rFonts w:ascii="Arial" w:hAnsi="Arial" w:cs="Arial"/>
          <w:sz w:val="22"/>
          <w:szCs w:val="22"/>
        </w:rPr>
        <w:t>cribed</w:t>
      </w:r>
    </w:p>
    <w:p w14:paraId="2351EF3C" w14:textId="77777777" w:rsidR="00FC78E1" w:rsidRDefault="00FC78E1" w:rsidP="002A37BB">
      <w:pPr>
        <w:ind w:left="720" w:hanging="720"/>
        <w:jc w:val="both"/>
        <w:rPr>
          <w:rFonts w:ascii="Arial" w:hAnsi="Arial" w:cs="Arial"/>
          <w:sz w:val="22"/>
          <w:szCs w:val="22"/>
        </w:rPr>
      </w:pPr>
    </w:p>
    <w:p w14:paraId="2F05904A" w14:textId="60FF9640" w:rsidR="009F4739" w:rsidRDefault="00FC78E1" w:rsidP="00FC78E1">
      <w:pPr>
        <w:jc w:val="both"/>
        <w:rPr>
          <w:rFonts w:ascii="Arial" w:hAnsi="Arial" w:cs="Arial"/>
          <w:sz w:val="22"/>
          <w:szCs w:val="22"/>
        </w:rPr>
      </w:pPr>
      <w:r>
        <w:rPr>
          <w:rFonts w:ascii="Arial" w:hAnsi="Arial" w:cs="Arial"/>
          <w:sz w:val="22"/>
          <w:szCs w:val="22"/>
        </w:rPr>
        <w:t>Restrictions on exercise of ipso facto clauses for debtors under insolvencies can also be used by foreign companies</w:t>
      </w:r>
      <w:r w:rsidR="00473335">
        <w:rPr>
          <w:rFonts w:ascii="Arial" w:hAnsi="Arial" w:cs="Arial"/>
          <w:sz w:val="22"/>
          <w:szCs w:val="22"/>
        </w:rPr>
        <w:t>,</w:t>
      </w:r>
      <w:r>
        <w:rPr>
          <w:rFonts w:ascii="Arial" w:hAnsi="Arial" w:cs="Arial"/>
          <w:sz w:val="22"/>
          <w:szCs w:val="22"/>
        </w:rPr>
        <w:t xml:space="preserve"> if it can demonstrate </w:t>
      </w:r>
      <w:r w:rsidR="000730EC">
        <w:rPr>
          <w:rFonts w:ascii="Arial" w:hAnsi="Arial" w:cs="Arial"/>
          <w:sz w:val="22"/>
          <w:szCs w:val="22"/>
        </w:rPr>
        <w:t>substantial connection to Singapore and restriction does not expressly confine its effects to contracts governed by Singapore law.</w:t>
      </w:r>
    </w:p>
    <w:p w14:paraId="6942EB61" w14:textId="77777777" w:rsidR="00FC78E1" w:rsidRDefault="00FC78E1" w:rsidP="002A37BB">
      <w:pPr>
        <w:ind w:left="720" w:hanging="720"/>
        <w:jc w:val="both"/>
        <w:rPr>
          <w:rFonts w:ascii="Arial" w:hAnsi="Arial" w:cs="Arial"/>
          <w:sz w:val="22"/>
          <w:szCs w:val="22"/>
        </w:rPr>
      </w:pPr>
    </w:p>
    <w:p w14:paraId="0227E101" w14:textId="2442A14D" w:rsidR="007C4B26" w:rsidRPr="007C4B26" w:rsidRDefault="007C4B26" w:rsidP="007C4B26">
      <w:pPr>
        <w:jc w:val="both"/>
        <w:rPr>
          <w:rFonts w:ascii="Arial" w:hAnsi="Arial" w:cs="Arial"/>
          <w:sz w:val="22"/>
          <w:szCs w:val="22"/>
        </w:rPr>
      </w:pPr>
      <w:r>
        <w:rPr>
          <w:rFonts w:ascii="Arial" w:hAnsi="Arial" w:cs="Arial"/>
          <w:sz w:val="22"/>
          <w:szCs w:val="22"/>
          <w:lang w:val="en-GB"/>
        </w:rPr>
        <w:t xml:space="preserve">(ii) </w:t>
      </w:r>
      <w:r w:rsidRPr="007C4B26">
        <w:rPr>
          <w:rFonts w:ascii="Arial" w:hAnsi="Arial" w:cs="Arial"/>
          <w:sz w:val="22"/>
          <w:szCs w:val="22"/>
          <w:lang w:val="en-GB"/>
        </w:rPr>
        <w:t xml:space="preserve">Wrongful trading under the Singapore IRDA. </w:t>
      </w:r>
    </w:p>
    <w:p w14:paraId="3BD2F224" w14:textId="77777777" w:rsidR="007C4B26" w:rsidRDefault="007C4B26" w:rsidP="002A37BB">
      <w:pPr>
        <w:ind w:left="720" w:hanging="720"/>
        <w:jc w:val="both"/>
        <w:rPr>
          <w:rFonts w:ascii="Arial" w:hAnsi="Arial" w:cs="Arial"/>
          <w:sz w:val="22"/>
          <w:szCs w:val="22"/>
        </w:rPr>
      </w:pPr>
    </w:p>
    <w:p w14:paraId="28D8BBAC" w14:textId="7134E91B" w:rsidR="00010230" w:rsidRDefault="00010230" w:rsidP="002A37BB">
      <w:pPr>
        <w:ind w:left="720" w:hanging="720"/>
        <w:jc w:val="both"/>
        <w:rPr>
          <w:rFonts w:ascii="Arial" w:hAnsi="Arial" w:cs="Arial"/>
          <w:sz w:val="22"/>
          <w:szCs w:val="22"/>
        </w:rPr>
      </w:pPr>
      <w:r>
        <w:rPr>
          <w:rFonts w:ascii="Arial" w:hAnsi="Arial" w:cs="Arial"/>
          <w:sz w:val="22"/>
          <w:szCs w:val="22"/>
        </w:rPr>
        <w:t xml:space="preserve">Section 239 of the IRDA – Responsibility for wrongful trading </w:t>
      </w:r>
    </w:p>
    <w:p w14:paraId="1DA47807" w14:textId="77777777" w:rsidR="00010230" w:rsidRDefault="00010230" w:rsidP="002A37BB">
      <w:pPr>
        <w:ind w:left="720" w:hanging="720"/>
        <w:jc w:val="both"/>
        <w:rPr>
          <w:rFonts w:ascii="Arial" w:hAnsi="Arial" w:cs="Arial"/>
          <w:sz w:val="22"/>
          <w:szCs w:val="22"/>
        </w:rPr>
      </w:pPr>
    </w:p>
    <w:p w14:paraId="03050BCB" w14:textId="0BF8A75C" w:rsidR="00CC5E40" w:rsidRDefault="00CC5E40" w:rsidP="00CC5E40">
      <w:pPr>
        <w:jc w:val="both"/>
        <w:rPr>
          <w:rFonts w:ascii="Arial" w:hAnsi="Arial" w:cs="Arial"/>
          <w:sz w:val="22"/>
          <w:szCs w:val="22"/>
        </w:rPr>
      </w:pPr>
      <w:r>
        <w:rPr>
          <w:rFonts w:ascii="Arial" w:hAnsi="Arial" w:cs="Arial"/>
          <w:sz w:val="22"/>
          <w:szCs w:val="22"/>
        </w:rPr>
        <w:t>Under section 239, IRDA introduces a new concept of “wrongful trading” to Singapore insolvency law</w:t>
      </w:r>
      <w:r w:rsidR="0099378E">
        <w:rPr>
          <w:rFonts w:ascii="Arial" w:hAnsi="Arial" w:cs="Arial"/>
          <w:sz w:val="22"/>
          <w:szCs w:val="22"/>
        </w:rPr>
        <w:t xml:space="preserve"> adopted from English insolvency law</w:t>
      </w:r>
      <w:r>
        <w:rPr>
          <w:rFonts w:ascii="Arial" w:hAnsi="Arial" w:cs="Arial"/>
          <w:sz w:val="22"/>
          <w:szCs w:val="22"/>
        </w:rPr>
        <w:t>. Wrong</w:t>
      </w:r>
      <w:r w:rsidR="00AE01E7">
        <w:rPr>
          <w:rFonts w:ascii="Arial" w:hAnsi="Arial" w:cs="Arial"/>
          <w:sz w:val="22"/>
          <w:szCs w:val="22"/>
        </w:rPr>
        <w:t>ful</w:t>
      </w:r>
      <w:r w:rsidR="00AF65C1">
        <w:rPr>
          <w:rFonts w:ascii="Arial" w:hAnsi="Arial" w:cs="Arial"/>
          <w:sz w:val="22"/>
          <w:szCs w:val="22"/>
        </w:rPr>
        <w:t xml:space="preserve"> trading </w:t>
      </w:r>
      <w:r w:rsidR="00AE01E7">
        <w:rPr>
          <w:rFonts w:ascii="Arial" w:hAnsi="Arial" w:cs="Arial"/>
          <w:sz w:val="22"/>
          <w:szCs w:val="22"/>
        </w:rPr>
        <w:t>is defined to mean incurrence of debt or other liabilities without a reasonable prospect of meeting them in full when the company is insolvent or become insolvent as a result of such debt</w:t>
      </w:r>
      <w:r w:rsidR="00003667">
        <w:rPr>
          <w:rFonts w:ascii="Arial" w:hAnsi="Arial" w:cs="Arial"/>
          <w:sz w:val="22"/>
          <w:szCs w:val="22"/>
        </w:rPr>
        <w:t xml:space="preserve"> (Section 239(12) of IRDA)</w:t>
      </w:r>
      <w:r w:rsidR="00AE01E7">
        <w:rPr>
          <w:rFonts w:ascii="Arial" w:hAnsi="Arial" w:cs="Arial"/>
          <w:sz w:val="22"/>
          <w:szCs w:val="22"/>
        </w:rPr>
        <w:t>.</w:t>
      </w:r>
    </w:p>
    <w:p w14:paraId="76D123E5" w14:textId="77777777" w:rsidR="00AA78FB" w:rsidRDefault="00AA78FB" w:rsidP="00CC5E40">
      <w:pPr>
        <w:jc w:val="both"/>
        <w:rPr>
          <w:rFonts w:ascii="Arial" w:hAnsi="Arial" w:cs="Arial"/>
          <w:sz w:val="22"/>
          <w:szCs w:val="22"/>
        </w:rPr>
      </w:pPr>
    </w:p>
    <w:p w14:paraId="0CE47DFA" w14:textId="77777777" w:rsidR="009B6BFD" w:rsidRDefault="00DC55A0" w:rsidP="00CC5E40">
      <w:pPr>
        <w:jc w:val="both"/>
        <w:rPr>
          <w:rFonts w:ascii="Arial" w:hAnsi="Arial" w:cs="Arial"/>
          <w:sz w:val="22"/>
          <w:szCs w:val="22"/>
        </w:rPr>
      </w:pPr>
      <w:r>
        <w:rPr>
          <w:rFonts w:ascii="Arial" w:hAnsi="Arial" w:cs="Arial"/>
          <w:sz w:val="22"/>
          <w:szCs w:val="22"/>
        </w:rPr>
        <w:t>S</w:t>
      </w:r>
      <w:r w:rsidR="00AA78FB">
        <w:rPr>
          <w:rFonts w:ascii="Arial" w:hAnsi="Arial" w:cs="Arial"/>
          <w:sz w:val="22"/>
          <w:szCs w:val="22"/>
        </w:rPr>
        <w:t xml:space="preserve">ection 239, fixes personal liability for debts and liabilities on a person who knowingly indulged in wrongful trading. </w:t>
      </w:r>
      <w:r w:rsidR="0099378E">
        <w:rPr>
          <w:rFonts w:ascii="Arial" w:hAnsi="Arial" w:cs="Arial"/>
          <w:sz w:val="22"/>
          <w:szCs w:val="22"/>
        </w:rPr>
        <w:t>Personal liability for the company’ debts and liabilities is fixed on a person if (a) they knew that the company was trading wrongfully or (b) as an officer of the company, ought, to have known that the company was trading wrongfully.</w:t>
      </w:r>
      <w:r w:rsidR="00F850BF">
        <w:rPr>
          <w:rFonts w:ascii="Arial" w:hAnsi="Arial" w:cs="Arial"/>
          <w:sz w:val="22"/>
          <w:szCs w:val="22"/>
        </w:rPr>
        <w:t xml:space="preserve"> </w:t>
      </w:r>
    </w:p>
    <w:p w14:paraId="0478770A" w14:textId="77777777" w:rsidR="009B6BFD" w:rsidRDefault="009B6BFD" w:rsidP="00CC5E40">
      <w:pPr>
        <w:jc w:val="both"/>
        <w:rPr>
          <w:rFonts w:ascii="Arial" w:hAnsi="Arial" w:cs="Arial"/>
          <w:sz w:val="22"/>
          <w:szCs w:val="22"/>
        </w:rPr>
      </w:pPr>
    </w:p>
    <w:p w14:paraId="505AF729" w14:textId="04E09762" w:rsidR="00AA78FB" w:rsidRDefault="009B6BFD" w:rsidP="00CC5E40">
      <w:pPr>
        <w:jc w:val="both"/>
        <w:rPr>
          <w:rFonts w:ascii="Arial" w:hAnsi="Arial" w:cs="Arial"/>
          <w:sz w:val="22"/>
          <w:szCs w:val="22"/>
        </w:rPr>
      </w:pPr>
      <w:r>
        <w:rPr>
          <w:rFonts w:ascii="Arial" w:hAnsi="Arial" w:cs="Arial"/>
          <w:sz w:val="22"/>
          <w:szCs w:val="22"/>
        </w:rPr>
        <w:t>When insolvency is imminent, wrongful trading provisions ensure</w:t>
      </w:r>
      <w:r w:rsidR="00F850BF">
        <w:rPr>
          <w:rFonts w:ascii="Arial" w:hAnsi="Arial" w:cs="Arial"/>
          <w:sz w:val="22"/>
          <w:szCs w:val="22"/>
        </w:rPr>
        <w:t xml:space="preserve"> that officers of the company do everything</w:t>
      </w:r>
      <w:r>
        <w:rPr>
          <w:rFonts w:ascii="Arial" w:hAnsi="Arial" w:cs="Arial"/>
          <w:sz w:val="22"/>
          <w:szCs w:val="22"/>
        </w:rPr>
        <w:t xml:space="preserve"> in their capacity</w:t>
      </w:r>
      <w:r w:rsidR="00F850BF">
        <w:rPr>
          <w:rFonts w:ascii="Arial" w:hAnsi="Arial" w:cs="Arial"/>
          <w:sz w:val="22"/>
          <w:szCs w:val="22"/>
        </w:rPr>
        <w:t xml:space="preserve"> to minimize potential losses to the company’s creditors. S</w:t>
      </w:r>
      <w:r w:rsidR="00AA78FB">
        <w:rPr>
          <w:rFonts w:ascii="Arial" w:hAnsi="Arial" w:cs="Arial"/>
          <w:sz w:val="22"/>
          <w:szCs w:val="22"/>
        </w:rPr>
        <w:t>ub-section 2</w:t>
      </w:r>
      <w:r w:rsidR="00F850BF">
        <w:rPr>
          <w:rFonts w:ascii="Arial" w:hAnsi="Arial" w:cs="Arial"/>
          <w:sz w:val="22"/>
          <w:szCs w:val="22"/>
        </w:rPr>
        <w:t xml:space="preserve"> of section 239</w:t>
      </w:r>
      <w:r w:rsidR="00AA78FB">
        <w:rPr>
          <w:rFonts w:ascii="Arial" w:hAnsi="Arial" w:cs="Arial"/>
          <w:sz w:val="22"/>
          <w:szCs w:val="22"/>
        </w:rPr>
        <w:t xml:space="preserve">, introduces defence which allows the adjudicating authority </w:t>
      </w:r>
      <w:r w:rsidR="00A52201">
        <w:rPr>
          <w:rFonts w:ascii="Arial" w:hAnsi="Arial" w:cs="Arial"/>
          <w:sz w:val="22"/>
          <w:szCs w:val="22"/>
        </w:rPr>
        <w:t>to relieve the person declared responsible from personal liabilities if (a) the person acted honestly and (b) having regard to the circumstances of the case, the person ought to have fairly to be relieved from personal liability.</w:t>
      </w:r>
      <w:r w:rsidR="00B7420B">
        <w:rPr>
          <w:rFonts w:ascii="Arial" w:hAnsi="Arial" w:cs="Arial"/>
          <w:sz w:val="22"/>
          <w:szCs w:val="22"/>
        </w:rPr>
        <w:t xml:space="preserve"> Further, the adjudicating authority will identify the date (a reference date) when wrongful trading commenced and quantify the cost to the creditors of the decision to continue to trade when the officer/directors should have concluded that insolvency </w:t>
      </w:r>
      <w:r w:rsidR="00FD1AA3">
        <w:rPr>
          <w:rFonts w:ascii="Arial" w:hAnsi="Arial" w:cs="Arial"/>
          <w:sz w:val="22"/>
          <w:szCs w:val="22"/>
        </w:rPr>
        <w:t xml:space="preserve">is </w:t>
      </w:r>
      <w:r w:rsidR="00B7420B">
        <w:rPr>
          <w:rFonts w:ascii="Arial" w:hAnsi="Arial" w:cs="Arial"/>
          <w:sz w:val="22"/>
          <w:szCs w:val="22"/>
        </w:rPr>
        <w:t>inevitable</w:t>
      </w:r>
      <w:r w:rsidR="00FD1AA3">
        <w:rPr>
          <w:rFonts w:ascii="Arial" w:hAnsi="Arial" w:cs="Arial"/>
          <w:sz w:val="22"/>
          <w:szCs w:val="22"/>
        </w:rPr>
        <w:t xml:space="preserve"> after which</w:t>
      </w:r>
      <w:r w:rsidR="00AB05EF">
        <w:rPr>
          <w:rFonts w:ascii="Arial" w:hAnsi="Arial" w:cs="Arial"/>
          <w:sz w:val="22"/>
          <w:szCs w:val="22"/>
        </w:rPr>
        <w:t xml:space="preserve"> officers</w:t>
      </w:r>
      <w:r w:rsidR="00FD1AA3">
        <w:rPr>
          <w:rFonts w:ascii="Arial" w:hAnsi="Arial" w:cs="Arial"/>
          <w:sz w:val="22"/>
          <w:szCs w:val="22"/>
        </w:rPr>
        <w:t xml:space="preserve"> of the company may be asked</w:t>
      </w:r>
      <w:r w:rsidR="00AB05EF">
        <w:rPr>
          <w:rFonts w:ascii="Arial" w:hAnsi="Arial" w:cs="Arial"/>
          <w:sz w:val="22"/>
          <w:szCs w:val="22"/>
        </w:rPr>
        <w:t xml:space="preserve"> to re-</w:t>
      </w:r>
      <w:proofErr w:type="spellStart"/>
      <w:r w:rsidR="00AB05EF">
        <w:rPr>
          <w:rFonts w:ascii="Arial" w:hAnsi="Arial" w:cs="Arial"/>
          <w:sz w:val="22"/>
          <w:szCs w:val="22"/>
        </w:rPr>
        <w:t>imburse</w:t>
      </w:r>
      <w:proofErr w:type="spellEnd"/>
      <w:r w:rsidR="00AB05EF">
        <w:rPr>
          <w:rFonts w:ascii="Arial" w:hAnsi="Arial" w:cs="Arial"/>
          <w:sz w:val="22"/>
          <w:szCs w:val="22"/>
        </w:rPr>
        <w:t xml:space="preserve"> the incremental losses to the extent decided by the court</w:t>
      </w:r>
      <w:r w:rsidR="00B7420B">
        <w:rPr>
          <w:rFonts w:ascii="Arial" w:hAnsi="Arial" w:cs="Arial"/>
          <w:sz w:val="22"/>
          <w:szCs w:val="22"/>
        </w:rPr>
        <w:t xml:space="preserve">. </w:t>
      </w:r>
    </w:p>
    <w:p w14:paraId="2D974B20" w14:textId="77777777" w:rsidR="00003667" w:rsidRDefault="00003667" w:rsidP="00CC5E40">
      <w:pPr>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5AE23FB3" w14:textId="77777777" w:rsidR="00125152" w:rsidRPr="009B3859" w:rsidRDefault="00125152" w:rsidP="00125152">
      <w:pPr>
        <w:ind w:left="720" w:hanging="720"/>
        <w:jc w:val="both"/>
        <w:rPr>
          <w:rFonts w:ascii="Arial" w:hAnsi="Arial" w:cs="Arial"/>
          <w:b/>
          <w:sz w:val="22"/>
          <w:szCs w:val="22"/>
          <w:lang w:val="en-GB"/>
        </w:rPr>
      </w:pPr>
      <w:r w:rsidRPr="009B3859">
        <w:rPr>
          <w:rFonts w:ascii="Arial" w:hAnsi="Arial" w:cs="Arial"/>
          <w:b/>
          <w:sz w:val="22"/>
          <w:szCs w:val="22"/>
          <w:lang w:val="en-GB"/>
        </w:rPr>
        <w:t>ANSWER</w:t>
      </w:r>
    </w:p>
    <w:p w14:paraId="30A3B314" w14:textId="77777777" w:rsidR="007E40F0" w:rsidRDefault="007E40F0" w:rsidP="00087F21">
      <w:pPr>
        <w:jc w:val="both"/>
        <w:rPr>
          <w:rFonts w:ascii="Arial" w:hAnsi="Arial" w:cs="Arial"/>
          <w:bCs/>
          <w:sz w:val="22"/>
          <w:szCs w:val="22"/>
          <w:lang w:val="en-GB"/>
        </w:rPr>
      </w:pPr>
    </w:p>
    <w:p w14:paraId="2FB10FA5" w14:textId="2DA2D4D6" w:rsidR="00105F0F" w:rsidRPr="00B42BB8" w:rsidRDefault="00B42BB8" w:rsidP="00B42BB8">
      <w:pPr>
        <w:pStyle w:val="ListParagraph"/>
        <w:numPr>
          <w:ilvl w:val="0"/>
          <w:numId w:val="25"/>
        </w:numPr>
        <w:jc w:val="both"/>
        <w:rPr>
          <w:rFonts w:ascii="Arial" w:hAnsi="Arial" w:cs="Arial"/>
          <w:bCs/>
          <w:sz w:val="22"/>
          <w:szCs w:val="22"/>
          <w:u w:val="single"/>
          <w:lang w:val="en-GB"/>
        </w:rPr>
      </w:pPr>
      <w:r w:rsidRPr="00B42BB8">
        <w:rPr>
          <w:rFonts w:ascii="Arial" w:hAnsi="Arial" w:cs="Arial"/>
          <w:bCs/>
          <w:sz w:val="22"/>
          <w:szCs w:val="22"/>
          <w:u w:val="single"/>
          <w:lang w:val="en-GB"/>
        </w:rPr>
        <w:t>Meaning</w:t>
      </w:r>
    </w:p>
    <w:p w14:paraId="0A6DB419" w14:textId="77777777" w:rsidR="00B42BB8" w:rsidRDefault="00B42BB8" w:rsidP="00087F21">
      <w:pPr>
        <w:jc w:val="both"/>
        <w:rPr>
          <w:rFonts w:ascii="Arial" w:hAnsi="Arial" w:cs="Arial"/>
          <w:bCs/>
          <w:sz w:val="22"/>
          <w:szCs w:val="22"/>
          <w:lang w:val="en-GB"/>
        </w:rPr>
      </w:pPr>
    </w:p>
    <w:p w14:paraId="49583148" w14:textId="4D8A6F03" w:rsidR="00123700" w:rsidRDefault="002E2BBC" w:rsidP="00087F21">
      <w:pPr>
        <w:jc w:val="both"/>
        <w:rPr>
          <w:rFonts w:ascii="Arial" w:hAnsi="Arial" w:cs="Arial"/>
          <w:bCs/>
          <w:sz w:val="22"/>
          <w:szCs w:val="22"/>
          <w:lang w:val="en-GB"/>
        </w:rPr>
      </w:pPr>
      <w:r>
        <w:rPr>
          <w:rFonts w:ascii="Arial" w:hAnsi="Arial" w:cs="Arial"/>
          <w:bCs/>
          <w:sz w:val="22"/>
          <w:szCs w:val="22"/>
          <w:lang w:val="en-GB"/>
        </w:rPr>
        <w:t>Liquidation or winding-up is a formal</w:t>
      </w:r>
      <w:r w:rsidR="00123700">
        <w:rPr>
          <w:rFonts w:ascii="Arial" w:hAnsi="Arial" w:cs="Arial"/>
          <w:bCs/>
          <w:sz w:val="22"/>
          <w:szCs w:val="22"/>
          <w:lang w:val="en-GB"/>
        </w:rPr>
        <w:t xml:space="preserve"> insolvency</w:t>
      </w:r>
      <w:r>
        <w:rPr>
          <w:rFonts w:ascii="Arial" w:hAnsi="Arial" w:cs="Arial"/>
          <w:bCs/>
          <w:sz w:val="22"/>
          <w:szCs w:val="22"/>
          <w:lang w:val="en-GB"/>
        </w:rPr>
        <w:t xml:space="preserve"> process for where the liquidator takes </w:t>
      </w:r>
      <w:r w:rsidR="00123700">
        <w:rPr>
          <w:rFonts w:ascii="Arial" w:hAnsi="Arial" w:cs="Arial"/>
          <w:bCs/>
          <w:sz w:val="22"/>
          <w:szCs w:val="22"/>
          <w:lang w:val="en-GB"/>
        </w:rPr>
        <w:t>over the affairs of the company, realises the assets and distributes proceeds to creditors and contributories after which the existence of the company is extinguished.</w:t>
      </w:r>
    </w:p>
    <w:p w14:paraId="341972D2" w14:textId="77777777" w:rsidR="00123700" w:rsidRDefault="00123700" w:rsidP="00087F21">
      <w:pPr>
        <w:jc w:val="both"/>
        <w:rPr>
          <w:rFonts w:ascii="Arial" w:hAnsi="Arial" w:cs="Arial"/>
          <w:bCs/>
          <w:sz w:val="22"/>
          <w:szCs w:val="22"/>
          <w:lang w:val="en-GB"/>
        </w:rPr>
      </w:pPr>
    </w:p>
    <w:p w14:paraId="34B2A7FF" w14:textId="0223DDAC" w:rsidR="00125152" w:rsidRDefault="00123700" w:rsidP="00087F21">
      <w:pPr>
        <w:jc w:val="both"/>
        <w:rPr>
          <w:rFonts w:ascii="Arial" w:hAnsi="Arial" w:cs="Arial"/>
          <w:bCs/>
          <w:sz w:val="22"/>
          <w:szCs w:val="22"/>
          <w:lang w:val="en-GB"/>
        </w:rPr>
      </w:pPr>
      <w:r>
        <w:rPr>
          <w:rFonts w:ascii="Arial" w:hAnsi="Arial" w:cs="Arial"/>
          <w:bCs/>
          <w:sz w:val="22"/>
          <w:szCs w:val="22"/>
          <w:lang w:val="en-GB"/>
        </w:rPr>
        <w:t>Judicial management is a corporate rescue tool wh</w:t>
      </w:r>
      <w:r w:rsidR="008F76F8">
        <w:rPr>
          <w:rFonts w:ascii="Arial" w:hAnsi="Arial" w:cs="Arial"/>
          <w:bCs/>
          <w:sz w:val="22"/>
          <w:szCs w:val="22"/>
          <w:lang w:val="en-GB"/>
        </w:rPr>
        <w:t xml:space="preserve">ere the insolvency practitioner or </w:t>
      </w:r>
      <w:r>
        <w:rPr>
          <w:rFonts w:ascii="Arial" w:hAnsi="Arial" w:cs="Arial"/>
          <w:bCs/>
          <w:sz w:val="22"/>
          <w:szCs w:val="22"/>
          <w:lang w:val="en-GB"/>
        </w:rPr>
        <w:t>judicial manager is appointed by the court to take over the responsibility of running the company.</w:t>
      </w:r>
      <w:r w:rsidR="0036269D">
        <w:rPr>
          <w:rFonts w:ascii="Arial" w:hAnsi="Arial" w:cs="Arial"/>
          <w:bCs/>
          <w:sz w:val="22"/>
          <w:szCs w:val="22"/>
          <w:lang w:val="en-GB"/>
        </w:rPr>
        <w:t xml:space="preserve"> Judicial management is an alternate to liquidation.</w:t>
      </w:r>
      <w:r w:rsidR="007A542E">
        <w:rPr>
          <w:rFonts w:ascii="Arial" w:hAnsi="Arial" w:cs="Arial"/>
          <w:bCs/>
          <w:sz w:val="22"/>
          <w:szCs w:val="22"/>
          <w:lang w:val="en-GB"/>
        </w:rPr>
        <w:t xml:space="preserve"> Main </w:t>
      </w:r>
      <w:r w:rsidR="001839D2">
        <w:rPr>
          <w:rFonts w:ascii="Arial" w:hAnsi="Arial" w:cs="Arial"/>
          <w:bCs/>
          <w:sz w:val="22"/>
          <w:szCs w:val="22"/>
          <w:lang w:val="en-GB"/>
        </w:rPr>
        <w:t xml:space="preserve">purpose </w:t>
      </w:r>
      <w:r w:rsidR="007A542E">
        <w:rPr>
          <w:rFonts w:ascii="Arial" w:hAnsi="Arial" w:cs="Arial"/>
          <w:bCs/>
          <w:sz w:val="22"/>
          <w:szCs w:val="22"/>
          <w:lang w:val="en-GB"/>
        </w:rPr>
        <w:t>of judicial management is to either resurrect the company back into sound financial health or realise the assets for the creditors with</w:t>
      </w:r>
      <w:r w:rsidR="004560CC">
        <w:rPr>
          <w:rFonts w:ascii="Arial" w:hAnsi="Arial" w:cs="Arial"/>
          <w:bCs/>
          <w:sz w:val="22"/>
          <w:szCs w:val="22"/>
          <w:lang w:val="en-GB"/>
        </w:rPr>
        <w:t>out</w:t>
      </w:r>
      <w:r w:rsidR="007A542E">
        <w:rPr>
          <w:rFonts w:ascii="Arial" w:hAnsi="Arial" w:cs="Arial"/>
          <w:bCs/>
          <w:sz w:val="22"/>
          <w:szCs w:val="22"/>
          <w:lang w:val="en-GB"/>
        </w:rPr>
        <w:t xml:space="preserve"> significant evaporation of value</w:t>
      </w:r>
      <w:r w:rsidR="004560CC">
        <w:rPr>
          <w:rFonts w:ascii="Arial" w:hAnsi="Arial" w:cs="Arial"/>
          <w:bCs/>
          <w:sz w:val="22"/>
          <w:szCs w:val="22"/>
          <w:lang w:val="en-GB"/>
        </w:rPr>
        <w:t xml:space="preserve"> and without winding-up</w:t>
      </w:r>
      <w:r w:rsidR="007A542E">
        <w:rPr>
          <w:rFonts w:ascii="Arial" w:hAnsi="Arial" w:cs="Arial"/>
          <w:bCs/>
          <w:sz w:val="22"/>
          <w:szCs w:val="22"/>
          <w:lang w:val="en-GB"/>
        </w:rPr>
        <w:t xml:space="preserve">. </w:t>
      </w:r>
    </w:p>
    <w:p w14:paraId="6A52ED7D" w14:textId="77777777" w:rsidR="00B42BB8" w:rsidRDefault="00B42BB8" w:rsidP="00B42BB8">
      <w:pPr>
        <w:jc w:val="both"/>
        <w:rPr>
          <w:rFonts w:ascii="Arial" w:hAnsi="Arial" w:cs="Arial"/>
          <w:bCs/>
          <w:sz w:val="22"/>
          <w:szCs w:val="22"/>
          <w:u w:val="single"/>
          <w:lang w:val="en-GB"/>
        </w:rPr>
      </w:pPr>
    </w:p>
    <w:p w14:paraId="23901A70" w14:textId="77777777" w:rsidR="00B42BB8" w:rsidRPr="00105F0F" w:rsidRDefault="00B42BB8" w:rsidP="00B42BB8">
      <w:pPr>
        <w:pStyle w:val="ListParagraph"/>
        <w:numPr>
          <w:ilvl w:val="0"/>
          <w:numId w:val="25"/>
        </w:numPr>
        <w:jc w:val="both"/>
        <w:rPr>
          <w:rFonts w:ascii="Arial" w:hAnsi="Arial" w:cs="Arial"/>
          <w:bCs/>
          <w:sz w:val="22"/>
          <w:szCs w:val="22"/>
          <w:u w:val="single"/>
          <w:lang w:val="en-GB"/>
        </w:rPr>
      </w:pPr>
      <w:r w:rsidRPr="00105F0F">
        <w:rPr>
          <w:rFonts w:ascii="Arial" w:hAnsi="Arial" w:cs="Arial"/>
          <w:bCs/>
          <w:sz w:val="22"/>
          <w:szCs w:val="22"/>
          <w:u w:val="single"/>
          <w:lang w:val="en-GB"/>
        </w:rPr>
        <w:t>Procedure</w:t>
      </w:r>
    </w:p>
    <w:p w14:paraId="0A23E8CE" w14:textId="77777777" w:rsidR="0036269D" w:rsidRDefault="0036269D" w:rsidP="00087F21">
      <w:pPr>
        <w:jc w:val="both"/>
        <w:rPr>
          <w:rFonts w:ascii="Arial" w:hAnsi="Arial" w:cs="Arial"/>
          <w:bCs/>
          <w:sz w:val="22"/>
          <w:szCs w:val="22"/>
          <w:lang w:val="en-GB"/>
        </w:rPr>
      </w:pPr>
    </w:p>
    <w:p w14:paraId="57824692" w14:textId="569C7214" w:rsidR="00EE435F" w:rsidRDefault="0036269D" w:rsidP="00087F21">
      <w:pPr>
        <w:jc w:val="both"/>
        <w:rPr>
          <w:rFonts w:ascii="Arial" w:hAnsi="Arial" w:cs="Arial"/>
          <w:bCs/>
          <w:sz w:val="22"/>
          <w:szCs w:val="22"/>
          <w:lang w:val="en-GB"/>
        </w:rPr>
      </w:pPr>
      <w:r>
        <w:rPr>
          <w:rFonts w:ascii="Arial" w:hAnsi="Arial" w:cs="Arial"/>
          <w:bCs/>
          <w:sz w:val="22"/>
          <w:szCs w:val="22"/>
          <w:lang w:val="en-GB"/>
        </w:rPr>
        <w:t xml:space="preserve">There are three modes of winding-up, members’ voluntary winding-up, creditors’ winding-up and compulsory winding-up (ordered by the court). </w:t>
      </w:r>
      <w:r w:rsidR="00316EA1">
        <w:rPr>
          <w:rFonts w:ascii="Arial" w:hAnsi="Arial" w:cs="Arial"/>
          <w:bCs/>
          <w:sz w:val="22"/>
          <w:szCs w:val="22"/>
          <w:lang w:val="en-GB"/>
        </w:rPr>
        <w:t>Members’ liquidation is made under a director’s declaration of solvency</w:t>
      </w:r>
      <w:r w:rsidR="00E651E7">
        <w:rPr>
          <w:rFonts w:ascii="Arial" w:hAnsi="Arial" w:cs="Arial"/>
          <w:bCs/>
          <w:sz w:val="22"/>
          <w:szCs w:val="22"/>
          <w:lang w:val="en-GB"/>
        </w:rPr>
        <w:t xml:space="preserve"> on the occurrence of an event that provides for winding-up under the articles of association or expiry of the duration fixed in the articles of association </w:t>
      </w:r>
      <w:r w:rsidR="00316EA1">
        <w:rPr>
          <w:rFonts w:ascii="Arial" w:hAnsi="Arial" w:cs="Arial"/>
          <w:bCs/>
          <w:sz w:val="22"/>
          <w:szCs w:val="22"/>
          <w:lang w:val="en-GB"/>
        </w:rPr>
        <w:t xml:space="preserve">whereas creditors’ and compulsory winding-up is </w:t>
      </w:r>
      <w:r w:rsidR="00E651E7">
        <w:rPr>
          <w:rFonts w:ascii="Arial" w:hAnsi="Arial" w:cs="Arial"/>
          <w:bCs/>
          <w:sz w:val="22"/>
          <w:szCs w:val="22"/>
          <w:lang w:val="en-GB"/>
        </w:rPr>
        <w:t xml:space="preserve">triggered when company is unable to pay </w:t>
      </w:r>
      <w:proofErr w:type="spellStart"/>
      <w:r w:rsidR="00E651E7">
        <w:rPr>
          <w:rFonts w:ascii="Arial" w:hAnsi="Arial" w:cs="Arial"/>
          <w:bCs/>
          <w:sz w:val="22"/>
          <w:szCs w:val="22"/>
          <w:lang w:val="en-GB"/>
        </w:rPr>
        <w:t>it’s</w:t>
      </w:r>
      <w:proofErr w:type="spellEnd"/>
      <w:r w:rsidR="00E651E7">
        <w:rPr>
          <w:rFonts w:ascii="Arial" w:hAnsi="Arial" w:cs="Arial"/>
          <w:bCs/>
          <w:sz w:val="22"/>
          <w:szCs w:val="22"/>
          <w:lang w:val="en-GB"/>
        </w:rPr>
        <w:t xml:space="preserve"> debts</w:t>
      </w:r>
      <w:r w:rsidR="00514860">
        <w:rPr>
          <w:rFonts w:ascii="Arial" w:hAnsi="Arial" w:cs="Arial"/>
          <w:bCs/>
          <w:sz w:val="22"/>
          <w:szCs w:val="22"/>
          <w:lang w:val="en-GB"/>
        </w:rPr>
        <w:t xml:space="preserve"> (exceeding SGD 10,000</w:t>
      </w:r>
      <w:r w:rsidR="008F76F8">
        <w:rPr>
          <w:rFonts w:ascii="Arial" w:hAnsi="Arial" w:cs="Arial"/>
          <w:bCs/>
          <w:sz w:val="22"/>
          <w:szCs w:val="22"/>
          <w:lang w:val="en-GB"/>
        </w:rPr>
        <w:t>)</w:t>
      </w:r>
      <w:r w:rsidR="00514860">
        <w:rPr>
          <w:rFonts w:ascii="Arial" w:hAnsi="Arial" w:cs="Arial"/>
          <w:bCs/>
          <w:sz w:val="22"/>
          <w:szCs w:val="22"/>
          <w:lang w:val="en-GB"/>
        </w:rPr>
        <w:t xml:space="preserve"> and demand is neglected by the debtor</w:t>
      </w:r>
      <w:r w:rsidR="00E651E7">
        <w:rPr>
          <w:rFonts w:ascii="Arial" w:hAnsi="Arial" w:cs="Arial"/>
          <w:bCs/>
          <w:sz w:val="22"/>
          <w:szCs w:val="22"/>
          <w:lang w:val="en-GB"/>
        </w:rPr>
        <w:t>.</w:t>
      </w:r>
    </w:p>
    <w:p w14:paraId="1DCF7250" w14:textId="77777777" w:rsidR="007A542E" w:rsidRDefault="007A542E" w:rsidP="00087F21">
      <w:pPr>
        <w:jc w:val="both"/>
        <w:rPr>
          <w:rFonts w:ascii="Arial" w:hAnsi="Arial" w:cs="Arial"/>
          <w:bCs/>
          <w:sz w:val="22"/>
          <w:szCs w:val="22"/>
          <w:lang w:val="en-GB"/>
        </w:rPr>
      </w:pPr>
    </w:p>
    <w:p w14:paraId="3EFF87A3" w14:textId="132850B0" w:rsidR="00EE435F" w:rsidRDefault="00E13D87" w:rsidP="00087F21">
      <w:pPr>
        <w:jc w:val="both"/>
        <w:rPr>
          <w:rFonts w:ascii="Arial" w:hAnsi="Arial" w:cs="Arial"/>
          <w:bCs/>
          <w:sz w:val="22"/>
          <w:szCs w:val="22"/>
          <w:lang w:val="en-GB"/>
        </w:rPr>
      </w:pPr>
      <w:r>
        <w:rPr>
          <w:rFonts w:ascii="Arial" w:hAnsi="Arial" w:cs="Arial"/>
          <w:bCs/>
          <w:sz w:val="22"/>
          <w:szCs w:val="22"/>
          <w:lang w:val="en-GB"/>
        </w:rPr>
        <w:t>Either the company</w:t>
      </w:r>
      <w:r w:rsidR="000E378D">
        <w:rPr>
          <w:rFonts w:ascii="Arial" w:hAnsi="Arial" w:cs="Arial"/>
          <w:bCs/>
          <w:sz w:val="22"/>
          <w:szCs w:val="22"/>
          <w:lang w:val="en-GB"/>
        </w:rPr>
        <w:t>, its directors or</w:t>
      </w:r>
      <w:r>
        <w:rPr>
          <w:rFonts w:ascii="Arial" w:hAnsi="Arial" w:cs="Arial"/>
          <w:bCs/>
          <w:sz w:val="22"/>
          <w:szCs w:val="22"/>
          <w:lang w:val="en-GB"/>
        </w:rPr>
        <w:t xml:space="preserve"> creditors (contingent as well as prospective) may petition appointment of a judicial manager</w:t>
      </w:r>
      <w:r w:rsidR="000E378D">
        <w:rPr>
          <w:rFonts w:ascii="Arial" w:hAnsi="Arial" w:cs="Arial"/>
          <w:bCs/>
          <w:sz w:val="22"/>
          <w:szCs w:val="22"/>
          <w:lang w:val="en-GB"/>
        </w:rPr>
        <w:t xml:space="preserve"> in a company which is or is likely to become insolvent</w:t>
      </w:r>
      <w:r>
        <w:rPr>
          <w:rFonts w:ascii="Arial" w:hAnsi="Arial" w:cs="Arial"/>
          <w:bCs/>
          <w:sz w:val="22"/>
          <w:szCs w:val="22"/>
          <w:lang w:val="en-GB"/>
        </w:rPr>
        <w:t>.</w:t>
      </w:r>
      <w:r w:rsidR="00B10A03">
        <w:rPr>
          <w:rFonts w:ascii="Arial" w:hAnsi="Arial" w:cs="Arial"/>
          <w:bCs/>
          <w:sz w:val="22"/>
          <w:szCs w:val="22"/>
          <w:lang w:val="en-GB"/>
        </w:rPr>
        <w:t xml:space="preserve"> Only a company eligible to be wound-up under the IRDA, 2018 may apply for judicial management u/s 90.</w:t>
      </w:r>
      <w:r w:rsidR="00D60519">
        <w:rPr>
          <w:rFonts w:ascii="Arial" w:hAnsi="Arial" w:cs="Arial"/>
          <w:bCs/>
          <w:sz w:val="22"/>
          <w:szCs w:val="22"/>
          <w:lang w:val="en-GB"/>
        </w:rPr>
        <w:t xml:space="preserve"> The IRDA, has introduced out-of-court judicial management process where a company </w:t>
      </w:r>
      <w:r w:rsidR="00D60519">
        <w:rPr>
          <w:rFonts w:ascii="Arial" w:hAnsi="Arial" w:cs="Arial"/>
          <w:bCs/>
          <w:sz w:val="22"/>
          <w:szCs w:val="22"/>
          <w:lang w:val="en-GB"/>
        </w:rPr>
        <w:lastRenderedPageBreak/>
        <w:t xml:space="preserve">place itself into judicial management by a creditors’ resolution where the company is unable to pay </w:t>
      </w:r>
      <w:proofErr w:type="spellStart"/>
      <w:proofErr w:type="gramStart"/>
      <w:r w:rsidR="00D60519">
        <w:rPr>
          <w:rFonts w:ascii="Arial" w:hAnsi="Arial" w:cs="Arial"/>
          <w:bCs/>
          <w:sz w:val="22"/>
          <w:szCs w:val="22"/>
          <w:lang w:val="en-GB"/>
        </w:rPr>
        <w:t>it’s</w:t>
      </w:r>
      <w:proofErr w:type="spellEnd"/>
      <w:proofErr w:type="gramEnd"/>
      <w:r w:rsidR="00D60519">
        <w:rPr>
          <w:rFonts w:ascii="Arial" w:hAnsi="Arial" w:cs="Arial"/>
          <w:bCs/>
          <w:sz w:val="22"/>
          <w:szCs w:val="22"/>
          <w:lang w:val="en-GB"/>
        </w:rPr>
        <w:t xml:space="preserve"> debts. </w:t>
      </w:r>
    </w:p>
    <w:p w14:paraId="0BC72DC0" w14:textId="77777777" w:rsidR="00B10A03" w:rsidRDefault="00B10A03" w:rsidP="00087F21">
      <w:pPr>
        <w:jc w:val="both"/>
        <w:rPr>
          <w:rFonts w:ascii="Arial" w:hAnsi="Arial" w:cs="Arial"/>
          <w:bCs/>
          <w:sz w:val="22"/>
          <w:szCs w:val="22"/>
          <w:lang w:val="en-GB"/>
        </w:rPr>
      </w:pPr>
    </w:p>
    <w:p w14:paraId="7F6D101A" w14:textId="482F7722" w:rsidR="00B10A03" w:rsidRDefault="00B10A03" w:rsidP="00087F21">
      <w:pPr>
        <w:jc w:val="both"/>
        <w:rPr>
          <w:rFonts w:ascii="Arial" w:hAnsi="Arial" w:cs="Arial"/>
          <w:bCs/>
          <w:sz w:val="22"/>
          <w:szCs w:val="22"/>
          <w:lang w:val="en-GB"/>
        </w:rPr>
      </w:pPr>
      <w:r>
        <w:rPr>
          <w:rFonts w:ascii="Arial" w:hAnsi="Arial" w:cs="Arial"/>
          <w:bCs/>
          <w:sz w:val="22"/>
          <w:szCs w:val="22"/>
          <w:lang w:val="en-GB"/>
        </w:rPr>
        <w:t xml:space="preserve">Only companies </w:t>
      </w:r>
      <w:r w:rsidR="00C31F4E">
        <w:rPr>
          <w:rFonts w:ascii="Arial" w:hAnsi="Arial" w:cs="Arial"/>
          <w:bCs/>
          <w:sz w:val="22"/>
          <w:szCs w:val="22"/>
          <w:lang w:val="en-GB"/>
        </w:rPr>
        <w:t xml:space="preserve">registered in Singapore can be </w:t>
      </w:r>
      <w:r w:rsidR="00EC479C">
        <w:rPr>
          <w:rFonts w:ascii="Arial" w:hAnsi="Arial" w:cs="Arial"/>
          <w:bCs/>
          <w:sz w:val="22"/>
          <w:szCs w:val="22"/>
          <w:lang w:val="en-GB"/>
        </w:rPr>
        <w:t>compulsorily wound-up</w:t>
      </w:r>
      <w:r w:rsidR="00C31F4E">
        <w:rPr>
          <w:rFonts w:ascii="Arial" w:hAnsi="Arial" w:cs="Arial"/>
          <w:bCs/>
          <w:sz w:val="22"/>
          <w:szCs w:val="22"/>
          <w:lang w:val="en-GB"/>
        </w:rPr>
        <w:t xml:space="preserve"> under IRDA, 2018</w:t>
      </w:r>
      <w:r>
        <w:rPr>
          <w:rFonts w:ascii="Arial" w:hAnsi="Arial" w:cs="Arial"/>
          <w:bCs/>
          <w:sz w:val="22"/>
          <w:szCs w:val="22"/>
          <w:lang w:val="en-GB"/>
        </w:rPr>
        <w:t xml:space="preserve"> whereas</w:t>
      </w:r>
      <w:r w:rsidR="00EC479C">
        <w:rPr>
          <w:rFonts w:ascii="Arial" w:hAnsi="Arial" w:cs="Arial"/>
          <w:bCs/>
          <w:sz w:val="22"/>
          <w:szCs w:val="22"/>
          <w:lang w:val="en-GB"/>
        </w:rPr>
        <w:t xml:space="preserve"> not only Singapore registered </w:t>
      </w:r>
      <w:r>
        <w:rPr>
          <w:rFonts w:ascii="Arial" w:hAnsi="Arial" w:cs="Arial"/>
          <w:bCs/>
          <w:sz w:val="22"/>
          <w:szCs w:val="22"/>
          <w:lang w:val="en-GB"/>
        </w:rPr>
        <w:t xml:space="preserve">companies but also foreign </w:t>
      </w:r>
      <w:r w:rsidR="00EC479C">
        <w:rPr>
          <w:rFonts w:ascii="Arial" w:hAnsi="Arial" w:cs="Arial"/>
          <w:bCs/>
          <w:sz w:val="22"/>
          <w:szCs w:val="22"/>
          <w:lang w:val="en-GB"/>
        </w:rPr>
        <w:t xml:space="preserve">incorporated companies </w:t>
      </w:r>
      <w:r>
        <w:rPr>
          <w:rFonts w:ascii="Arial" w:hAnsi="Arial" w:cs="Arial"/>
          <w:bCs/>
          <w:sz w:val="22"/>
          <w:szCs w:val="22"/>
          <w:lang w:val="en-GB"/>
        </w:rPr>
        <w:t>with</w:t>
      </w:r>
      <w:r w:rsidR="00C31F4E">
        <w:rPr>
          <w:rFonts w:ascii="Arial" w:hAnsi="Arial" w:cs="Arial"/>
          <w:bCs/>
          <w:sz w:val="22"/>
          <w:szCs w:val="22"/>
          <w:lang w:val="en-GB"/>
        </w:rPr>
        <w:t xml:space="preserve"> a</w:t>
      </w:r>
      <w:r>
        <w:rPr>
          <w:rFonts w:ascii="Arial" w:hAnsi="Arial" w:cs="Arial"/>
          <w:bCs/>
          <w:sz w:val="22"/>
          <w:szCs w:val="22"/>
          <w:lang w:val="en-GB"/>
        </w:rPr>
        <w:t xml:space="preserve"> </w:t>
      </w:r>
      <w:r w:rsidR="006424BE">
        <w:rPr>
          <w:rFonts w:ascii="Arial" w:hAnsi="Arial" w:cs="Arial"/>
          <w:bCs/>
          <w:sz w:val="22"/>
          <w:szCs w:val="22"/>
          <w:lang w:val="en-GB"/>
        </w:rPr>
        <w:t>“</w:t>
      </w:r>
      <w:r>
        <w:rPr>
          <w:rFonts w:ascii="Arial" w:hAnsi="Arial" w:cs="Arial"/>
          <w:bCs/>
          <w:sz w:val="22"/>
          <w:szCs w:val="22"/>
          <w:lang w:val="en-GB"/>
        </w:rPr>
        <w:t>substantial connection</w:t>
      </w:r>
      <w:r w:rsidR="006424BE">
        <w:rPr>
          <w:rFonts w:ascii="Arial" w:hAnsi="Arial" w:cs="Arial"/>
          <w:bCs/>
          <w:sz w:val="22"/>
          <w:szCs w:val="22"/>
          <w:lang w:val="en-GB"/>
        </w:rPr>
        <w:t>”</w:t>
      </w:r>
      <w:r w:rsidR="00891360">
        <w:rPr>
          <w:rFonts w:ascii="Arial" w:hAnsi="Arial" w:cs="Arial"/>
          <w:bCs/>
          <w:sz w:val="22"/>
          <w:szCs w:val="22"/>
          <w:lang w:val="en-GB"/>
        </w:rPr>
        <w:t xml:space="preserve"> to Singapore can avail </w:t>
      </w:r>
      <w:r>
        <w:rPr>
          <w:rFonts w:ascii="Arial" w:hAnsi="Arial" w:cs="Arial"/>
          <w:bCs/>
          <w:sz w:val="22"/>
          <w:szCs w:val="22"/>
          <w:lang w:val="en-GB"/>
        </w:rPr>
        <w:t>benefit</w:t>
      </w:r>
      <w:r w:rsidR="00891360">
        <w:rPr>
          <w:rFonts w:ascii="Arial" w:hAnsi="Arial" w:cs="Arial"/>
          <w:bCs/>
          <w:sz w:val="22"/>
          <w:szCs w:val="22"/>
          <w:lang w:val="en-GB"/>
        </w:rPr>
        <w:t>s</w:t>
      </w:r>
      <w:r>
        <w:rPr>
          <w:rFonts w:ascii="Arial" w:hAnsi="Arial" w:cs="Arial"/>
          <w:bCs/>
          <w:sz w:val="22"/>
          <w:szCs w:val="22"/>
          <w:lang w:val="en-GB"/>
        </w:rPr>
        <w:t xml:space="preserve"> of judicial management</w:t>
      </w:r>
      <w:r w:rsidR="00C31F4E">
        <w:rPr>
          <w:rFonts w:ascii="Arial" w:hAnsi="Arial" w:cs="Arial"/>
          <w:bCs/>
          <w:sz w:val="22"/>
          <w:szCs w:val="22"/>
          <w:lang w:val="en-GB"/>
        </w:rPr>
        <w:t xml:space="preserve"> under IRDA</w:t>
      </w:r>
      <w:r w:rsidR="009F7E0B">
        <w:rPr>
          <w:rFonts w:ascii="Arial" w:hAnsi="Arial" w:cs="Arial"/>
          <w:bCs/>
          <w:sz w:val="22"/>
          <w:szCs w:val="22"/>
          <w:lang w:val="en-GB"/>
        </w:rPr>
        <w:t xml:space="preserve"> (subject to specific industries related exemptions such as banking</w:t>
      </w:r>
      <w:r w:rsidR="00891360">
        <w:rPr>
          <w:rFonts w:ascii="Arial" w:hAnsi="Arial" w:cs="Arial"/>
          <w:bCs/>
          <w:sz w:val="22"/>
          <w:szCs w:val="22"/>
          <w:lang w:val="en-GB"/>
        </w:rPr>
        <w:t>, finance</w:t>
      </w:r>
      <w:r w:rsidR="009F7E0B">
        <w:rPr>
          <w:rFonts w:ascii="Arial" w:hAnsi="Arial" w:cs="Arial"/>
          <w:bCs/>
          <w:sz w:val="22"/>
          <w:szCs w:val="22"/>
          <w:lang w:val="en-GB"/>
        </w:rPr>
        <w:t xml:space="preserve"> and insurance companies</w:t>
      </w:r>
      <w:r w:rsidR="00891360">
        <w:rPr>
          <w:rFonts w:ascii="Arial" w:hAnsi="Arial" w:cs="Arial"/>
          <w:bCs/>
          <w:sz w:val="22"/>
          <w:szCs w:val="22"/>
          <w:lang w:val="en-GB"/>
        </w:rPr>
        <w:t>)</w:t>
      </w:r>
      <w:r>
        <w:rPr>
          <w:rFonts w:ascii="Arial" w:hAnsi="Arial" w:cs="Arial"/>
          <w:bCs/>
          <w:sz w:val="22"/>
          <w:szCs w:val="22"/>
          <w:lang w:val="en-GB"/>
        </w:rPr>
        <w:t xml:space="preserve">.  </w:t>
      </w:r>
    </w:p>
    <w:p w14:paraId="5ACBE098" w14:textId="77777777" w:rsidR="00B42BB8" w:rsidRDefault="00B42BB8" w:rsidP="00087F21">
      <w:pPr>
        <w:jc w:val="both"/>
        <w:rPr>
          <w:rFonts w:ascii="Arial" w:hAnsi="Arial" w:cs="Arial"/>
          <w:bCs/>
          <w:sz w:val="22"/>
          <w:szCs w:val="22"/>
          <w:u w:val="single"/>
          <w:lang w:val="en-GB"/>
        </w:rPr>
      </w:pPr>
    </w:p>
    <w:p w14:paraId="6C035D37" w14:textId="425ACB13" w:rsidR="00EE435F" w:rsidRPr="00105F0F" w:rsidRDefault="00105F0F" w:rsidP="00B42BB8">
      <w:pPr>
        <w:pStyle w:val="ListParagraph"/>
        <w:numPr>
          <w:ilvl w:val="0"/>
          <w:numId w:val="25"/>
        </w:numPr>
        <w:jc w:val="both"/>
        <w:rPr>
          <w:rFonts w:ascii="Arial" w:hAnsi="Arial" w:cs="Arial"/>
          <w:bCs/>
          <w:sz w:val="22"/>
          <w:szCs w:val="22"/>
          <w:u w:val="single"/>
          <w:lang w:val="en-GB"/>
        </w:rPr>
      </w:pPr>
      <w:r w:rsidRPr="00105F0F">
        <w:rPr>
          <w:rFonts w:ascii="Arial" w:hAnsi="Arial" w:cs="Arial"/>
          <w:bCs/>
          <w:sz w:val="22"/>
          <w:szCs w:val="22"/>
          <w:u w:val="single"/>
          <w:lang w:val="en-GB"/>
        </w:rPr>
        <w:t xml:space="preserve">Term of the Plan </w:t>
      </w:r>
    </w:p>
    <w:p w14:paraId="302D739E" w14:textId="77777777" w:rsidR="00105F0F" w:rsidRDefault="00105F0F" w:rsidP="00087F21">
      <w:pPr>
        <w:jc w:val="both"/>
        <w:rPr>
          <w:rFonts w:ascii="Arial" w:hAnsi="Arial" w:cs="Arial"/>
          <w:bCs/>
          <w:sz w:val="22"/>
          <w:szCs w:val="22"/>
          <w:lang w:val="en-GB"/>
        </w:rPr>
      </w:pPr>
    </w:p>
    <w:p w14:paraId="44D3A696" w14:textId="77777777" w:rsidR="00FA075A" w:rsidRDefault="00782834" w:rsidP="00087F21">
      <w:pPr>
        <w:jc w:val="both"/>
        <w:rPr>
          <w:rFonts w:ascii="Arial" w:hAnsi="Arial" w:cs="Arial"/>
          <w:bCs/>
          <w:sz w:val="22"/>
          <w:szCs w:val="22"/>
          <w:lang w:val="en-GB"/>
        </w:rPr>
      </w:pPr>
      <w:r>
        <w:rPr>
          <w:rFonts w:ascii="Arial" w:hAnsi="Arial" w:cs="Arial"/>
          <w:bCs/>
          <w:sz w:val="22"/>
          <w:szCs w:val="22"/>
          <w:lang w:val="en-GB"/>
        </w:rPr>
        <w:t xml:space="preserve">There is no fixed term for winding-up, the liquidator needs to complete all the listed winding-up procedures before making application to the court for release and dissolution of the company. </w:t>
      </w:r>
    </w:p>
    <w:p w14:paraId="5BFFBE97" w14:textId="77777777" w:rsidR="00FA075A" w:rsidRDefault="00FA075A" w:rsidP="00087F21">
      <w:pPr>
        <w:jc w:val="both"/>
        <w:rPr>
          <w:rFonts w:ascii="Arial" w:hAnsi="Arial" w:cs="Arial"/>
          <w:bCs/>
          <w:sz w:val="22"/>
          <w:szCs w:val="22"/>
          <w:lang w:val="en-GB"/>
        </w:rPr>
      </w:pPr>
    </w:p>
    <w:p w14:paraId="7B80AC21" w14:textId="0C57EEE0" w:rsidR="00891360" w:rsidRDefault="00891360" w:rsidP="00087F21">
      <w:pPr>
        <w:jc w:val="both"/>
        <w:rPr>
          <w:rFonts w:ascii="Arial" w:hAnsi="Arial" w:cs="Arial"/>
          <w:bCs/>
          <w:sz w:val="22"/>
          <w:szCs w:val="22"/>
          <w:lang w:val="en-GB"/>
        </w:rPr>
      </w:pPr>
      <w:r>
        <w:rPr>
          <w:rFonts w:ascii="Arial" w:hAnsi="Arial" w:cs="Arial"/>
          <w:bCs/>
          <w:sz w:val="22"/>
          <w:szCs w:val="22"/>
          <w:lang w:val="en-GB"/>
        </w:rPr>
        <w:t>A judicial management order typically lasts for 180 days unless extended by the court and there is no limit to the number of extensions that can granted. It may als</w:t>
      </w:r>
      <w:r w:rsidR="008061D3">
        <w:rPr>
          <w:rFonts w:ascii="Arial" w:hAnsi="Arial" w:cs="Arial"/>
          <w:bCs/>
          <w:sz w:val="22"/>
          <w:szCs w:val="22"/>
          <w:lang w:val="en-GB"/>
        </w:rPr>
        <w:t xml:space="preserve">o be discharged prematurely in case the creditors fail to approve </w:t>
      </w:r>
      <w:r w:rsidR="00FA075A">
        <w:rPr>
          <w:rFonts w:ascii="Arial" w:hAnsi="Arial" w:cs="Arial"/>
          <w:bCs/>
          <w:sz w:val="22"/>
          <w:szCs w:val="22"/>
          <w:lang w:val="en-GB"/>
        </w:rPr>
        <w:t>the judicial managers’ proposal or</w:t>
      </w:r>
      <w:r w:rsidR="008061D3">
        <w:rPr>
          <w:rFonts w:ascii="Arial" w:hAnsi="Arial" w:cs="Arial"/>
          <w:bCs/>
          <w:sz w:val="22"/>
          <w:szCs w:val="22"/>
          <w:lang w:val="en-GB"/>
        </w:rPr>
        <w:t xml:space="preserve"> if the purposes listed in the rescue plan cannot be achieved or where the judicial manager acted unfairly prejudicing the interests of the </w:t>
      </w:r>
      <w:r w:rsidR="0094059D">
        <w:rPr>
          <w:rFonts w:ascii="Arial" w:hAnsi="Arial" w:cs="Arial"/>
          <w:bCs/>
          <w:sz w:val="22"/>
          <w:szCs w:val="22"/>
          <w:lang w:val="en-GB"/>
        </w:rPr>
        <w:t xml:space="preserve">members or </w:t>
      </w:r>
      <w:r w:rsidR="008061D3">
        <w:rPr>
          <w:rFonts w:ascii="Arial" w:hAnsi="Arial" w:cs="Arial"/>
          <w:bCs/>
          <w:sz w:val="22"/>
          <w:szCs w:val="22"/>
          <w:lang w:val="en-GB"/>
        </w:rPr>
        <w:t>creditors</w:t>
      </w:r>
      <w:r w:rsidR="0094059D">
        <w:rPr>
          <w:rFonts w:ascii="Arial" w:hAnsi="Arial" w:cs="Arial"/>
          <w:bCs/>
          <w:sz w:val="22"/>
          <w:szCs w:val="22"/>
          <w:lang w:val="en-GB"/>
        </w:rPr>
        <w:t xml:space="preserve"> of the company</w:t>
      </w:r>
      <w:r w:rsidR="008061D3">
        <w:rPr>
          <w:rFonts w:ascii="Arial" w:hAnsi="Arial" w:cs="Arial"/>
          <w:bCs/>
          <w:sz w:val="22"/>
          <w:szCs w:val="22"/>
          <w:lang w:val="en-GB"/>
        </w:rPr>
        <w:t xml:space="preserve">. </w:t>
      </w:r>
    </w:p>
    <w:p w14:paraId="63D70687" w14:textId="77777777" w:rsidR="003832E3" w:rsidRDefault="003832E3" w:rsidP="00087F21">
      <w:pPr>
        <w:jc w:val="both"/>
        <w:rPr>
          <w:rFonts w:ascii="Arial" w:hAnsi="Arial" w:cs="Arial"/>
          <w:bCs/>
          <w:sz w:val="22"/>
          <w:szCs w:val="22"/>
          <w:lang w:val="en-GB"/>
        </w:rPr>
      </w:pPr>
    </w:p>
    <w:p w14:paraId="0E1E7853" w14:textId="41FAB961" w:rsidR="00105F0F" w:rsidRPr="00105F0F" w:rsidRDefault="00105F0F" w:rsidP="00B42BB8">
      <w:pPr>
        <w:pStyle w:val="ListParagraph"/>
        <w:numPr>
          <w:ilvl w:val="0"/>
          <w:numId w:val="25"/>
        </w:numPr>
        <w:jc w:val="both"/>
        <w:rPr>
          <w:rFonts w:ascii="Arial" w:hAnsi="Arial" w:cs="Arial"/>
          <w:bCs/>
          <w:sz w:val="22"/>
          <w:szCs w:val="22"/>
          <w:u w:val="single"/>
          <w:lang w:val="en-GB"/>
        </w:rPr>
      </w:pPr>
      <w:r w:rsidRPr="00105F0F">
        <w:rPr>
          <w:rFonts w:ascii="Arial" w:hAnsi="Arial" w:cs="Arial"/>
          <w:bCs/>
          <w:sz w:val="22"/>
          <w:szCs w:val="22"/>
          <w:u w:val="single"/>
          <w:lang w:val="en-GB"/>
        </w:rPr>
        <w:t>Moratorium</w:t>
      </w:r>
    </w:p>
    <w:p w14:paraId="5AB93476" w14:textId="77777777" w:rsidR="00105F0F" w:rsidRDefault="00105F0F" w:rsidP="00087F21">
      <w:pPr>
        <w:jc w:val="both"/>
        <w:rPr>
          <w:rFonts w:ascii="Arial" w:hAnsi="Arial" w:cs="Arial"/>
          <w:bCs/>
          <w:sz w:val="22"/>
          <w:szCs w:val="22"/>
          <w:lang w:val="en-GB"/>
        </w:rPr>
      </w:pPr>
    </w:p>
    <w:p w14:paraId="4B2241FC" w14:textId="60389A25" w:rsidR="003832E3" w:rsidRDefault="003832E3" w:rsidP="00087F21">
      <w:pPr>
        <w:jc w:val="both"/>
        <w:rPr>
          <w:rFonts w:ascii="Arial" w:hAnsi="Arial" w:cs="Arial"/>
          <w:bCs/>
          <w:sz w:val="22"/>
          <w:szCs w:val="22"/>
          <w:lang w:val="en-GB"/>
        </w:rPr>
      </w:pPr>
      <w:r>
        <w:rPr>
          <w:rFonts w:ascii="Arial" w:hAnsi="Arial" w:cs="Arial"/>
          <w:bCs/>
          <w:sz w:val="22"/>
          <w:szCs w:val="22"/>
          <w:lang w:val="en-GB"/>
        </w:rPr>
        <w:t>In a winding-up</w:t>
      </w:r>
      <w:r w:rsidR="0073243F">
        <w:rPr>
          <w:rFonts w:ascii="Arial" w:hAnsi="Arial" w:cs="Arial"/>
          <w:bCs/>
          <w:sz w:val="22"/>
          <w:szCs w:val="22"/>
          <w:lang w:val="en-GB"/>
        </w:rPr>
        <w:t>,</w:t>
      </w:r>
      <w:r>
        <w:rPr>
          <w:rFonts w:ascii="Arial" w:hAnsi="Arial" w:cs="Arial"/>
          <w:bCs/>
          <w:sz w:val="22"/>
          <w:szCs w:val="22"/>
          <w:lang w:val="en-GB"/>
        </w:rPr>
        <w:t xml:space="preserve"> moratorium is imposed from commencement of the winding-up and stays in force till the winding-up order is made by the court. The company, creditors or the contributory can apply to the court to restrain proceedings. Once the winding-up order is made, any action against the company requires the leave of the court.</w:t>
      </w:r>
    </w:p>
    <w:p w14:paraId="1EA6E16F" w14:textId="0993AF10" w:rsidR="0036269D" w:rsidRDefault="00E651E7" w:rsidP="00087F21">
      <w:pPr>
        <w:jc w:val="both"/>
        <w:rPr>
          <w:rFonts w:ascii="Arial" w:hAnsi="Arial" w:cs="Arial"/>
          <w:bCs/>
          <w:sz w:val="22"/>
          <w:szCs w:val="22"/>
          <w:lang w:val="en-GB"/>
        </w:rPr>
      </w:pPr>
      <w:r>
        <w:rPr>
          <w:rFonts w:ascii="Arial" w:hAnsi="Arial" w:cs="Arial"/>
          <w:bCs/>
          <w:sz w:val="22"/>
          <w:szCs w:val="22"/>
          <w:lang w:val="en-GB"/>
        </w:rPr>
        <w:t xml:space="preserve"> </w:t>
      </w:r>
    </w:p>
    <w:p w14:paraId="01AFB968" w14:textId="48B9AD5F" w:rsidR="00C93DDA" w:rsidRDefault="00C93DDA" w:rsidP="00087F21">
      <w:pPr>
        <w:jc w:val="both"/>
        <w:rPr>
          <w:rFonts w:ascii="Arial" w:hAnsi="Arial" w:cs="Arial"/>
          <w:bCs/>
          <w:sz w:val="22"/>
          <w:szCs w:val="22"/>
          <w:lang w:val="en-GB"/>
        </w:rPr>
      </w:pPr>
      <w:r>
        <w:rPr>
          <w:rFonts w:ascii="Arial" w:hAnsi="Arial" w:cs="Arial"/>
          <w:bCs/>
          <w:sz w:val="22"/>
          <w:szCs w:val="22"/>
          <w:lang w:val="en-GB"/>
        </w:rPr>
        <w:t>During the period of judicial management, a moratorium (interim and final) against legal proceedings is comes into effect to preserve the company assets</w:t>
      </w:r>
      <w:r w:rsidR="0011293E">
        <w:rPr>
          <w:rFonts w:ascii="Arial" w:hAnsi="Arial" w:cs="Arial"/>
          <w:bCs/>
          <w:sz w:val="22"/>
          <w:szCs w:val="22"/>
          <w:lang w:val="en-GB"/>
        </w:rPr>
        <w:t xml:space="preserve"> to enable the judicial manager to formulate a rescue plan</w:t>
      </w:r>
      <w:r>
        <w:rPr>
          <w:rFonts w:ascii="Arial" w:hAnsi="Arial" w:cs="Arial"/>
          <w:bCs/>
          <w:sz w:val="22"/>
          <w:szCs w:val="22"/>
          <w:lang w:val="en-GB"/>
        </w:rPr>
        <w:t>.</w:t>
      </w:r>
      <w:r w:rsidR="003832E3">
        <w:rPr>
          <w:rFonts w:ascii="Arial" w:hAnsi="Arial" w:cs="Arial"/>
          <w:bCs/>
          <w:sz w:val="22"/>
          <w:szCs w:val="22"/>
          <w:lang w:val="en-GB"/>
        </w:rPr>
        <w:t xml:space="preserve"> Once the plan is accepted</w:t>
      </w:r>
      <w:r w:rsidR="0016018E">
        <w:rPr>
          <w:rFonts w:ascii="Arial" w:hAnsi="Arial" w:cs="Arial"/>
          <w:bCs/>
          <w:sz w:val="22"/>
          <w:szCs w:val="22"/>
          <w:lang w:val="en-GB"/>
        </w:rPr>
        <w:t>,</w:t>
      </w:r>
      <w:r w:rsidR="003832E3">
        <w:rPr>
          <w:rFonts w:ascii="Arial" w:hAnsi="Arial" w:cs="Arial"/>
          <w:bCs/>
          <w:sz w:val="22"/>
          <w:szCs w:val="22"/>
          <w:lang w:val="en-GB"/>
        </w:rPr>
        <w:t xml:space="preserve"> the moratorium is lifted. A moratorium </w:t>
      </w:r>
      <w:r w:rsidR="00A82E06">
        <w:rPr>
          <w:rFonts w:ascii="Arial" w:hAnsi="Arial" w:cs="Arial"/>
          <w:bCs/>
          <w:sz w:val="22"/>
          <w:szCs w:val="22"/>
          <w:lang w:val="en-GB"/>
        </w:rPr>
        <w:t xml:space="preserve">u/s 64 of IRDA provides a stronger protection to </w:t>
      </w:r>
      <w:r w:rsidR="003832E3">
        <w:rPr>
          <w:rFonts w:ascii="Arial" w:hAnsi="Arial" w:cs="Arial"/>
          <w:bCs/>
          <w:sz w:val="22"/>
          <w:szCs w:val="22"/>
          <w:lang w:val="en-GB"/>
        </w:rPr>
        <w:t>the judicial manager</w:t>
      </w:r>
      <w:r w:rsidR="00A82E06">
        <w:rPr>
          <w:rFonts w:ascii="Arial" w:hAnsi="Arial" w:cs="Arial"/>
          <w:bCs/>
          <w:sz w:val="22"/>
          <w:szCs w:val="22"/>
          <w:lang w:val="en-GB"/>
        </w:rPr>
        <w:t xml:space="preserve"> and restraints creditors from enforc</w:t>
      </w:r>
      <w:r w:rsidR="0016018E">
        <w:rPr>
          <w:rFonts w:ascii="Arial" w:hAnsi="Arial" w:cs="Arial"/>
          <w:bCs/>
          <w:sz w:val="22"/>
          <w:szCs w:val="22"/>
          <w:lang w:val="en-GB"/>
        </w:rPr>
        <w:t xml:space="preserve">ing their security rights giving </w:t>
      </w:r>
      <w:r w:rsidR="00A82E06">
        <w:rPr>
          <w:rFonts w:ascii="Arial" w:hAnsi="Arial" w:cs="Arial"/>
          <w:bCs/>
          <w:sz w:val="22"/>
          <w:szCs w:val="22"/>
          <w:lang w:val="en-GB"/>
        </w:rPr>
        <w:t>a</w:t>
      </w:r>
      <w:r w:rsidR="003832E3">
        <w:rPr>
          <w:rFonts w:ascii="Arial" w:hAnsi="Arial" w:cs="Arial"/>
          <w:bCs/>
          <w:sz w:val="22"/>
          <w:szCs w:val="22"/>
          <w:lang w:val="en-GB"/>
        </w:rPr>
        <w:t xml:space="preserve"> chance to</w:t>
      </w:r>
      <w:r w:rsidR="007D569B">
        <w:rPr>
          <w:rFonts w:ascii="Arial" w:hAnsi="Arial" w:cs="Arial"/>
          <w:bCs/>
          <w:sz w:val="22"/>
          <w:szCs w:val="22"/>
          <w:lang w:val="en-GB"/>
        </w:rPr>
        <w:t xml:space="preserve"> assess the financial situation</w:t>
      </w:r>
      <w:r w:rsidR="003832E3">
        <w:rPr>
          <w:rFonts w:ascii="Arial" w:hAnsi="Arial" w:cs="Arial"/>
          <w:bCs/>
          <w:sz w:val="22"/>
          <w:szCs w:val="22"/>
          <w:lang w:val="en-GB"/>
        </w:rPr>
        <w:t xml:space="preserve"> of the </w:t>
      </w:r>
      <w:r w:rsidR="00A82E06">
        <w:rPr>
          <w:rFonts w:ascii="Arial" w:hAnsi="Arial" w:cs="Arial"/>
          <w:bCs/>
          <w:sz w:val="22"/>
          <w:szCs w:val="22"/>
          <w:lang w:val="en-GB"/>
        </w:rPr>
        <w:t xml:space="preserve">corporate debtor and facilitates </w:t>
      </w:r>
      <w:r w:rsidR="003832E3">
        <w:rPr>
          <w:rFonts w:ascii="Arial" w:hAnsi="Arial" w:cs="Arial"/>
          <w:bCs/>
          <w:sz w:val="22"/>
          <w:szCs w:val="22"/>
          <w:lang w:val="en-GB"/>
        </w:rPr>
        <w:t>p</w:t>
      </w:r>
      <w:r w:rsidR="00A82E06">
        <w:rPr>
          <w:rFonts w:ascii="Arial" w:hAnsi="Arial" w:cs="Arial"/>
          <w:bCs/>
          <w:sz w:val="22"/>
          <w:szCs w:val="22"/>
          <w:lang w:val="en-GB"/>
        </w:rPr>
        <w:t>reparation of</w:t>
      </w:r>
      <w:r w:rsidR="003832E3">
        <w:rPr>
          <w:rFonts w:ascii="Arial" w:hAnsi="Arial" w:cs="Arial"/>
          <w:bCs/>
          <w:sz w:val="22"/>
          <w:szCs w:val="22"/>
          <w:lang w:val="en-GB"/>
        </w:rPr>
        <w:t xml:space="preserve"> a proper rescue plan. </w:t>
      </w:r>
    </w:p>
    <w:p w14:paraId="187E1CC0" w14:textId="77777777" w:rsidR="0036269D" w:rsidRDefault="0036269D" w:rsidP="00087F21">
      <w:pPr>
        <w:jc w:val="both"/>
        <w:rPr>
          <w:rFonts w:ascii="Arial" w:hAnsi="Arial" w:cs="Arial"/>
          <w:bCs/>
          <w:sz w:val="22"/>
          <w:szCs w:val="22"/>
          <w:lang w:val="en-GB"/>
        </w:rPr>
      </w:pPr>
    </w:p>
    <w:p w14:paraId="002A12B8" w14:textId="04D466E5" w:rsidR="003F11D0" w:rsidRPr="00DE16AC" w:rsidRDefault="00DE16AC" w:rsidP="00DE16AC">
      <w:pPr>
        <w:pStyle w:val="ListParagraph"/>
        <w:numPr>
          <w:ilvl w:val="0"/>
          <w:numId w:val="25"/>
        </w:numPr>
        <w:jc w:val="both"/>
        <w:rPr>
          <w:rFonts w:ascii="Arial" w:hAnsi="Arial" w:cs="Arial"/>
          <w:bCs/>
          <w:sz w:val="22"/>
          <w:szCs w:val="22"/>
          <w:u w:val="single"/>
          <w:lang w:val="en-GB"/>
        </w:rPr>
      </w:pPr>
      <w:r w:rsidRPr="00DE16AC">
        <w:rPr>
          <w:rFonts w:ascii="Arial" w:hAnsi="Arial" w:cs="Arial"/>
          <w:bCs/>
          <w:sz w:val="22"/>
          <w:szCs w:val="22"/>
          <w:u w:val="single"/>
          <w:lang w:val="en-GB"/>
        </w:rPr>
        <w:t>Appointment of office holder</w:t>
      </w:r>
    </w:p>
    <w:p w14:paraId="7DF58587" w14:textId="77777777" w:rsidR="007D569B" w:rsidRPr="007E40F0" w:rsidRDefault="007D569B" w:rsidP="00087F21">
      <w:pPr>
        <w:jc w:val="both"/>
        <w:rPr>
          <w:rFonts w:ascii="Arial" w:hAnsi="Arial" w:cs="Arial"/>
          <w:bCs/>
          <w:sz w:val="22"/>
          <w:szCs w:val="22"/>
          <w:lang w:val="en-GB"/>
        </w:rPr>
      </w:pPr>
    </w:p>
    <w:p w14:paraId="0FCBBF83" w14:textId="3EC1B599" w:rsidR="00132329" w:rsidRDefault="00C77A76" w:rsidP="00087F21">
      <w:pPr>
        <w:jc w:val="both"/>
        <w:rPr>
          <w:rFonts w:ascii="Arial" w:hAnsi="Arial" w:cs="Arial"/>
          <w:bCs/>
          <w:sz w:val="22"/>
          <w:szCs w:val="22"/>
          <w:lang w:val="en-GB"/>
        </w:rPr>
      </w:pPr>
      <w:r>
        <w:rPr>
          <w:rFonts w:ascii="Arial" w:hAnsi="Arial" w:cs="Arial"/>
          <w:bCs/>
          <w:sz w:val="22"/>
          <w:szCs w:val="22"/>
          <w:lang w:val="en-GB"/>
        </w:rPr>
        <w:t>For the period pending determination of the winding up</w:t>
      </w:r>
      <w:r w:rsidR="00FE1A17">
        <w:rPr>
          <w:rFonts w:ascii="Arial" w:hAnsi="Arial" w:cs="Arial"/>
          <w:bCs/>
          <w:sz w:val="22"/>
          <w:szCs w:val="22"/>
          <w:lang w:val="en-GB"/>
        </w:rPr>
        <w:t>,</w:t>
      </w:r>
      <w:r>
        <w:rPr>
          <w:rFonts w:ascii="Arial" w:hAnsi="Arial" w:cs="Arial"/>
          <w:bCs/>
          <w:sz w:val="22"/>
          <w:szCs w:val="22"/>
          <w:lang w:val="en-GB"/>
        </w:rPr>
        <w:t xml:space="preserve"> a court has the power to appoint a provisional liquidator</w:t>
      </w:r>
      <w:r w:rsidR="00FE1A17">
        <w:rPr>
          <w:rFonts w:ascii="Arial" w:hAnsi="Arial" w:cs="Arial"/>
          <w:bCs/>
          <w:sz w:val="22"/>
          <w:szCs w:val="22"/>
          <w:lang w:val="en-GB"/>
        </w:rPr>
        <w:t>,</w:t>
      </w:r>
      <w:r>
        <w:rPr>
          <w:rFonts w:ascii="Arial" w:hAnsi="Arial" w:cs="Arial"/>
          <w:bCs/>
          <w:sz w:val="22"/>
          <w:szCs w:val="22"/>
          <w:lang w:val="en-GB"/>
        </w:rPr>
        <w:t xml:space="preserve"> if there is a prima facie case for winding-up</w:t>
      </w:r>
      <w:r w:rsidR="004212AC">
        <w:rPr>
          <w:rFonts w:ascii="Arial" w:hAnsi="Arial" w:cs="Arial"/>
          <w:bCs/>
          <w:sz w:val="22"/>
          <w:szCs w:val="22"/>
          <w:lang w:val="en-GB"/>
        </w:rPr>
        <w:t xml:space="preserve"> and the court is satisfied that in the circumstances a provisional liquidator should be appointed.</w:t>
      </w:r>
      <w:r w:rsidR="00AD71BF">
        <w:rPr>
          <w:rFonts w:ascii="Arial" w:hAnsi="Arial" w:cs="Arial"/>
          <w:bCs/>
          <w:sz w:val="22"/>
          <w:szCs w:val="22"/>
          <w:lang w:val="en-GB"/>
        </w:rPr>
        <w:t xml:space="preserve"> The liquidator may be the Official Receiver or a private liquidator. </w:t>
      </w:r>
      <w:r w:rsidR="007E22DB">
        <w:rPr>
          <w:rFonts w:ascii="Arial" w:hAnsi="Arial" w:cs="Arial"/>
          <w:bCs/>
          <w:sz w:val="22"/>
          <w:szCs w:val="22"/>
          <w:lang w:val="en-GB"/>
        </w:rPr>
        <w:t>In a creditors’ winding up, the directors must immediately appoint a provisional liquidator and in a members’ liquidation, a members meeting may pass a special resolution in favour of winding-up and appointing of a liquidator.</w:t>
      </w:r>
    </w:p>
    <w:p w14:paraId="1831414A" w14:textId="77777777" w:rsidR="00132329" w:rsidRDefault="00132329" w:rsidP="00087F21">
      <w:pPr>
        <w:jc w:val="both"/>
        <w:rPr>
          <w:rFonts w:ascii="Arial" w:hAnsi="Arial" w:cs="Arial"/>
          <w:bCs/>
          <w:sz w:val="22"/>
          <w:szCs w:val="22"/>
          <w:lang w:val="en-GB"/>
        </w:rPr>
      </w:pPr>
    </w:p>
    <w:p w14:paraId="1319C98E" w14:textId="17536BF5" w:rsidR="007E40F0" w:rsidRDefault="00132329" w:rsidP="00087F21">
      <w:pPr>
        <w:jc w:val="both"/>
        <w:rPr>
          <w:rFonts w:ascii="Arial" w:hAnsi="Arial" w:cs="Arial"/>
          <w:bCs/>
          <w:sz w:val="22"/>
          <w:szCs w:val="22"/>
          <w:lang w:val="en-GB"/>
        </w:rPr>
      </w:pPr>
      <w:r>
        <w:rPr>
          <w:rFonts w:ascii="Arial" w:hAnsi="Arial" w:cs="Arial"/>
          <w:bCs/>
          <w:sz w:val="22"/>
          <w:szCs w:val="22"/>
          <w:lang w:val="en-GB"/>
        </w:rPr>
        <w:t>An interim</w:t>
      </w:r>
      <w:r w:rsidR="007E22DB">
        <w:rPr>
          <w:rFonts w:ascii="Arial" w:hAnsi="Arial" w:cs="Arial"/>
          <w:bCs/>
          <w:sz w:val="22"/>
          <w:szCs w:val="22"/>
          <w:lang w:val="en-GB"/>
        </w:rPr>
        <w:t xml:space="preserve"> </w:t>
      </w:r>
      <w:r>
        <w:rPr>
          <w:rFonts w:ascii="Arial" w:hAnsi="Arial" w:cs="Arial"/>
          <w:bCs/>
          <w:sz w:val="22"/>
          <w:szCs w:val="22"/>
          <w:lang w:val="en-GB"/>
        </w:rPr>
        <w:t>judicial manager may be appointed by the court or on the application of the company or its creditors under the specific circumstances where company’s assets are at a risk of b</w:t>
      </w:r>
      <w:r w:rsidR="00FE1A17">
        <w:rPr>
          <w:rFonts w:ascii="Arial" w:hAnsi="Arial" w:cs="Arial"/>
          <w:bCs/>
          <w:sz w:val="22"/>
          <w:szCs w:val="22"/>
          <w:lang w:val="en-GB"/>
        </w:rPr>
        <w:t>eing dissipated or deteriorated</w:t>
      </w:r>
      <w:r>
        <w:rPr>
          <w:rFonts w:ascii="Arial" w:hAnsi="Arial" w:cs="Arial"/>
          <w:bCs/>
          <w:sz w:val="22"/>
          <w:szCs w:val="22"/>
          <w:lang w:val="en-GB"/>
        </w:rPr>
        <w:t xml:space="preserve"> in the intervening period between application and hearing by the court and for safeguarding the interests of the company and its creditors.</w:t>
      </w:r>
    </w:p>
    <w:p w14:paraId="507D5707" w14:textId="77777777" w:rsidR="00DE16AC" w:rsidRDefault="00DE16AC" w:rsidP="00087F21">
      <w:pPr>
        <w:jc w:val="both"/>
        <w:rPr>
          <w:rFonts w:ascii="Arial" w:hAnsi="Arial" w:cs="Arial"/>
          <w:bCs/>
          <w:sz w:val="22"/>
          <w:szCs w:val="22"/>
          <w:lang w:val="en-GB"/>
        </w:rPr>
      </w:pPr>
    </w:p>
    <w:p w14:paraId="042D3860" w14:textId="620C1B0B" w:rsidR="00D12C0D" w:rsidRPr="00396DB5" w:rsidRDefault="0049424F" w:rsidP="00396DB5">
      <w:pPr>
        <w:pStyle w:val="ListParagraph"/>
        <w:numPr>
          <w:ilvl w:val="0"/>
          <w:numId w:val="25"/>
        </w:numPr>
        <w:jc w:val="both"/>
        <w:rPr>
          <w:rFonts w:ascii="Arial" w:hAnsi="Arial" w:cs="Arial"/>
          <w:bCs/>
          <w:sz w:val="22"/>
          <w:szCs w:val="22"/>
          <w:u w:val="single"/>
          <w:lang w:val="en-GB"/>
        </w:rPr>
      </w:pPr>
      <w:r>
        <w:rPr>
          <w:rFonts w:ascii="Arial" w:hAnsi="Arial" w:cs="Arial"/>
          <w:bCs/>
          <w:sz w:val="22"/>
          <w:szCs w:val="22"/>
          <w:u w:val="single"/>
          <w:lang w:val="en-GB"/>
        </w:rPr>
        <w:t>Rescue/</w:t>
      </w:r>
      <w:r w:rsidR="00396DB5" w:rsidRPr="00396DB5">
        <w:rPr>
          <w:rFonts w:ascii="Arial" w:hAnsi="Arial" w:cs="Arial"/>
          <w:bCs/>
          <w:sz w:val="22"/>
          <w:szCs w:val="22"/>
          <w:u w:val="single"/>
          <w:lang w:val="en-GB"/>
        </w:rPr>
        <w:t>Emergency financing</w:t>
      </w:r>
    </w:p>
    <w:p w14:paraId="05F2F3DF" w14:textId="77777777" w:rsidR="00396DB5" w:rsidRDefault="00396DB5" w:rsidP="00087F21">
      <w:pPr>
        <w:jc w:val="both"/>
        <w:rPr>
          <w:rFonts w:ascii="Arial" w:hAnsi="Arial" w:cs="Arial"/>
          <w:bCs/>
          <w:sz w:val="22"/>
          <w:szCs w:val="22"/>
          <w:lang w:val="en-GB"/>
        </w:rPr>
      </w:pPr>
    </w:p>
    <w:p w14:paraId="7700B82E" w14:textId="274B5721" w:rsidR="00396DB5" w:rsidRDefault="00396DB5" w:rsidP="00087F21">
      <w:pPr>
        <w:jc w:val="both"/>
        <w:rPr>
          <w:rFonts w:ascii="Arial" w:hAnsi="Arial" w:cs="Arial"/>
          <w:bCs/>
          <w:sz w:val="22"/>
          <w:szCs w:val="22"/>
          <w:lang w:val="en-GB"/>
        </w:rPr>
      </w:pPr>
      <w:r>
        <w:rPr>
          <w:rFonts w:ascii="Arial" w:hAnsi="Arial" w:cs="Arial"/>
          <w:bCs/>
          <w:sz w:val="22"/>
          <w:szCs w:val="22"/>
          <w:lang w:val="en-GB"/>
        </w:rPr>
        <w:t>In winding</w:t>
      </w:r>
      <w:r w:rsidR="0049424F">
        <w:rPr>
          <w:rFonts w:ascii="Arial" w:hAnsi="Arial" w:cs="Arial"/>
          <w:bCs/>
          <w:sz w:val="22"/>
          <w:szCs w:val="22"/>
          <w:lang w:val="en-GB"/>
        </w:rPr>
        <w:t>-up or liquidation</w:t>
      </w:r>
      <w:r>
        <w:rPr>
          <w:rFonts w:ascii="Arial" w:hAnsi="Arial" w:cs="Arial"/>
          <w:bCs/>
          <w:sz w:val="22"/>
          <w:szCs w:val="22"/>
          <w:lang w:val="en-GB"/>
        </w:rPr>
        <w:t xml:space="preserve"> there is no provision for emergency </w:t>
      </w:r>
      <w:r w:rsidR="0049424F">
        <w:rPr>
          <w:rFonts w:ascii="Arial" w:hAnsi="Arial" w:cs="Arial"/>
          <w:bCs/>
          <w:sz w:val="22"/>
          <w:szCs w:val="22"/>
          <w:lang w:val="en-GB"/>
        </w:rPr>
        <w:t xml:space="preserve">or rescue </w:t>
      </w:r>
      <w:r>
        <w:rPr>
          <w:rFonts w:ascii="Arial" w:hAnsi="Arial" w:cs="Arial"/>
          <w:bCs/>
          <w:sz w:val="22"/>
          <w:szCs w:val="22"/>
          <w:lang w:val="en-GB"/>
        </w:rPr>
        <w:t>financing.</w:t>
      </w:r>
      <w:r w:rsidR="0049424F">
        <w:rPr>
          <w:rFonts w:ascii="Arial" w:hAnsi="Arial" w:cs="Arial"/>
          <w:bCs/>
          <w:sz w:val="22"/>
          <w:szCs w:val="22"/>
          <w:lang w:val="en-GB"/>
        </w:rPr>
        <w:t xml:space="preserve"> Rescue financing is permitted under judicial management </w:t>
      </w:r>
      <w:r w:rsidR="006C74A5">
        <w:rPr>
          <w:rFonts w:ascii="Arial" w:hAnsi="Arial" w:cs="Arial"/>
          <w:bCs/>
          <w:sz w:val="22"/>
          <w:szCs w:val="22"/>
          <w:lang w:val="en-GB"/>
        </w:rPr>
        <w:t xml:space="preserve">as resolution process costs </w:t>
      </w:r>
      <w:r w:rsidR="0049424F">
        <w:rPr>
          <w:rFonts w:ascii="Arial" w:hAnsi="Arial" w:cs="Arial"/>
          <w:bCs/>
          <w:sz w:val="22"/>
          <w:szCs w:val="22"/>
          <w:lang w:val="en-GB"/>
        </w:rPr>
        <w:t>and</w:t>
      </w:r>
      <w:r w:rsidR="00314E67">
        <w:rPr>
          <w:rFonts w:ascii="Arial" w:hAnsi="Arial" w:cs="Arial"/>
          <w:bCs/>
          <w:sz w:val="22"/>
          <w:szCs w:val="22"/>
          <w:lang w:val="en-GB"/>
        </w:rPr>
        <w:t xml:space="preserve"> such transactions are</w:t>
      </w:r>
      <w:r w:rsidR="0049424F">
        <w:rPr>
          <w:rFonts w:ascii="Arial" w:hAnsi="Arial" w:cs="Arial"/>
          <w:bCs/>
          <w:sz w:val="22"/>
          <w:szCs w:val="22"/>
          <w:lang w:val="en-GB"/>
        </w:rPr>
        <w:t xml:space="preserve"> not subject to impeachment.</w:t>
      </w:r>
    </w:p>
    <w:p w14:paraId="2E6FB8F2" w14:textId="77777777" w:rsidR="00314E67" w:rsidRDefault="00314E67" w:rsidP="00087F21">
      <w:pPr>
        <w:jc w:val="both"/>
        <w:rPr>
          <w:rFonts w:ascii="Arial" w:hAnsi="Arial" w:cs="Arial"/>
          <w:bCs/>
          <w:sz w:val="22"/>
          <w:szCs w:val="22"/>
          <w:lang w:val="en-GB"/>
        </w:rPr>
      </w:pPr>
    </w:p>
    <w:p w14:paraId="0F16F382" w14:textId="48C06A5D" w:rsidR="00314E67" w:rsidRPr="00314E67" w:rsidRDefault="00314E67" w:rsidP="00314E67">
      <w:pPr>
        <w:pStyle w:val="ListParagraph"/>
        <w:numPr>
          <w:ilvl w:val="0"/>
          <w:numId w:val="25"/>
        </w:numPr>
        <w:jc w:val="both"/>
        <w:rPr>
          <w:rFonts w:ascii="Arial" w:hAnsi="Arial" w:cs="Arial"/>
          <w:bCs/>
          <w:sz w:val="22"/>
          <w:szCs w:val="22"/>
          <w:u w:val="single"/>
          <w:lang w:val="en-GB"/>
        </w:rPr>
      </w:pPr>
      <w:r w:rsidRPr="00314E67">
        <w:rPr>
          <w:rFonts w:ascii="Arial" w:hAnsi="Arial" w:cs="Arial"/>
          <w:bCs/>
          <w:sz w:val="22"/>
          <w:szCs w:val="22"/>
          <w:u w:val="single"/>
          <w:lang w:val="en-GB"/>
        </w:rPr>
        <w:lastRenderedPageBreak/>
        <w:t>Payment of priority claims</w:t>
      </w:r>
    </w:p>
    <w:p w14:paraId="560995B0" w14:textId="77777777" w:rsidR="00314E67" w:rsidRDefault="00314E67" w:rsidP="00087F21">
      <w:pPr>
        <w:jc w:val="both"/>
        <w:rPr>
          <w:rFonts w:ascii="Arial" w:hAnsi="Arial" w:cs="Arial"/>
          <w:bCs/>
          <w:sz w:val="22"/>
          <w:szCs w:val="22"/>
          <w:lang w:val="en-GB"/>
        </w:rPr>
      </w:pPr>
    </w:p>
    <w:p w14:paraId="18BD3B11" w14:textId="4CD01BD6" w:rsidR="00314E67" w:rsidRDefault="00314E67" w:rsidP="00087F21">
      <w:pPr>
        <w:jc w:val="both"/>
        <w:rPr>
          <w:rFonts w:ascii="Arial" w:hAnsi="Arial" w:cs="Arial"/>
          <w:bCs/>
          <w:sz w:val="22"/>
          <w:szCs w:val="22"/>
          <w:lang w:val="en-GB"/>
        </w:rPr>
      </w:pPr>
      <w:r>
        <w:rPr>
          <w:rFonts w:ascii="Arial" w:hAnsi="Arial" w:cs="Arial"/>
          <w:bCs/>
          <w:sz w:val="22"/>
          <w:szCs w:val="22"/>
          <w:lang w:val="en-GB"/>
        </w:rPr>
        <w:t>While distributing the assets of a company in liquidation, a statutory order of priority needs to be followed. There are no stat</w:t>
      </w:r>
      <w:r w:rsidR="00680B07">
        <w:rPr>
          <w:rFonts w:ascii="Arial" w:hAnsi="Arial" w:cs="Arial"/>
          <w:bCs/>
          <w:sz w:val="22"/>
          <w:szCs w:val="22"/>
          <w:lang w:val="en-GB"/>
        </w:rPr>
        <w:t xml:space="preserve">utory </w:t>
      </w:r>
      <w:r>
        <w:rPr>
          <w:rFonts w:ascii="Arial" w:hAnsi="Arial" w:cs="Arial"/>
          <w:bCs/>
          <w:sz w:val="22"/>
          <w:szCs w:val="22"/>
          <w:lang w:val="en-GB"/>
        </w:rPr>
        <w:t>preferential claims</w:t>
      </w:r>
      <w:r w:rsidR="00680B07">
        <w:rPr>
          <w:rFonts w:ascii="Arial" w:hAnsi="Arial" w:cs="Arial"/>
          <w:bCs/>
          <w:sz w:val="22"/>
          <w:szCs w:val="22"/>
          <w:lang w:val="en-GB"/>
        </w:rPr>
        <w:t xml:space="preserve"> or priorities</w:t>
      </w:r>
      <w:r>
        <w:rPr>
          <w:rFonts w:ascii="Arial" w:hAnsi="Arial" w:cs="Arial"/>
          <w:bCs/>
          <w:sz w:val="22"/>
          <w:szCs w:val="22"/>
          <w:lang w:val="en-GB"/>
        </w:rPr>
        <w:t xml:space="preserve"> that apply to judicial management</w:t>
      </w:r>
    </w:p>
    <w:p w14:paraId="3592C925" w14:textId="77777777" w:rsidR="00396DB5" w:rsidRDefault="00396DB5" w:rsidP="00087F21">
      <w:pPr>
        <w:jc w:val="both"/>
        <w:rPr>
          <w:rFonts w:ascii="Arial" w:hAnsi="Arial" w:cs="Arial"/>
          <w:bCs/>
          <w:sz w:val="22"/>
          <w:szCs w:val="22"/>
          <w:lang w:val="en-GB"/>
        </w:rPr>
      </w:pPr>
    </w:p>
    <w:p w14:paraId="66C8BBDA" w14:textId="2C071501" w:rsidR="00680B07" w:rsidRPr="00680B07" w:rsidRDefault="00680B07" w:rsidP="00680B07">
      <w:pPr>
        <w:pStyle w:val="ListParagraph"/>
        <w:numPr>
          <w:ilvl w:val="0"/>
          <w:numId w:val="25"/>
        </w:numPr>
        <w:jc w:val="both"/>
        <w:rPr>
          <w:rFonts w:ascii="Arial" w:hAnsi="Arial" w:cs="Arial"/>
          <w:bCs/>
          <w:sz w:val="22"/>
          <w:szCs w:val="22"/>
          <w:u w:val="single"/>
          <w:lang w:val="en-GB"/>
        </w:rPr>
      </w:pPr>
      <w:r w:rsidRPr="00680B07">
        <w:rPr>
          <w:rFonts w:ascii="Arial" w:hAnsi="Arial" w:cs="Arial"/>
          <w:bCs/>
          <w:sz w:val="22"/>
          <w:szCs w:val="22"/>
          <w:u w:val="single"/>
          <w:lang w:val="en-GB"/>
        </w:rPr>
        <w:t>Disclaiming onerous contracts</w:t>
      </w:r>
    </w:p>
    <w:p w14:paraId="3DDB959A" w14:textId="77777777" w:rsidR="00680B07" w:rsidRDefault="00680B07" w:rsidP="00087F21">
      <w:pPr>
        <w:jc w:val="both"/>
        <w:rPr>
          <w:rFonts w:ascii="Arial" w:hAnsi="Arial" w:cs="Arial"/>
          <w:bCs/>
          <w:sz w:val="22"/>
          <w:szCs w:val="22"/>
          <w:lang w:val="en-GB"/>
        </w:rPr>
      </w:pPr>
    </w:p>
    <w:p w14:paraId="63468E5B" w14:textId="5587F930" w:rsidR="00680B07" w:rsidRDefault="00680B07" w:rsidP="00087F21">
      <w:pPr>
        <w:jc w:val="both"/>
        <w:rPr>
          <w:rFonts w:ascii="Arial" w:hAnsi="Arial" w:cs="Arial"/>
          <w:bCs/>
          <w:sz w:val="22"/>
          <w:szCs w:val="22"/>
          <w:lang w:val="en-GB"/>
        </w:rPr>
      </w:pPr>
      <w:r>
        <w:rPr>
          <w:rFonts w:ascii="Arial" w:hAnsi="Arial" w:cs="Arial"/>
          <w:bCs/>
          <w:sz w:val="22"/>
          <w:szCs w:val="22"/>
          <w:lang w:val="en-GB"/>
        </w:rPr>
        <w:t>Judicial managers, unlike liquidators, do not have the power to disclaim onerous contracts entered into by the company prior to the judicial manager’s orders.</w:t>
      </w:r>
    </w:p>
    <w:p w14:paraId="54591008" w14:textId="77777777" w:rsidR="00680B07" w:rsidRDefault="00680B07" w:rsidP="00087F21">
      <w:pPr>
        <w:jc w:val="both"/>
        <w:rPr>
          <w:rFonts w:ascii="Arial" w:hAnsi="Arial" w:cs="Arial"/>
          <w:bCs/>
          <w:sz w:val="22"/>
          <w:szCs w:val="22"/>
          <w:lang w:val="en-GB"/>
        </w:rPr>
      </w:pPr>
    </w:p>
    <w:p w14:paraId="5B3B5BD1" w14:textId="647BC1BF" w:rsidR="00396DB5" w:rsidRPr="001A24D1" w:rsidRDefault="00396DB5" w:rsidP="001A24D1">
      <w:pPr>
        <w:pStyle w:val="ListParagraph"/>
        <w:numPr>
          <w:ilvl w:val="0"/>
          <w:numId w:val="25"/>
        </w:numPr>
        <w:jc w:val="both"/>
        <w:rPr>
          <w:rFonts w:ascii="Arial" w:hAnsi="Arial" w:cs="Arial"/>
          <w:bCs/>
          <w:sz w:val="22"/>
          <w:szCs w:val="22"/>
          <w:u w:val="single"/>
          <w:lang w:val="en-GB"/>
        </w:rPr>
      </w:pPr>
      <w:r w:rsidRPr="001A24D1">
        <w:rPr>
          <w:rFonts w:ascii="Arial" w:hAnsi="Arial" w:cs="Arial"/>
          <w:bCs/>
          <w:sz w:val="22"/>
          <w:szCs w:val="22"/>
          <w:u w:val="single"/>
          <w:lang w:val="en-GB"/>
        </w:rPr>
        <w:t>Release and discharge</w:t>
      </w:r>
      <w:r w:rsidR="005D386A">
        <w:rPr>
          <w:rFonts w:ascii="Arial" w:hAnsi="Arial" w:cs="Arial"/>
          <w:bCs/>
          <w:sz w:val="22"/>
          <w:szCs w:val="22"/>
          <w:u w:val="single"/>
          <w:lang w:val="en-GB"/>
        </w:rPr>
        <w:t xml:space="preserve"> of Officers</w:t>
      </w:r>
    </w:p>
    <w:p w14:paraId="0F3E56CB" w14:textId="77777777" w:rsidR="00396DB5" w:rsidRDefault="00396DB5" w:rsidP="00087F21">
      <w:pPr>
        <w:jc w:val="both"/>
        <w:rPr>
          <w:rFonts w:ascii="Arial" w:hAnsi="Arial" w:cs="Arial"/>
          <w:bCs/>
          <w:sz w:val="22"/>
          <w:szCs w:val="22"/>
          <w:lang w:val="en-GB"/>
        </w:rPr>
      </w:pPr>
    </w:p>
    <w:p w14:paraId="7AC496D2" w14:textId="18EA8C23" w:rsidR="005D386A" w:rsidRDefault="00396DB5" w:rsidP="00087F21">
      <w:pPr>
        <w:jc w:val="both"/>
        <w:rPr>
          <w:rFonts w:ascii="Arial" w:hAnsi="Arial" w:cs="Arial"/>
          <w:bCs/>
          <w:sz w:val="22"/>
          <w:szCs w:val="22"/>
          <w:lang w:val="en-GB"/>
        </w:rPr>
      </w:pPr>
      <w:r>
        <w:rPr>
          <w:rFonts w:ascii="Arial" w:hAnsi="Arial" w:cs="Arial"/>
          <w:bCs/>
          <w:sz w:val="22"/>
          <w:szCs w:val="22"/>
          <w:lang w:val="en-GB"/>
        </w:rPr>
        <w:t>Upon completion of the liquidation, the liquidator applies to</w:t>
      </w:r>
      <w:r w:rsidR="00FE1A17">
        <w:rPr>
          <w:rFonts w:ascii="Arial" w:hAnsi="Arial" w:cs="Arial"/>
          <w:bCs/>
          <w:sz w:val="22"/>
          <w:szCs w:val="22"/>
          <w:lang w:val="en-GB"/>
        </w:rPr>
        <w:t xml:space="preserve"> the c</w:t>
      </w:r>
      <w:r>
        <w:rPr>
          <w:rFonts w:ascii="Arial" w:hAnsi="Arial" w:cs="Arial"/>
          <w:bCs/>
          <w:sz w:val="22"/>
          <w:szCs w:val="22"/>
          <w:lang w:val="en-GB"/>
        </w:rPr>
        <w:t xml:space="preserve">ourt for the company to be dissolved, </w:t>
      </w:r>
      <w:r w:rsidR="00ED472F">
        <w:rPr>
          <w:rFonts w:ascii="Arial" w:hAnsi="Arial" w:cs="Arial"/>
          <w:bCs/>
          <w:sz w:val="22"/>
          <w:szCs w:val="22"/>
          <w:lang w:val="en-GB"/>
        </w:rPr>
        <w:t>for</w:t>
      </w:r>
      <w:r w:rsidR="00FE1A17">
        <w:rPr>
          <w:rFonts w:ascii="Arial" w:hAnsi="Arial" w:cs="Arial"/>
          <w:bCs/>
          <w:sz w:val="22"/>
          <w:szCs w:val="22"/>
          <w:lang w:val="en-GB"/>
        </w:rPr>
        <w:t xml:space="preserve"> him </w:t>
      </w:r>
      <w:r>
        <w:rPr>
          <w:rFonts w:ascii="Arial" w:hAnsi="Arial" w:cs="Arial"/>
          <w:bCs/>
          <w:sz w:val="22"/>
          <w:szCs w:val="22"/>
          <w:lang w:val="en-GB"/>
        </w:rPr>
        <w:t>to be released as liquidator and to discharge the liquidator from all liability in respect of his conduct in the course of winding-up</w:t>
      </w:r>
      <w:r w:rsidR="00AD71BF">
        <w:rPr>
          <w:rFonts w:ascii="Arial" w:hAnsi="Arial" w:cs="Arial"/>
          <w:bCs/>
          <w:sz w:val="22"/>
          <w:szCs w:val="22"/>
          <w:lang w:val="en-GB"/>
        </w:rPr>
        <w:t xml:space="preserve">. </w:t>
      </w:r>
    </w:p>
    <w:p w14:paraId="0690A1B1" w14:textId="77777777" w:rsidR="005D386A" w:rsidRDefault="005D386A" w:rsidP="00087F21">
      <w:pPr>
        <w:jc w:val="both"/>
        <w:rPr>
          <w:rFonts w:ascii="Arial" w:hAnsi="Arial" w:cs="Arial"/>
          <w:bCs/>
          <w:sz w:val="22"/>
          <w:szCs w:val="22"/>
          <w:lang w:val="en-GB"/>
        </w:rPr>
      </w:pPr>
    </w:p>
    <w:p w14:paraId="062E17E0" w14:textId="5104B3BD" w:rsidR="00396DB5" w:rsidRDefault="00AD71BF" w:rsidP="00087F21">
      <w:pPr>
        <w:jc w:val="both"/>
        <w:rPr>
          <w:rFonts w:ascii="Arial" w:hAnsi="Arial" w:cs="Arial"/>
          <w:bCs/>
          <w:sz w:val="22"/>
          <w:szCs w:val="22"/>
          <w:lang w:val="en-GB"/>
        </w:rPr>
      </w:pPr>
      <w:r>
        <w:rPr>
          <w:rFonts w:ascii="Arial" w:hAnsi="Arial" w:cs="Arial"/>
          <w:bCs/>
          <w:sz w:val="22"/>
          <w:szCs w:val="22"/>
          <w:lang w:val="en-GB"/>
        </w:rPr>
        <w:t>A judicial manger</w:t>
      </w:r>
      <w:r w:rsidR="005D386A">
        <w:rPr>
          <w:rFonts w:ascii="Arial" w:hAnsi="Arial" w:cs="Arial"/>
          <w:bCs/>
          <w:sz w:val="22"/>
          <w:szCs w:val="22"/>
          <w:lang w:val="en-GB"/>
        </w:rPr>
        <w:t xml:space="preserve"> is discharged on the acceptance of the judicial management plan by the creditors and the court or where the plan is rejected by the creditors, on the court’s order that the company be</w:t>
      </w:r>
      <w:r w:rsidR="000653E5">
        <w:rPr>
          <w:rFonts w:ascii="Arial" w:hAnsi="Arial" w:cs="Arial"/>
          <w:bCs/>
          <w:sz w:val="22"/>
          <w:szCs w:val="22"/>
          <w:lang w:val="en-GB"/>
        </w:rPr>
        <w:t xml:space="preserve"> placed into liquidation.</w:t>
      </w:r>
      <w:r w:rsidR="005D386A">
        <w:rPr>
          <w:rFonts w:ascii="Arial" w:hAnsi="Arial" w:cs="Arial"/>
          <w:bCs/>
          <w:sz w:val="22"/>
          <w:szCs w:val="22"/>
          <w:lang w:val="en-GB"/>
        </w:rPr>
        <w:t xml:space="preserve"> </w:t>
      </w:r>
    </w:p>
    <w:p w14:paraId="09DD415E" w14:textId="77777777" w:rsidR="001A24D1" w:rsidRDefault="001A24D1"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1"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 xml:space="preserve">expand their water and waste to energy business and raised an additional SGD 1 billion in retail bonds for working capital </w:t>
      </w:r>
      <w:r w:rsidR="00D77884">
        <w:rPr>
          <w:rFonts w:ascii="Arial" w:hAnsi="Arial" w:cs="Arial"/>
          <w:sz w:val="22"/>
          <w:szCs w:val="22"/>
          <w:lang w:val="en-GB"/>
        </w:rPr>
        <w:lastRenderedPageBreak/>
        <w:t>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Default="00CF14BE" w:rsidP="00CF14BE">
      <w:pPr>
        <w:ind w:left="66"/>
        <w:jc w:val="both"/>
        <w:rPr>
          <w:rFonts w:ascii="Arial" w:hAnsi="Arial" w:cs="Arial"/>
          <w:sz w:val="22"/>
          <w:szCs w:val="22"/>
          <w:lang w:val="en-GB"/>
        </w:rPr>
      </w:pPr>
    </w:p>
    <w:p w14:paraId="0CF28927" w14:textId="77777777" w:rsidR="00940681" w:rsidRPr="009B3859" w:rsidRDefault="00940681" w:rsidP="00940681">
      <w:pPr>
        <w:ind w:left="720" w:hanging="720"/>
        <w:jc w:val="both"/>
        <w:rPr>
          <w:rFonts w:ascii="Arial" w:hAnsi="Arial" w:cs="Arial"/>
          <w:b/>
          <w:sz w:val="22"/>
          <w:szCs w:val="22"/>
          <w:lang w:val="en-GB"/>
        </w:rPr>
      </w:pPr>
      <w:r w:rsidRPr="009B3859">
        <w:rPr>
          <w:rFonts w:ascii="Arial" w:hAnsi="Arial" w:cs="Arial"/>
          <w:b/>
          <w:sz w:val="22"/>
          <w:szCs w:val="22"/>
          <w:lang w:val="en-GB"/>
        </w:rPr>
        <w:t>ANSWER</w:t>
      </w:r>
    </w:p>
    <w:p w14:paraId="4F8463F9" w14:textId="77777777" w:rsidR="00940681" w:rsidRDefault="00940681" w:rsidP="00940681">
      <w:pPr>
        <w:jc w:val="both"/>
        <w:rPr>
          <w:rFonts w:ascii="Arial" w:hAnsi="Arial" w:cs="Arial"/>
          <w:sz w:val="22"/>
          <w:szCs w:val="22"/>
          <w:lang w:val="en-GB"/>
        </w:rPr>
      </w:pPr>
    </w:p>
    <w:p w14:paraId="24FC3A40" w14:textId="77777777" w:rsidR="00940681" w:rsidRDefault="00940681" w:rsidP="00940681">
      <w:pPr>
        <w:jc w:val="both"/>
        <w:rPr>
          <w:rFonts w:ascii="Arial" w:hAnsi="Arial" w:cs="Arial"/>
          <w:sz w:val="22"/>
          <w:szCs w:val="22"/>
          <w:lang w:val="en-GB"/>
        </w:rPr>
      </w:pPr>
      <w:r>
        <w:rPr>
          <w:rFonts w:ascii="Arial" w:hAnsi="Arial" w:cs="Arial"/>
          <w:sz w:val="22"/>
          <w:szCs w:val="22"/>
          <w:lang w:val="en-GB"/>
        </w:rPr>
        <w:t xml:space="preserve">For the court to issue a judicial management order, the court has to be satisfied that the company is or is likely to be unable to pay its debts and by placing the company under judicial management, the purpose of judicial management can be achieved so that the company’s survival is ensured or the company operates in whole or in parts as a going concern or for more advantageous realisation of the company’s assets than through liquidation or winding-up or for a compromise and arrangement u/s 210 of the Companies Act. </w:t>
      </w:r>
    </w:p>
    <w:p w14:paraId="7B536736" w14:textId="77777777" w:rsidR="00940681" w:rsidRDefault="00940681" w:rsidP="00940681">
      <w:pPr>
        <w:jc w:val="both"/>
        <w:rPr>
          <w:rFonts w:ascii="Arial" w:hAnsi="Arial" w:cs="Arial"/>
          <w:sz w:val="22"/>
          <w:szCs w:val="22"/>
          <w:lang w:val="en-GB"/>
        </w:rPr>
      </w:pPr>
    </w:p>
    <w:p w14:paraId="49AB8B23" w14:textId="5E9FA8F4" w:rsidR="00940681" w:rsidRDefault="00940681" w:rsidP="00940681">
      <w:pPr>
        <w:jc w:val="both"/>
        <w:rPr>
          <w:rFonts w:ascii="Arial" w:hAnsi="Arial" w:cs="Arial"/>
          <w:sz w:val="22"/>
          <w:szCs w:val="22"/>
          <w:lang w:val="en-GB"/>
        </w:rPr>
      </w:pPr>
      <w:r>
        <w:rPr>
          <w:rFonts w:ascii="Arial" w:hAnsi="Arial" w:cs="Arial"/>
          <w:sz w:val="22"/>
          <w:szCs w:val="22"/>
          <w:lang w:val="en-GB"/>
        </w:rPr>
        <w:t>In order to obtain a judicial management order, the company, its creditors or its directors may apply to the court for a judicial management order or creditors at a meeting pass a resolution to obtain a judicial management order by majority in number and value of creditors present and voting.</w:t>
      </w:r>
    </w:p>
    <w:p w14:paraId="50C7938A" w14:textId="77777777" w:rsidR="00940681" w:rsidRDefault="00940681"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Default="00CF14BE" w:rsidP="00C71B12">
      <w:pPr>
        <w:rPr>
          <w:rFonts w:ascii="Arial" w:hAnsi="Arial" w:cs="Arial"/>
          <w:sz w:val="22"/>
          <w:szCs w:val="22"/>
          <w:lang w:val="en-GB"/>
        </w:rPr>
      </w:pPr>
    </w:p>
    <w:p w14:paraId="3E51171E" w14:textId="760A03E7" w:rsidR="00C71B12" w:rsidRDefault="00C71B12" w:rsidP="00C71B12">
      <w:pPr>
        <w:rPr>
          <w:rFonts w:ascii="Arial" w:hAnsi="Arial" w:cs="Arial"/>
          <w:b/>
          <w:sz w:val="22"/>
          <w:szCs w:val="22"/>
          <w:lang w:val="en-GB"/>
        </w:rPr>
      </w:pPr>
      <w:r w:rsidRPr="009B3859">
        <w:rPr>
          <w:rFonts w:ascii="Arial" w:hAnsi="Arial" w:cs="Arial"/>
          <w:b/>
          <w:sz w:val="22"/>
          <w:szCs w:val="22"/>
          <w:lang w:val="en-GB"/>
        </w:rPr>
        <w:t>ANSWER</w:t>
      </w:r>
    </w:p>
    <w:p w14:paraId="79449E0A" w14:textId="77777777" w:rsidR="00C71B12" w:rsidRDefault="00C71B12" w:rsidP="00C71B12">
      <w:pPr>
        <w:rPr>
          <w:rFonts w:ascii="Arial" w:hAnsi="Arial" w:cs="Arial"/>
          <w:b/>
          <w:sz w:val="22"/>
          <w:szCs w:val="22"/>
          <w:lang w:val="en-GB"/>
        </w:rPr>
      </w:pPr>
    </w:p>
    <w:p w14:paraId="4511079F" w14:textId="2AAB7E55" w:rsidR="00CE6509" w:rsidRDefault="00CE6509" w:rsidP="00C71B12">
      <w:pPr>
        <w:rPr>
          <w:rFonts w:ascii="Arial" w:hAnsi="Arial" w:cs="Arial"/>
          <w:sz w:val="22"/>
          <w:szCs w:val="22"/>
          <w:lang w:val="en-GB"/>
        </w:rPr>
      </w:pPr>
      <w:r>
        <w:rPr>
          <w:rFonts w:ascii="Arial" w:hAnsi="Arial" w:cs="Arial"/>
          <w:sz w:val="22"/>
          <w:szCs w:val="22"/>
          <w:lang w:val="en-GB"/>
        </w:rPr>
        <w:t xml:space="preserve">Requirements </w:t>
      </w:r>
      <w:r w:rsidRPr="00CF14BE">
        <w:rPr>
          <w:rFonts w:ascii="Arial" w:hAnsi="Arial" w:cs="Arial"/>
          <w:sz w:val="22"/>
          <w:szCs w:val="22"/>
          <w:lang w:val="en-GB"/>
        </w:rPr>
        <w:t>satisfied in order for PEC to be able to access rescue financing under the IRDA</w:t>
      </w:r>
      <w:r>
        <w:rPr>
          <w:rFonts w:ascii="Arial" w:hAnsi="Arial" w:cs="Arial"/>
          <w:sz w:val="22"/>
          <w:szCs w:val="22"/>
          <w:lang w:val="en-GB"/>
        </w:rPr>
        <w:t xml:space="preserve"> are given in 67(9) of the IRDA:</w:t>
      </w:r>
    </w:p>
    <w:p w14:paraId="7687CE01" w14:textId="77777777" w:rsidR="00CE6509" w:rsidRDefault="00CE6509" w:rsidP="00C71B12">
      <w:pPr>
        <w:rPr>
          <w:rFonts w:ascii="Arial" w:hAnsi="Arial" w:cs="Arial"/>
          <w:sz w:val="22"/>
          <w:szCs w:val="22"/>
          <w:lang w:val="en-GB"/>
        </w:rPr>
      </w:pPr>
    </w:p>
    <w:p w14:paraId="2FDB6EC1" w14:textId="22B6028A" w:rsidR="00CE6509" w:rsidRDefault="00CE6509" w:rsidP="00C71B12">
      <w:pPr>
        <w:rPr>
          <w:rFonts w:ascii="Arial" w:hAnsi="Arial" w:cs="Arial"/>
          <w:sz w:val="22"/>
          <w:szCs w:val="22"/>
          <w:lang w:val="en-GB"/>
        </w:rPr>
      </w:pPr>
      <w:r>
        <w:rPr>
          <w:rFonts w:ascii="Arial" w:hAnsi="Arial" w:cs="Arial"/>
          <w:sz w:val="22"/>
          <w:szCs w:val="22"/>
          <w:lang w:val="en-GB"/>
        </w:rPr>
        <w:t>Rescue finance means any financing that satisfies either or both the following conditions</w:t>
      </w:r>
      <w:r w:rsidR="00B12748">
        <w:rPr>
          <w:rFonts w:ascii="Arial" w:hAnsi="Arial" w:cs="Arial"/>
          <w:sz w:val="22"/>
          <w:szCs w:val="22"/>
          <w:lang w:val="en-GB"/>
        </w:rPr>
        <w:t>:</w:t>
      </w:r>
    </w:p>
    <w:p w14:paraId="6DDF5D6D" w14:textId="3B8C2E57" w:rsidR="00CE6509" w:rsidRDefault="00CE6509" w:rsidP="00CE6509">
      <w:pPr>
        <w:pStyle w:val="ListParagraph"/>
        <w:numPr>
          <w:ilvl w:val="0"/>
          <w:numId w:val="26"/>
        </w:numPr>
        <w:rPr>
          <w:rFonts w:ascii="Arial" w:hAnsi="Arial" w:cs="Arial"/>
          <w:sz w:val="22"/>
          <w:szCs w:val="22"/>
          <w:lang w:val="en-GB"/>
        </w:rPr>
      </w:pPr>
      <w:r w:rsidRPr="00CE6509">
        <w:rPr>
          <w:rFonts w:ascii="Arial" w:hAnsi="Arial" w:cs="Arial"/>
          <w:sz w:val="22"/>
          <w:szCs w:val="22"/>
          <w:lang w:val="en-GB"/>
        </w:rPr>
        <w:t>The financing is necessary for the survival of a company that obtains financing, or whole any part of the undertaking of that company, as a going concern</w:t>
      </w:r>
      <w:r>
        <w:rPr>
          <w:rFonts w:ascii="Arial" w:hAnsi="Arial" w:cs="Arial"/>
          <w:sz w:val="22"/>
          <w:szCs w:val="22"/>
          <w:lang w:val="en-GB"/>
        </w:rPr>
        <w:t>;</w:t>
      </w:r>
      <w:r w:rsidR="00B12748">
        <w:rPr>
          <w:rFonts w:ascii="Arial" w:hAnsi="Arial" w:cs="Arial"/>
          <w:sz w:val="22"/>
          <w:szCs w:val="22"/>
          <w:lang w:val="en-GB"/>
        </w:rPr>
        <w:t xml:space="preserve"> or</w:t>
      </w:r>
    </w:p>
    <w:p w14:paraId="52F6E0C4" w14:textId="37D5F1D2" w:rsidR="00CE6509" w:rsidRPr="00CE6509" w:rsidRDefault="00CE6509" w:rsidP="00CE6509">
      <w:pPr>
        <w:pStyle w:val="ListParagraph"/>
        <w:numPr>
          <w:ilvl w:val="0"/>
          <w:numId w:val="26"/>
        </w:numPr>
        <w:rPr>
          <w:rFonts w:ascii="Arial" w:hAnsi="Arial" w:cs="Arial"/>
          <w:sz w:val="22"/>
          <w:szCs w:val="22"/>
          <w:lang w:val="en-GB"/>
        </w:rPr>
      </w:pPr>
      <w:r>
        <w:rPr>
          <w:rFonts w:ascii="Arial" w:hAnsi="Arial" w:cs="Arial"/>
          <w:sz w:val="22"/>
          <w:szCs w:val="22"/>
          <w:lang w:val="en-GB"/>
        </w:rPr>
        <w:lastRenderedPageBreak/>
        <w:t>The financing is necessary to achieve a more advantageous realisation of the assets of the company that obtains financing, than on winding-up of that company</w:t>
      </w:r>
      <w:r w:rsidRPr="00CE6509">
        <w:rPr>
          <w:rFonts w:ascii="Arial" w:hAnsi="Arial" w:cs="Arial"/>
          <w:sz w:val="22"/>
          <w:szCs w:val="22"/>
          <w:lang w:val="en-GB"/>
        </w:rPr>
        <w:t xml:space="preserve">  </w:t>
      </w:r>
    </w:p>
    <w:p w14:paraId="4D45E8EC" w14:textId="77777777" w:rsidR="00CE6509" w:rsidRDefault="00CE6509" w:rsidP="00C71B12">
      <w:pPr>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Default="004E6D1C" w:rsidP="004E6D1C">
      <w:pPr>
        <w:jc w:val="both"/>
        <w:rPr>
          <w:rFonts w:ascii="Arial" w:hAnsi="Arial" w:cs="Arial"/>
          <w:sz w:val="22"/>
          <w:szCs w:val="22"/>
          <w:lang w:val="en-GB"/>
        </w:rPr>
      </w:pPr>
    </w:p>
    <w:p w14:paraId="64356FCB" w14:textId="77777777" w:rsidR="0060203F" w:rsidRDefault="0060203F" w:rsidP="0060203F">
      <w:pPr>
        <w:rPr>
          <w:rFonts w:ascii="Arial" w:hAnsi="Arial" w:cs="Arial"/>
          <w:b/>
          <w:sz w:val="22"/>
          <w:szCs w:val="22"/>
          <w:lang w:val="en-GB"/>
        </w:rPr>
      </w:pPr>
      <w:r w:rsidRPr="009B3859">
        <w:rPr>
          <w:rFonts w:ascii="Arial" w:hAnsi="Arial" w:cs="Arial"/>
          <w:b/>
          <w:sz w:val="22"/>
          <w:szCs w:val="22"/>
          <w:lang w:val="en-GB"/>
        </w:rPr>
        <w:t>ANSWER</w:t>
      </w:r>
    </w:p>
    <w:p w14:paraId="6F40BCE0" w14:textId="77777777" w:rsidR="007F659B" w:rsidRDefault="007F659B" w:rsidP="00087F21">
      <w:pPr>
        <w:jc w:val="both"/>
        <w:rPr>
          <w:rFonts w:ascii="Arial" w:hAnsi="Arial" w:cs="Arial"/>
          <w:sz w:val="22"/>
          <w:szCs w:val="22"/>
          <w:lang w:val="en-GB"/>
        </w:rPr>
      </w:pPr>
    </w:p>
    <w:p w14:paraId="6E20BF69" w14:textId="77777777" w:rsidR="004208BC" w:rsidRDefault="0060203F" w:rsidP="00087F21">
      <w:pPr>
        <w:jc w:val="both"/>
        <w:rPr>
          <w:rFonts w:ascii="Arial" w:hAnsi="Arial" w:cs="Arial"/>
          <w:i/>
          <w:sz w:val="22"/>
          <w:szCs w:val="22"/>
          <w:lang w:val="en-GB"/>
        </w:rPr>
      </w:pPr>
      <w:r>
        <w:rPr>
          <w:rFonts w:ascii="Arial" w:hAnsi="Arial" w:cs="Arial"/>
          <w:sz w:val="22"/>
          <w:szCs w:val="22"/>
          <w:lang w:val="en-GB"/>
        </w:rPr>
        <w:t>There is no specific legislation or rules governing informal creditor workouts. Trade</w:t>
      </w:r>
      <w:r w:rsidR="004208BC">
        <w:rPr>
          <w:rFonts w:ascii="Arial" w:hAnsi="Arial" w:cs="Arial"/>
          <w:sz w:val="22"/>
          <w:szCs w:val="22"/>
          <w:lang w:val="en-GB"/>
        </w:rPr>
        <w:t xml:space="preserve"> or business</w:t>
      </w:r>
      <w:r>
        <w:rPr>
          <w:rFonts w:ascii="Arial" w:hAnsi="Arial" w:cs="Arial"/>
          <w:sz w:val="22"/>
          <w:szCs w:val="22"/>
          <w:lang w:val="en-GB"/>
        </w:rPr>
        <w:t xml:space="preserve"> practices </w:t>
      </w:r>
      <w:r w:rsidR="004208BC">
        <w:rPr>
          <w:rFonts w:ascii="Arial" w:hAnsi="Arial" w:cs="Arial"/>
          <w:sz w:val="22"/>
          <w:szCs w:val="22"/>
          <w:lang w:val="en-GB"/>
        </w:rPr>
        <w:t xml:space="preserve">that </w:t>
      </w:r>
      <w:r>
        <w:rPr>
          <w:rFonts w:ascii="Arial" w:hAnsi="Arial" w:cs="Arial"/>
          <w:sz w:val="22"/>
          <w:szCs w:val="22"/>
          <w:lang w:val="en-GB"/>
        </w:rPr>
        <w:t xml:space="preserve">have developed over a period of time have been captured by the Association of Banks in Singapore </w:t>
      </w:r>
      <w:r w:rsidR="00B711C0">
        <w:rPr>
          <w:rFonts w:ascii="Arial" w:hAnsi="Arial" w:cs="Arial"/>
          <w:sz w:val="22"/>
          <w:szCs w:val="22"/>
          <w:lang w:val="en-GB"/>
        </w:rPr>
        <w:t xml:space="preserve">(ABS) </w:t>
      </w:r>
      <w:r>
        <w:rPr>
          <w:rFonts w:ascii="Arial" w:hAnsi="Arial" w:cs="Arial"/>
          <w:sz w:val="22"/>
          <w:szCs w:val="22"/>
          <w:lang w:val="en-GB"/>
        </w:rPr>
        <w:t xml:space="preserve">and have promulgated these principles through its </w:t>
      </w:r>
      <w:r w:rsidR="00DE4256">
        <w:rPr>
          <w:rFonts w:ascii="Arial" w:hAnsi="Arial" w:cs="Arial"/>
          <w:sz w:val="22"/>
          <w:szCs w:val="22"/>
          <w:lang w:val="en-GB"/>
        </w:rPr>
        <w:t>“</w:t>
      </w:r>
      <w:r w:rsidRPr="00DE4256">
        <w:rPr>
          <w:rFonts w:ascii="Arial" w:hAnsi="Arial" w:cs="Arial"/>
          <w:i/>
          <w:sz w:val="22"/>
          <w:szCs w:val="22"/>
          <w:lang w:val="en-GB"/>
        </w:rPr>
        <w:t xml:space="preserve">Principles &amp; Guidelines for Restructuring Corporate Debt </w:t>
      </w:r>
      <w:r w:rsidR="00DE4256" w:rsidRPr="00DE4256">
        <w:rPr>
          <w:rFonts w:ascii="Arial" w:hAnsi="Arial" w:cs="Arial"/>
          <w:i/>
          <w:sz w:val="22"/>
          <w:szCs w:val="22"/>
          <w:lang w:val="en-GB"/>
        </w:rPr>
        <w:t>– the Singapore Approach</w:t>
      </w:r>
      <w:r w:rsidR="00DE4256">
        <w:rPr>
          <w:rFonts w:ascii="Arial" w:hAnsi="Arial" w:cs="Arial"/>
          <w:i/>
          <w:sz w:val="22"/>
          <w:szCs w:val="22"/>
          <w:lang w:val="en-GB"/>
        </w:rPr>
        <w:t xml:space="preserve">”. </w:t>
      </w:r>
    </w:p>
    <w:p w14:paraId="5B1D8E41" w14:textId="77777777" w:rsidR="004208BC" w:rsidRDefault="004208BC" w:rsidP="00087F21">
      <w:pPr>
        <w:jc w:val="both"/>
        <w:rPr>
          <w:rFonts w:ascii="Arial" w:hAnsi="Arial" w:cs="Arial"/>
          <w:i/>
          <w:sz w:val="22"/>
          <w:szCs w:val="22"/>
          <w:lang w:val="en-GB"/>
        </w:rPr>
      </w:pPr>
    </w:p>
    <w:p w14:paraId="6D18EBE4" w14:textId="1975A659" w:rsidR="00B711C0" w:rsidRDefault="00DE4256" w:rsidP="00087F21">
      <w:pPr>
        <w:jc w:val="both"/>
        <w:rPr>
          <w:rFonts w:ascii="Arial" w:hAnsi="Arial" w:cs="Arial"/>
          <w:sz w:val="22"/>
          <w:szCs w:val="22"/>
          <w:lang w:val="en-GB"/>
        </w:rPr>
      </w:pPr>
      <w:r w:rsidRPr="00DE4256">
        <w:rPr>
          <w:rFonts w:ascii="Arial" w:hAnsi="Arial" w:cs="Arial"/>
          <w:sz w:val="22"/>
          <w:szCs w:val="22"/>
          <w:lang w:val="en-GB"/>
        </w:rPr>
        <w:t>Since</w:t>
      </w:r>
      <w:r>
        <w:rPr>
          <w:rFonts w:ascii="Arial" w:hAnsi="Arial" w:cs="Arial"/>
          <w:sz w:val="22"/>
          <w:szCs w:val="22"/>
          <w:lang w:val="en-GB"/>
        </w:rPr>
        <w:t xml:space="preserve"> i</w:t>
      </w:r>
      <w:r w:rsidR="00AE5849">
        <w:rPr>
          <w:rFonts w:ascii="Arial" w:hAnsi="Arial" w:cs="Arial"/>
          <w:sz w:val="22"/>
          <w:szCs w:val="22"/>
          <w:lang w:val="en-GB"/>
        </w:rPr>
        <w:t>nformal creditor work-outs is a</w:t>
      </w:r>
      <w:r>
        <w:rPr>
          <w:rFonts w:ascii="Arial" w:hAnsi="Arial" w:cs="Arial"/>
          <w:sz w:val="22"/>
          <w:szCs w:val="22"/>
          <w:lang w:val="en-GB"/>
        </w:rPr>
        <w:t xml:space="preserve"> process where the corporate debtor negotiates with creditors on the scope, timelines, roles and sacrifices</w:t>
      </w:r>
      <w:r w:rsidR="00AE5849">
        <w:rPr>
          <w:rFonts w:ascii="Arial" w:hAnsi="Arial" w:cs="Arial"/>
          <w:sz w:val="22"/>
          <w:szCs w:val="22"/>
          <w:lang w:val="en-GB"/>
        </w:rPr>
        <w:t>, finally</w:t>
      </w:r>
      <w:r>
        <w:rPr>
          <w:rFonts w:ascii="Arial" w:hAnsi="Arial" w:cs="Arial"/>
          <w:sz w:val="22"/>
          <w:szCs w:val="22"/>
          <w:lang w:val="en-GB"/>
        </w:rPr>
        <w:t xml:space="preserve"> culminating into a debt restructuring agreement addressing mainly creditors contractual and security rights. </w:t>
      </w:r>
    </w:p>
    <w:p w14:paraId="5EC784E5" w14:textId="77777777" w:rsidR="00B711C0" w:rsidRDefault="00B711C0" w:rsidP="00087F21">
      <w:pPr>
        <w:jc w:val="both"/>
        <w:rPr>
          <w:rFonts w:ascii="Arial" w:hAnsi="Arial" w:cs="Arial"/>
          <w:sz w:val="22"/>
          <w:szCs w:val="22"/>
          <w:lang w:val="en-GB"/>
        </w:rPr>
      </w:pPr>
    </w:p>
    <w:p w14:paraId="2B51C670" w14:textId="517B660B" w:rsidR="0060203F" w:rsidRPr="00B711C0" w:rsidRDefault="00B711C0" w:rsidP="00087F21">
      <w:pPr>
        <w:jc w:val="both"/>
        <w:rPr>
          <w:rFonts w:ascii="Arial" w:hAnsi="Arial" w:cs="Arial"/>
          <w:sz w:val="22"/>
          <w:szCs w:val="22"/>
          <w:lang w:val="en-GB"/>
        </w:rPr>
      </w:pPr>
      <w:r>
        <w:rPr>
          <w:rFonts w:ascii="Arial" w:hAnsi="Arial" w:cs="Arial"/>
          <w:sz w:val="22"/>
          <w:szCs w:val="22"/>
          <w:lang w:val="en-GB"/>
        </w:rPr>
        <w:t>ABS Guidelines recommends the following steps to secure an informal creditor work-out</w:t>
      </w:r>
      <w:r w:rsidR="00AE5849">
        <w:rPr>
          <w:rFonts w:ascii="Arial" w:hAnsi="Arial" w:cs="Arial"/>
          <w:sz w:val="22"/>
          <w:szCs w:val="22"/>
          <w:lang w:val="en-GB"/>
        </w:rPr>
        <w:t>:</w:t>
      </w:r>
      <w:r>
        <w:rPr>
          <w:rFonts w:ascii="Arial" w:hAnsi="Arial" w:cs="Arial"/>
          <w:sz w:val="22"/>
          <w:szCs w:val="22"/>
          <w:lang w:val="en-GB"/>
        </w:rPr>
        <w:t xml:space="preserve"> </w:t>
      </w:r>
      <w:r w:rsidR="00DE4256">
        <w:rPr>
          <w:rFonts w:ascii="Arial" w:hAnsi="Arial" w:cs="Arial"/>
          <w:i/>
          <w:sz w:val="22"/>
          <w:szCs w:val="22"/>
          <w:lang w:val="en-GB"/>
        </w:rPr>
        <w:t xml:space="preserve"> </w:t>
      </w:r>
    </w:p>
    <w:p w14:paraId="62C26238" w14:textId="77777777" w:rsidR="00B711C0" w:rsidRDefault="00B711C0" w:rsidP="00B711C0">
      <w:pPr>
        <w:pStyle w:val="ListParagraph"/>
        <w:numPr>
          <w:ilvl w:val="0"/>
          <w:numId w:val="27"/>
        </w:numPr>
        <w:jc w:val="both"/>
        <w:rPr>
          <w:rFonts w:ascii="Arial" w:hAnsi="Arial" w:cs="Arial"/>
          <w:sz w:val="22"/>
          <w:szCs w:val="22"/>
          <w:lang w:val="en-GB"/>
        </w:rPr>
      </w:pPr>
      <w:r w:rsidRPr="00B711C0">
        <w:rPr>
          <w:rFonts w:ascii="Arial" w:hAnsi="Arial" w:cs="Arial"/>
          <w:sz w:val="22"/>
          <w:szCs w:val="22"/>
          <w:lang w:val="en-GB"/>
        </w:rPr>
        <w:t>Standstill provision for information collation and analysis</w:t>
      </w:r>
    </w:p>
    <w:p w14:paraId="635A5AB1" w14:textId="5070312B" w:rsidR="00B711C0" w:rsidRDefault="00AE5849"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Seeking u</w:t>
      </w:r>
      <w:r w:rsidR="00B711C0">
        <w:rPr>
          <w:rFonts w:ascii="Arial" w:hAnsi="Arial" w:cs="Arial"/>
          <w:sz w:val="22"/>
          <w:szCs w:val="22"/>
          <w:lang w:val="en-GB"/>
        </w:rPr>
        <w:t>nanimous support from lenders</w:t>
      </w:r>
    </w:p>
    <w:p w14:paraId="184C9373" w14:textId="5DD22EE6"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Equitable treatment of lenders</w:t>
      </w:r>
    </w:p>
    <w:p w14:paraId="300B4DCE" w14:textId="7B1B1FCD"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Active involvement of senior management</w:t>
      </w:r>
      <w:r w:rsidR="00AE5849">
        <w:rPr>
          <w:rFonts w:ascii="Arial" w:hAnsi="Arial" w:cs="Arial"/>
          <w:sz w:val="22"/>
          <w:szCs w:val="22"/>
          <w:lang w:val="en-GB"/>
        </w:rPr>
        <w:t xml:space="preserve"> of the corporate debtor</w:t>
      </w:r>
    </w:p>
    <w:p w14:paraId="79FC8349" w14:textId="77777777"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Appointment of lead bank as the chief co-ordinator</w:t>
      </w:r>
    </w:p>
    <w:p w14:paraId="113E6BF2" w14:textId="0316995E"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Appointment of a steering committee and its Chairman to represent lenders</w:t>
      </w:r>
    </w:p>
    <w:p w14:paraId="635E291C" w14:textId="77777777"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Appointment of a Special Accountant or an Independent Financial Advisor</w:t>
      </w:r>
    </w:p>
    <w:p w14:paraId="52EC8F34" w14:textId="73FB5109"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Approval for new money financing</w:t>
      </w:r>
      <w:r w:rsidR="00644839">
        <w:rPr>
          <w:rFonts w:ascii="Arial" w:hAnsi="Arial" w:cs="Arial"/>
          <w:sz w:val="22"/>
          <w:szCs w:val="22"/>
          <w:lang w:val="en-GB"/>
        </w:rPr>
        <w:t xml:space="preserve"> </w:t>
      </w:r>
      <w:r w:rsidR="000B1104">
        <w:rPr>
          <w:rFonts w:ascii="Arial" w:hAnsi="Arial" w:cs="Arial"/>
          <w:sz w:val="22"/>
          <w:szCs w:val="22"/>
          <w:lang w:val="en-GB"/>
        </w:rPr>
        <w:t>for rescue financing</w:t>
      </w:r>
    </w:p>
    <w:p w14:paraId="69E616AB" w14:textId="3CBB64FD"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Facility for mediation</w:t>
      </w:r>
      <w:r w:rsidR="00644839">
        <w:rPr>
          <w:rFonts w:ascii="Arial" w:hAnsi="Arial" w:cs="Arial"/>
          <w:sz w:val="22"/>
          <w:szCs w:val="22"/>
          <w:lang w:val="en-GB"/>
        </w:rPr>
        <w:t xml:space="preserve"> for dispute resolution</w:t>
      </w:r>
    </w:p>
    <w:p w14:paraId="2EC112DE" w14:textId="0B438B12" w:rsidR="00B711C0" w:rsidRDefault="00B711C0"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 xml:space="preserve">Buyer of debt sold down should be encourage to continue participation in the </w:t>
      </w:r>
      <w:r w:rsidR="000B1104">
        <w:rPr>
          <w:rFonts w:ascii="Arial" w:hAnsi="Arial" w:cs="Arial"/>
          <w:sz w:val="22"/>
          <w:szCs w:val="22"/>
          <w:lang w:val="en-GB"/>
        </w:rPr>
        <w:t xml:space="preserve">on-going </w:t>
      </w:r>
      <w:r>
        <w:rPr>
          <w:rFonts w:ascii="Arial" w:hAnsi="Arial" w:cs="Arial"/>
          <w:sz w:val="22"/>
          <w:szCs w:val="22"/>
          <w:lang w:val="en-GB"/>
        </w:rPr>
        <w:t>creditor work-out</w:t>
      </w:r>
    </w:p>
    <w:p w14:paraId="5AFAD7CB" w14:textId="1BA3BFA1" w:rsidR="0060203F" w:rsidRPr="00B711C0" w:rsidRDefault="000B1104" w:rsidP="00B711C0">
      <w:pPr>
        <w:pStyle w:val="ListParagraph"/>
        <w:numPr>
          <w:ilvl w:val="0"/>
          <w:numId w:val="27"/>
        </w:numPr>
        <w:jc w:val="both"/>
        <w:rPr>
          <w:rFonts w:ascii="Arial" w:hAnsi="Arial" w:cs="Arial"/>
          <w:sz w:val="22"/>
          <w:szCs w:val="22"/>
          <w:lang w:val="en-GB"/>
        </w:rPr>
      </w:pPr>
      <w:r>
        <w:rPr>
          <w:rFonts w:ascii="Arial" w:hAnsi="Arial" w:cs="Arial"/>
          <w:sz w:val="22"/>
          <w:szCs w:val="22"/>
          <w:lang w:val="en-GB"/>
        </w:rPr>
        <w:t>Maintain c</w:t>
      </w:r>
      <w:r w:rsidR="00B711C0">
        <w:rPr>
          <w:rFonts w:ascii="Arial" w:hAnsi="Arial" w:cs="Arial"/>
          <w:sz w:val="22"/>
          <w:szCs w:val="22"/>
          <w:lang w:val="en-GB"/>
        </w:rPr>
        <w:t>onfidentiality</w:t>
      </w:r>
      <w:r>
        <w:rPr>
          <w:rFonts w:ascii="Arial" w:hAnsi="Arial" w:cs="Arial"/>
          <w:sz w:val="22"/>
          <w:szCs w:val="22"/>
          <w:lang w:val="en-GB"/>
        </w:rPr>
        <w:t xml:space="preserve"> to mitigate negative impact on the debtor</w:t>
      </w:r>
      <w:r w:rsidR="00B711C0">
        <w:rPr>
          <w:rFonts w:ascii="Arial" w:hAnsi="Arial" w:cs="Arial"/>
          <w:sz w:val="22"/>
          <w:szCs w:val="22"/>
          <w:lang w:val="en-GB"/>
        </w:rPr>
        <w:t xml:space="preserve"> </w:t>
      </w:r>
      <w:r w:rsidR="00B711C0" w:rsidRPr="00B711C0">
        <w:rPr>
          <w:rFonts w:ascii="Arial" w:hAnsi="Arial" w:cs="Arial"/>
          <w:sz w:val="22"/>
          <w:szCs w:val="22"/>
          <w:lang w:val="en-GB"/>
        </w:rPr>
        <w:t xml:space="preserve"> </w:t>
      </w:r>
    </w:p>
    <w:p w14:paraId="4BCB9C67" w14:textId="77777777" w:rsidR="00B711C0" w:rsidRDefault="00B711C0"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53E3B9B0" w14:textId="77777777" w:rsidR="00D445DE" w:rsidRDefault="00D445DE" w:rsidP="00D445DE">
      <w:pPr>
        <w:rPr>
          <w:rFonts w:ascii="Arial" w:hAnsi="Arial" w:cs="Arial"/>
          <w:b/>
          <w:sz w:val="22"/>
          <w:szCs w:val="22"/>
          <w:lang w:val="en-GB"/>
        </w:rPr>
      </w:pPr>
      <w:r w:rsidRPr="009B3859">
        <w:rPr>
          <w:rFonts w:ascii="Arial" w:hAnsi="Arial" w:cs="Arial"/>
          <w:b/>
          <w:sz w:val="22"/>
          <w:szCs w:val="22"/>
          <w:lang w:val="en-GB"/>
        </w:rPr>
        <w:t>ANSWER</w:t>
      </w:r>
    </w:p>
    <w:p w14:paraId="6987BA9D" w14:textId="792D24A5" w:rsidR="005C529D" w:rsidRPr="002A37BB" w:rsidRDefault="005C529D" w:rsidP="005C529D">
      <w:pPr>
        <w:autoSpaceDE w:val="0"/>
        <w:autoSpaceDN w:val="0"/>
        <w:adjustRightInd w:val="0"/>
        <w:jc w:val="both"/>
        <w:rPr>
          <w:rFonts w:ascii="Arial" w:hAnsi="Arial" w:cs="Arial"/>
          <w:sz w:val="22"/>
          <w:szCs w:val="22"/>
          <w:lang w:val="en-GB"/>
        </w:rPr>
      </w:pPr>
    </w:p>
    <w:p w14:paraId="170EF99F" w14:textId="2F9E35C8" w:rsidR="005C529D" w:rsidRDefault="00240870" w:rsidP="00B54D7D">
      <w:pPr>
        <w:jc w:val="both"/>
        <w:rPr>
          <w:rFonts w:ascii="Arial" w:hAnsi="Arial" w:cs="Arial"/>
          <w:sz w:val="22"/>
          <w:szCs w:val="22"/>
          <w:lang w:val="en-GB"/>
        </w:rPr>
      </w:pPr>
      <w:r>
        <w:rPr>
          <w:rFonts w:ascii="Arial" w:hAnsi="Arial" w:cs="Arial"/>
          <w:sz w:val="22"/>
          <w:szCs w:val="22"/>
          <w:lang w:val="en-GB"/>
        </w:rPr>
        <w:t xml:space="preserve">Foreign debtors with “substantial connection” to Singapore can avail judicial management moratoria. </w:t>
      </w:r>
      <w:r w:rsidR="000C6881">
        <w:rPr>
          <w:rFonts w:ascii="Arial" w:hAnsi="Arial" w:cs="Arial"/>
          <w:sz w:val="22"/>
          <w:szCs w:val="22"/>
          <w:lang w:val="en-GB"/>
        </w:rPr>
        <w:t>In order to avail the moratoria with extra-territorial effect, s</w:t>
      </w:r>
      <w:r>
        <w:rPr>
          <w:rFonts w:ascii="Arial" w:hAnsi="Arial" w:cs="Arial"/>
          <w:sz w:val="22"/>
          <w:szCs w:val="22"/>
          <w:lang w:val="en-GB"/>
        </w:rPr>
        <w:t xml:space="preserve">ubstantial connection to Singapore </w:t>
      </w:r>
      <w:r w:rsidR="007B7BEB">
        <w:rPr>
          <w:rFonts w:ascii="Arial" w:hAnsi="Arial" w:cs="Arial"/>
          <w:sz w:val="22"/>
          <w:szCs w:val="22"/>
          <w:lang w:val="en-GB"/>
        </w:rPr>
        <w:t>is established</w:t>
      </w:r>
      <w:r>
        <w:rPr>
          <w:rFonts w:ascii="Arial" w:hAnsi="Arial" w:cs="Arial"/>
          <w:sz w:val="22"/>
          <w:szCs w:val="22"/>
          <w:lang w:val="en-GB"/>
        </w:rPr>
        <w:t xml:space="preserve"> on the following factors:</w:t>
      </w:r>
    </w:p>
    <w:p w14:paraId="7C2B78A2" w14:textId="2D9E6449" w:rsidR="00240870" w:rsidRDefault="000C6881" w:rsidP="000C6881">
      <w:pPr>
        <w:pStyle w:val="ListParagraph"/>
        <w:numPr>
          <w:ilvl w:val="0"/>
          <w:numId w:val="29"/>
        </w:numPr>
        <w:jc w:val="both"/>
        <w:rPr>
          <w:rFonts w:ascii="Arial" w:hAnsi="Arial" w:cs="Arial"/>
          <w:sz w:val="22"/>
          <w:szCs w:val="22"/>
          <w:lang w:val="en-GB"/>
        </w:rPr>
      </w:pPr>
      <w:r>
        <w:rPr>
          <w:rFonts w:ascii="Arial" w:hAnsi="Arial" w:cs="Arial"/>
          <w:sz w:val="22"/>
          <w:szCs w:val="22"/>
          <w:lang w:val="en-GB"/>
        </w:rPr>
        <w:t>COMI of the debtor is located in Singapore</w:t>
      </w:r>
    </w:p>
    <w:p w14:paraId="6DA3526F" w14:textId="34180359" w:rsidR="000C6881" w:rsidRDefault="000C6881" w:rsidP="000C6881">
      <w:pPr>
        <w:pStyle w:val="ListParagraph"/>
        <w:numPr>
          <w:ilvl w:val="0"/>
          <w:numId w:val="29"/>
        </w:numPr>
        <w:jc w:val="both"/>
        <w:rPr>
          <w:rFonts w:ascii="Arial" w:hAnsi="Arial" w:cs="Arial"/>
          <w:sz w:val="22"/>
          <w:szCs w:val="22"/>
          <w:lang w:val="en-GB"/>
        </w:rPr>
      </w:pPr>
      <w:r>
        <w:rPr>
          <w:rFonts w:ascii="Arial" w:hAnsi="Arial" w:cs="Arial"/>
          <w:sz w:val="22"/>
          <w:szCs w:val="22"/>
          <w:lang w:val="en-GB"/>
        </w:rPr>
        <w:t>The debtor is carrying on business in Singapore or has a place of business in Singapore</w:t>
      </w:r>
    </w:p>
    <w:p w14:paraId="662BA9A5" w14:textId="7282FFF7" w:rsidR="000C6881" w:rsidRDefault="000C6881" w:rsidP="000C6881">
      <w:pPr>
        <w:pStyle w:val="ListParagraph"/>
        <w:numPr>
          <w:ilvl w:val="0"/>
          <w:numId w:val="29"/>
        </w:numPr>
        <w:jc w:val="both"/>
        <w:rPr>
          <w:rFonts w:ascii="Arial" w:hAnsi="Arial" w:cs="Arial"/>
          <w:sz w:val="22"/>
          <w:szCs w:val="22"/>
          <w:lang w:val="en-GB"/>
        </w:rPr>
      </w:pPr>
      <w:r>
        <w:rPr>
          <w:rFonts w:ascii="Arial" w:hAnsi="Arial" w:cs="Arial"/>
          <w:sz w:val="22"/>
          <w:szCs w:val="22"/>
          <w:lang w:val="en-GB"/>
        </w:rPr>
        <w:t>The debtor is registered as a foreign company in Singapore</w:t>
      </w:r>
    </w:p>
    <w:p w14:paraId="30958102" w14:textId="483ED324" w:rsidR="000C6881" w:rsidRDefault="000C6881" w:rsidP="000C6881">
      <w:pPr>
        <w:pStyle w:val="ListParagraph"/>
        <w:numPr>
          <w:ilvl w:val="0"/>
          <w:numId w:val="29"/>
        </w:numPr>
        <w:jc w:val="both"/>
        <w:rPr>
          <w:rFonts w:ascii="Arial" w:hAnsi="Arial" w:cs="Arial"/>
          <w:sz w:val="22"/>
          <w:szCs w:val="22"/>
          <w:lang w:val="en-GB"/>
        </w:rPr>
      </w:pPr>
      <w:r>
        <w:rPr>
          <w:rFonts w:ascii="Arial" w:hAnsi="Arial" w:cs="Arial"/>
          <w:sz w:val="22"/>
          <w:szCs w:val="22"/>
          <w:lang w:val="en-GB"/>
        </w:rPr>
        <w:t>The debtor has substantial assets in Singapore</w:t>
      </w:r>
    </w:p>
    <w:p w14:paraId="44BE0125" w14:textId="17F6BDEE" w:rsidR="000C6881" w:rsidRDefault="000C6881" w:rsidP="000C6881">
      <w:pPr>
        <w:pStyle w:val="ListParagraph"/>
        <w:numPr>
          <w:ilvl w:val="0"/>
          <w:numId w:val="29"/>
        </w:numPr>
        <w:jc w:val="both"/>
        <w:rPr>
          <w:rFonts w:ascii="Arial" w:hAnsi="Arial" w:cs="Arial"/>
          <w:sz w:val="22"/>
          <w:szCs w:val="22"/>
          <w:lang w:val="en-GB"/>
        </w:rPr>
      </w:pPr>
      <w:r>
        <w:rPr>
          <w:rFonts w:ascii="Arial" w:hAnsi="Arial" w:cs="Arial"/>
          <w:sz w:val="22"/>
          <w:szCs w:val="22"/>
          <w:lang w:val="en-GB"/>
        </w:rPr>
        <w:t>The debtor has chosen Singapore  law as law governing loan agreements or other transactions, or  the law governing the resolution of one or more disputes arising out of or in connection with loan or other transactions</w:t>
      </w:r>
    </w:p>
    <w:p w14:paraId="53729053" w14:textId="69E9CDFA" w:rsidR="00D07C0D" w:rsidRPr="000C6881" w:rsidRDefault="00D07C0D" w:rsidP="000C6881">
      <w:pPr>
        <w:pStyle w:val="ListParagraph"/>
        <w:numPr>
          <w:ilvl w:val="0"/>
          <w:numId w:val="29"/>
        </w:numPr>
        <w:jc w:val="both"/>
        <w:rPr>
          <w:rFonts w:ascii="Arial" w:hAnsi="Arial" w:cs="Arial"/>
          <w:sz w:val="22"/>
          <w:szCs w:val="22"/>
          <w:lang w:val="en-GB"/>
        </w:rPr>
      </w:pPr>
      <w:r>
        <w:rPr>
          <w:rFonts w:ascii="Arial" w:hAnsi="Arial" w:cs="Arial"/>
          <w:sz w:val="22"/>
          <w:szCs w:val="22"/>
          <w:lang w:val="en-GB"/>
        </w:rPr>
        <w:t>The debtor has submitted to the jurisdiction of the Singapore courts for the resolution of one or more disputes relating to a loan or other transactions</w:t>
      </w:r>
    </w:p>
    <w:p w14:paraId="722AF266" w14:textId="01E20C4A" w:rsidR="00240870" w:rsidRDefault="00240870"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62577691" w14:textId="77777777" w:rsidR="00D445DE" w:rsidRDefault="00D445DE" w:rsidP="00D445DE">
      <w:pPr>
        <w:rPr>
          <w:rFonts w:ascii="Arial" w:hAnsi="Arial" w:cs="Arial"/>
          <w:b/>
          <w:sz w:val="22"/>
          <w:szCs w:val="22"/>
          <w:lang w:val="en-GB"/>
        </w:rPr>
      </w:pPr>
      <w:r w:rsidRPr="009B3859">
        <w:rPr>
          <w:rFonts w:ascii="Arial" w:hAnsi="Arial" w:cs="Arial"/>
          <w:b/>
          <w:sz w:val="22"/>
          <w:szCs w:val="22"/>
          <w:lang w:val="en-GB"/>
        </w:rPr>
        <w:t>ANSWER</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506C8C84" w14:textId="48AAF0A5" w:rsidR="00D445DE" w:rsidRDefault="00D445D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Singapore has adopted the UNICTRAL Model Law on Cross Border Insolvency (MLCBI) via the Amendment Act, 2017</w:t>
      </w:r>
      <w:r w:rsidR="00F14A07">
        <w:rPr>
          <w:rFonts w:ascii="Arial" w:hAnsi="Arial" w:cs="Arial"/>
          <w:sz w:val="22"/>
          <w:szCs w:val="22"/>
          <w:lang w:val="en-GB"/>
        </w:rPr>
        <w:t xml:space="preserve"> which allows for recognition of foreign insolvency proceedings. </w:t>
      </w:r>
      <w:r w:rsidR="006472BC">
        <w:rPr>
          <w:rFonts w:ascii="Arial" w:hAnsi="Arial" w:cs="Arial"/>
          <w:sz w:val="22"/>
          <w:szCs w:val="22"/>
          <w:lang w:val="en-GB"/>
        </w:rPr>
        <w:t>The MLCBI incorporated</w:t>
      </w:r>
      <w:r w:rsidR="00A47861">
        <w:rPr>
          <w:rFonts w:ascii="Arial" w:hAnsi="Arial" w:cs="Arial"/>
          <w:sz w:val="22"/>
          <w:szCs w:val="22"/>
          <w:lang w:val="en-GB"/>
        </w:rPr>
        <w:t xml:space="preserve"> in Singapore</w:t>
      </w:r>
      <w:r w:rsidR="006472BC">
        <w:rPr>
          <w:rFonts w:ascii="Arial" w:hAnsi="Arial" w:cs="Arial"/>
          <w:sz w:val="22"/>
          <w:szCs w:val="22"/>
          <w:lang w:val="en-GB"/>
        </w:rPr>
        <w:t xml:space="preserve"> through the Amendment Act has no requirement for reciprocity with the state in which foreign proceeding is occurring</w:t>
      </w:r>
      <w:r w:rsidR="00A47861">
        <w:rPr>
          <w:rFonts w:ascii="Arial" w:hAnsi="Arial" w:cs="Arial"/>
          <w:sz w:val="22"/>
          <w:szCs w:val="22"/>
          <w:lang w:val="en-GB"/>
        </w:rPr>
        <w:t>. Recognition for foreign proceedings can be denied only in cases where they are contrary to public policy</w:t>
      </w:r>
      <w:r w:rsidR="00FA5BE1">
        <w:rPr>
          <w:rFonts w:ascii="Arial" w:hAnsi="Arial" w:cs="Arial"/>
          <w:sz w:val="22"/>
          <w:szCs w:val="22"/>
          <w:lang w:val="en-GB"/>
        </w:rPr>
        <w:t xml:space="preserve"> under Singapore Law</w:t>
      </w:r>
      <w:r w:rsidR="00A47861">
        <w:rPr>
          <w:rFonts w:ascii="Arial" w:hAnsi="Arial" w:cs="Arial"/>
          <w:sz w:val="22"/>
          <w:szCs w:val="22"/>
          <w:lang w:val="en-GB"/>
        </w:rPr>
        <w:t>.</w:t>
      </w:r>
    </w:p>
    <w:p w14:paraId="1085B17D" w14:textId="77777777" w:rsidR="00FA5BE1" w:rsidRDefault="00FA5BE1" w:rsidP="00087F21">
      <w:pPr>
        <w:autoSpaceDE w:val="0"/>
        <w:autoSpaceDN w:val="0"/>
        <w:adjustRightInd w:val="0"/>
        <w:jc w:val="both"/>
        <w:rPr>
          <w:rFonts w:ascii="Arial" w:hAnsi="Arial" w:cs="Arial"/>
          <w:sz w:val="22"/>
          <w:szCs w:val="22"/>
          <w:lang w:val="en-GB"/>
        </w:rPr>
      </w:pPr>
    </w:p>
    <w:p w14:paraId="5822706F" w14:textId="10F6300A" w:rsidR="00266799" w:rsidRDefault="0026679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A foreign representative may apply to the Singaporean court for recognition of the foreign proceedings to which he is appointed.</w:t>
      </w:r>
      <w:r w:rsidR="007010DE">
        <w:rPr>
          <w:rFonts w:ascii="Arial" w:hAnsi="Arial" w:cs="Arial"/>
          <w:sz w:val="22"/>
          <w:szCs w:val="22"/>
          <w:lang w:val="en-GB"/>
        </w:rPr>
        <w:t xml:space="preserve"> </w:t>
      </w:r>
      <w:r w:rsidR="00FA5BE1">
        <w:rPr>
          <w:rFonts w:ascii="Arial" w:hAnsi="Arial" w:cs="Arial"/>
          <w:sz w:val="22"/>
          <w:szCs w:val="22"/>
          <w:lang w:val="en-GB"/>
        </w:rPr>
        <w:t>The application</w:t>
      </w:r>
      <w:r>
        <w:rPr>
          <w:rFonts w:ascii="Arial" w:hAnsi="Arial" w:cs="Arial"/>
          <w:sz w:val="22"/>
          <w:szCs w:val="22"/>
          <w:lang w:val="en-GB"/>
        </w:rPr>
        <w:t xml:space="preserve"> for recognition must be</w:t>
      </w:r>
      <w:r w:rsidR="00FA5BE1">
        <w:rPr>
          <w:rFonts w:ascii="Arial" w:hAnsi="Arial" w:cs="Arial"/>
          <w:sz w:val="22"/>
          <w:szCs w:val="22"/>
          <w:lang w:val="en-GB"/>
        </w:rPr>
        <w:t xml:space="preserve"> accompanied by</w:t>
      </w:r>
      <w:r w:rsidR="007010DE">
        <w:rPr>
          <w:rFonts w:ascii="Arial" w:hAnsi="Arial" w:cs="Arial"/>
          <w:sz w:val="22"/>
          <w:szCs w:val="22"/>
          <w:lang w:val="en-GB"/>
        </w:rPr>
        <w:t>:</w:t>
      </w:r>
      <w:r w:rsidR="00FA5BE1">
        <w:rPr>
          <w:rFonts w:ascii="Arial" w:hAnsi="Arial" w:cs="Arial"/>
          <w:sz w:val="22"/>
          <w:szCs w:val="22"/>
          <w:lang w:val="en-GB"/>
        </w:rPr>
        <w:t xml:space="preserve"> </w:t>
      </w:r>
    </w:p>
    <w:p w14:paraId="343AAAC4" w14:textId="0F560087" w:rsidR="00266799" w:rsidRDefault="00CA6EC5" w:rsidP="00266799">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00FA5BE1" w:rsidRPr="00266799">
        <w:rPr>
          <w:rFonts w:ascii="Arial" w:hAnsi="Arial" w:cs="Arial"/>
          <w:sz w:val="22"/>
          <w:szCs w:val="22"/>
          <w:lang w:val="en-GB"/>
        </w:rPr>
        <w:t xml:space="preserve"> certified copy of the decision commencing foreign insolvency proceedings and appointment of a foreign </w:t>
      </w:r>
      <w:r w:rsidR="00266799">
        <w:rPr>
          <w:rFonts w:ascii="Arial" w:hAnsi="Arial" w:cs="Arial"/>
          <w:sz w:val="22"/>
          <w:szCs w:val="22"/>
          <w:lang w:val="en-GB"/>
        </w:rPr>
        <w:t>representative; or</w:t>
      </w:r>
    </w:p>
    <w:p w14:paraId="6DCD6D15" w14:textId="5FF46CE1" w:rsidR="00266799" w:rsidRDefault="00CA6EC5" w:rsidP="00266799">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00266799">
        <w:rPr>
          <w:rFonts w:ascii="Arial" w:hAnsi="Arial" w:cs="Arial"/>
          <w:sz w:val="22"/>
          <w:szCs w:val="22"/>
          <w:lang w:val="en-GB"/>
        </w:rPr>
        <w:t xml:space="preserve"> certificate from the foreign court affirming the existence of the foreign proceedings; or</w:t>
      </w:r>
    </w:p>
    <w:p w14:paraId="0AB61501" w14:textId="433E382E" w:rsidR="00266799" w:rsidRDefault="00CA6EC5" w:rsidP="00266799">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I</w:t>
      </w:r>
      <w:r w:rsidR="00266799">
        <w:rPr>
          <w:rFonts w:ascii="Arial" w:hAnsi="Arial" w:cs="Arial"/>
          <w:sz w:val="22"/>
          <w:szCs w:val="22"/>
          <w:lang w:val="en-GB"/>
        </w:rPr>
        <w:t xml:space="preserve">n absence of evidence referred to points a and b above, any other evidence acceptable to the court of the existence of a foreign proceeding and appointment </w:t>
      </w:r>
      <w:r w:rsidR="00266799" w:rsidRPr="00266799">
        <w:rPr>
          <w:rFonts w:ascii="Arial" w:hAnsi="Arial" w:cs="Arial"/>
          <w:sz w:val="22"/>
          <w:szCs w:val="22"/>
          <w:lang w:val="en-GB"/>
        </w:rPr>
        <w:t xml:space="preserve">of a foreign </w:t>
      </w:r>
      <w:r w:rsidR="00266799">
        <w:rPr>
          <w:rFonts w:ascii="Arial" w:hAnsi="Arial" w:cs="Arial"/>
          <w:sz w:val="22"/>
          <w:szCs w:val="22"/>
          <w:lang w:val="en-GB"/>
        </w:rPr>
        <w:t>representative</w:t>
      </w:r>
    </w:p>
    <w:p w14:paraId="73F6D595" w14:textId="64647CD5" w:rsidR="00FA5BE1" w:rsidRDefault="00CA6EC5" w:rsidP="00266799">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00FA5BE1" w:rsidRPr="00266799">
        <w:rPr>
          <w:rFonts w:ascii="Arial" w:hAnsi="Arial" w:cs="Arial"/>
          <w:sz w:val="22"/>
          <w:szCs w:val="22"/>
          <w:lang w:val="en-GB"/>
        </w:rPr>
        <w:t xml:space="preserve"> statement identifying all insolvency proceedings in respect of the debtor that are known to the foreign representative</w:t>
      </w:r>
    </w:p>
    <w:p w14:paraId="08499A6E" w14:textId="1F4D578B" w:rsidR="00266799" w:rsidRPr="00266799" w:rsidRDefault="00266799" w:rsidP="00266799">
      <w:pPr>
        <w:pStyle w:val="ListParagraph"/>
        <w:numPr>
          <w:ilvl w:val="0"/>
          <w:numId w:val="28"/>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court may also require translation of documents supplied </w:t>
      </w:r>
      <w:r w:rsidR="00CA6EC5">
        <w:rPr>
          <w:rFonts w:ascii="Arial" w:hAnsi="Arial" w:cs="Arial"/>
          <w:sz w:val="22"/>
          <w:szCs w:val="22"/>
          <w:lang w:val="en-GB"/>
        </w:rPr>
        <w:t>in support of the application into English</w:t>
      </w:r>
      <w:r w:rsidR="003C2C21">
        <w:rPr>
          <w:rFonts w:ascii="Arial" w:hAnsi="Arial" w:cs="Arial"/>
          <w:sz w:val="22"/>
          <w:szCs w:val="22"/>
          <w:lang w:val="en-GB"/>
        </w:rPr>
        <w:t>,</w:t>
      </w:r>
      <w:r w:rsidR="00CA6EC5">
        <w:rPr>
          <w:rFonts w:ascii="Arial" w:hAnsi="Arial" w:cs="Arial"/>
          <w:sz w:val="22"/>
          <w:szCs w:val="22"/>
          <w:lang w:val="en-GB"/>
        </w:rPr>
        <w:t xml:space="preserve"> where applicable </w:t>
      </w:r>
    </w:p>
    <w:p w14:paraId="18A03907" w14:textId="77777777" w:rsidR="00A47861" w:rsidRDefault="00A47861" w:rsidP="00087F21">
      <w:pPr>
        <w:autoSpaceDE w:val="0"/>
        <w:autoSpaceDN w:val="0"/>
        <w:adjustRightInd w:val="0"/>
        <w:jc w:val="both"/>
        <w:rPr>
          <w:rFonts w:ascii="Arial" w:hAnsi="Arial" w:cs="Arial"/>
          <w:sz w:val="22"/>
          <w:szCs w:val="22"/>
          <w:lang w:val="en-GB"/>
        </w:rPr>
      </w:pPr>
    </w:p>
    <w:p w14:paraId="22091FFF" w14:textId="61B0CCFE" w:rsidR="00A47861" w:rsidRDefault="005046A8"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 foreign proceeding can be recognised as a main proceeding basis the Centre of Main Interest (COMI) of the debtor (generally the registered office) or as a foreign non-main proceeding basis the </w:t>
      </w:r>
      <w:r w:rsidR="003C0569">
        <w:rPr>
          <w:rFonts w:ascii="Arial" w:hAnsi="Arial" w:cs="Arial"/>
          <w:sz w:val="22"/>
          <w:szCs w:val="22"/>
          <w:lang w:val="en-GB"/>
        </w:rPr>
        <w:t>presence of an establishment in the jurisdiction.</w:t>
      </w:r>
      <w:r w:rsidR="00723B37">
        <w:rPr>
          <w:rFonts w:ascii="Arial" w:hAnsi="Arial" w:cs="Arial"/>
          <w:sz w:val="22"/>
          <w:szCs w:val="22"/>
          <w:lang w:val="en-GB"/>
        </w:rPr>
        <w:t xml:space="preserve"> (Article 17, para 2 of the MLCBI)</w:t>
      </w:r>
    </w:p>
    <w:p w14:paraId="0F739729" w14:textId="77777777" w:rsidR="00BC2CB0" w:rsidRDefault="00BC2CB0" w:rsidP="00087F21">
      <w:pPr>
        <w:autoSpaceDE w:val="0"/>
        <w:autoSpaceDN w:val="0"/>
        <w:adjustRightInd w:val="0"/>
        <w:jc w:val="both"/>
        <w:rPr>
          <w:rFonts w:ascii="Arial" w:hAnsi="Arial" w:cs="Arial"/>
          <w:sz w:val="22"/>
          <w:szCs w:val="22"/>
          <w:lang w:val="en-GB"/>
        </w:rPr>
      </w:pPr>
    </w:p>
    <w:p w14:paraId="607AA941" w14:textId="3BD67E78" w:rsidR="00BC2CB0" w:rsidRDefault="00BC2CB0"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Once a foreign proceeding is recognised as the main proceeding, automatic relief is granted including the stay of actions against the debtor’s assets and suspension of any rights to alienate or dispose</w:t>
      </w:r>
      <w:r w:rsidR="003D6981">
        <w:rPr>
          <w:rFonts w:ascii="Arial" w:hAnsi="Arial" w:cs="Arial"/>
          <w:sz w:val="22"/>
          <w:szCs w:val="22"/>
          <w:lang w:val="en-GB"/>
        </w:rPr>
        <w:t>-off</w:t>
      </w:r>
      <w:r>
        <w:rPr>
          <w:rFonts w:ascii="Arial" w:hAnsi="Arial" w:cs="Arial"/>
          <w:sz w:val="22"/>
          <w:szCs w:val="22"/>
          <w:lang w:val="en-GB"/>
        </w:rPr>
        <w:t xml:space="preserve"> assets. When a foreign proceeding is recognised as the non-main proceeding, relief in form of stay of actions against the debtor’s assets and suspension of any </w:t>
      </w:r>
      <w:r>
        <w:rPr>
          <w:rFonts w:ascii="Arial" w:hAnsi="Arial" w:cs="Arial"/>
          <w:sz w:val="22"/>
          <w:szCs w:val="22"/>
          <w:lang w:val="en-GB"/>
        </w:rPr>
        <w:lastRenderedPageBreak/>
        <w:t xml:space="preserve">rights to alienate or dispose assets is granted at the discretion of the court </w:t>
      </w:r>
      <w:r w:rsidR="00A42B6C">
        <w:rPr>
          <w:rFonts w:ascii="Arial" w:hAnsi="Arial" w:cs="Arial"/>
          <w:sz w:val="22"/>
          <w:szCs w:val="22"/>
          <w:lang w:val="en-GB"/>
        </w:rPr>
        <w:t xml:space="preserve">after </w:t>
      </w:r>
      <w:r>
        <w:rPr>
          <w:rFonts w:ascii="Arial" w:hAnsi="Arial" w:cs="Arial"/>
          <w:sz w:val="22"/>
          <w:szCs w:val="22"/>
          <w:lang w:val="en-GB"/>
        </w:rPr>
        <w:t>giving consideration to local creditor</w:t>
      </w:r>
      <w:r w:rsidR="00A42B6C">
        <w:rPr>
          <w:rFonts w:ascii="Arial" w:hAnsi="Arial" w:cs="Arial"/>
          <w:sz w:val="22"/>
          <w:szCs w:val="22"/>
          <w:lang w:val="en-GB"/>
        </w:rPr>
        <w:t xml:space="preserve"> and employee</w:t>
      </w:r>
      <w:r>
        <w:rPr>
          <w:rFonts w:ascii="Arial" w:hAnsi="Arial" w:cs="Arial"/>
          <w:sz w:val="22"/>
          <w:szCs w:val="22"/>
          <w:lang w:val="en-GB"/>
        </w:rPr>
        <w:t xml:space="preserve"> concerns.</w:t>
      </w:r>
    </w:p>
    <w:p w14:paraId="70A82A0E" w14:textId="77777777" w:rsidR="000D2BEC"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D38E" w14:textId="77777777" w:rsidR="005E76EF" w:rsidRDefault="005E76EF">
      <w:r>
        <w:separator/>
      </w:r>
    </w:p>
  </w:endnote>
  <w:endnote w:type="continuationSeparator" w:id="0">
    <w:p w14:paraId="3F64F281" w14:textId="77777777" w:rsidR="005E76EF" w:rsidRDefault="005E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3D3B4C" w:rsidRPr="00FC7B47" w:rsidRDefault="003D3B4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3D3B4C" w:rsidRPr="00FC7B47" w:rsidRDefault="003D3B4C"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3D3B4C" w:rsidRPr="009B4976" w:rsidRDefault="003D3B4C"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07FC4">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09CBBDDF" w14:textId="3467D355" w:rsidR="003D3B4C" w:rsidRPr="009B4976" w:rsidRDefault="003D3B4C" w:rsidP="009B4976">
    <w:pPr>
      <w:pStyle w:val="Footer"/>
      <w:ind w:right="360"/>
      <w:rPr>
        <w:rFonts w:ascii="Arial" w:hAnsi="Arial" w:cs="Arial"/>
        <w:sz w:val="18"/>
        <w:szCs w:val="18"/>
        <w:lang w:val="en-GB"/>
      </w:rPr>
    </w:pPr>
    <w:r>
      <w:rPr>
        <w:rFonts w:ascii="Arial" w:hAnsi="Arial" w:cs="Arial"/>
        <w:sz w:val="18"/>
        <w:szCs w:val="18"/>
      </w:rPr>
      <w:t>202021IFU-329.</w:t>
    </w:r>
    <w:r w:rsidRPr="009B4976">
      <w:rPr>
        <w:rFonts w:ascii="Arial" w:hAnsi="Arial" w:cs="Arial"/>
        <w:sz w:val="18"/>
        <w:szCs w:val="18"/>
        <w:lang w:val="en-GB"/>
      </w:rPr>
      <w:t>assessment</w:t>
    </w:r>
    <w:r>
      <w:rPr>
        <w:rFonts w:ascii="Arial" w:hAnsi="Arial" w:cs="Arial"/>
        <w:sz w:val="18"/>
        <w:szCs w:val="18"/>
        <w:lang w:val="en-GB"/>
      </w:rPr>
      <w:t>8E.docx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A867C" w14:textId="77777777" w:rsidR="005E76EF" w:rsidRDefault="005E76EF">
      <w:r>
        <w:separator/>
      </w:r>
    </w:p>
  </w:footnote>
  <w:footnote w:type="continuationSeparator" w:id="0">
    <w:p w14:paraId="6D4CB559" w14:textId="77777777" w:rsidR="005E76EF" w:rsidRDefault="005E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EAE"/>
    <w:multiLevelType w:val="hybridMultilevel"/>
    <w:tmpl w:val="0A4073C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83978"/>
    <w:multiLevelType w:val="hybridMultilevel"/>
    <w:tmpl w:val="0660C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0696B"/>
    <w:multiLevelType w:val="hybridMultilevel"/>
    <w:tmpl w:val="DE2023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E6BEF"/>
    <w:multiLevelType w:val="hybridMultilevel"/>
    <w:tmpl w:val="B198C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nsid w:val="1C8A1819"/>
    <w:multiLevelType w:val="hybridMultilevel"/>
    <w:tmpl w:val="6B2CF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1457A"/>
    <w:multiLevelType w:val="hybridMultilevel"/>
    <w:tmpl w:val="9FC4D3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0">
    <w:nsid w:val="2D6367C8"/>
    <w:multiLevelType w:val="hybridMultilevel"/>
    <w:tmpl w:val="7D802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3">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8E2C5B"/>
    <w:multiLevelType w:val="hybridMultilevel"/>
    <w:tmpl w:val="95DCA94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9A7B62"/>
    <w:multiLevelType w:val="hybridMultilevel"/>
    <w:tmpl w:val="572E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EF5A00"/>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1B0508"/>
    <w:multiLevelType w:val="hybridMultilevel"/>
    <w:tmpl w:val="6E9E1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C30911"/>
    <w:multiLevelType w:val="hybridMultilevel"/>
    <w:tmpl w:val="087C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101CAC"/>
    <w:multiLevelType w:val="hybridMultilevel"/>
    <w:tmpl w:val="45509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8">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4"/>
  </w:num>
  <w:num w:numId="5">
    <w:abstractNumId w:val="13"/>
  </w:num>
  <w:num w:numId="6">
    <w:abstractNumId w:val="27"/>
  </w:num>
  <w:num w:numId="7">
    <w:abstractNumId w:val="5"/>
  </w:num>
  <w:num w:numId="8">
    <w:abstractNumId w:val="22"/>
  </w:num>
  <w:num w:numId="9">
    <w:abstractNumId w:val="25"/>
  </w:num>
  <w:num w:numId="10">
    <w:abstractNumId w:val="11"/>
  </w:num>
  <w:num w:numId="11">
    <w:abstractNumId w:val="21"/>
  </w:num>
  <w:num w:numId="12">
    <w:abstractNumId w:val="14"/>
  </w:num>
  <w:num w:numId="13">
    <w:abstractNumId w:val="16"/>
  </w:num>
  <w:num w:numId="14">
    <w:abstractNumId w:val="0"/>
  </w:num>
  <w:num w:numId="15">
    <w:abstractNumId w:val="19"/>
  </w:num>
  <w:num w:numId="16">
    <w:abstractNumId w:val="24"/>
  </w:num>
  <w:num w:numId="17">
    <w:abstractNumId w:val="28"/>
  </w:num>
  <w:num w:numId="18">
    <w:abstractNumId w:val="23"/>
  </w:num>
  <w:num w:numId="19">
    <w:abstractNumId w:val="6"/>
  </w:num>
  <w:num w:numId="20">
    <w:abstractNumId w:val="10"/>
  </w:num>
  <w:num w:numId="21">
    <w:abstractNumId w:val="1"/>
  </w:num>
  <w:num w:numId="22">
    <w:abstractNumId w:val="2"/>
  </w:num>
  <w:num w:numId="23">
    <w:abstractNumId w:val="18"/>
  </w:num>
  <w:num w:numId="24">
    <w:abstractNumId w:val="15"/>
  </w:num>
  <w:num w:numId="25">
    <w:abstractNumId w:val="17"/>
  </w:num>
  <w:num w:numId="26">
    <w:abstractNumId w:val="26"/>
  </w:num>
  <w:num w:numId="27">
    <w:abstractNumId w:val="3"/>
  </w:num>
  <w:num w:numId="28">
    <w:abstractNumId w:val="7"/>
  </w:num>
  <w:num w:numId="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67"/>
    <w:rsid w:val="000036E5"/>
    <w:rsid w:val="00010230"/>
    <w:rsid w:val="00010BA0"/>
    <w:rsid w:val="00013C68"/>
    <w:rsid w:val="00015FF5"/>
    <w:rsid w:val="00020557"/>
    <w:rsid w:val="000218AE"/>
    <w:rsid w:val="00021FC2"/>
    <w:rsid w:val="000232A1"/>
    <w:rsid w:val="000250C7"/>
    <w:rsid w:val="00026F16"/>
    <w:rsid w:val="00030C54"/>
    <w:rsid w:val="00033C8E"/>
    <w:rsid w:val="00037621"/>
    <w:rsid w:val="00040687"/>
    <w:rsid w:val="00044D46"/>
    <w:rsid w:val="00045088"/>
    <w:rsid w:val="00045904"/>
    <w:rsid w:val="00046211"/>
    <w:rsid w:val="000502FD"/>
    <w:rsid w:val="0005066D"/>
    <w:rsid w:val="00051719"/>
    <w:rsid w:val="00052B3C"/>
    <w:rsid w:val="00055093"/>
    <w:rsid w:val="00062F53"/>
    <w:rsid w:val="00065166"/>
    <w:rsid w:val="000653E5"/>
    <w:rsid w:val="000662D4"/>
    <w:rsid w:val="00067A22"/>
    <w:rsid w:val="00070F56"/>
    <w:rsid w:val="0007291B"/>
    <w:rsid w:val="000730EC"/>
    <w:rsid w:val="00082609"/>
    <w:rsid w:val="00084B54"/>
    <w:rsid w:val="000851CC"/>
    <w:rsid w:val="000864AD"/>
    <w:rsid w:val="00087F21"/>
    <w:rsid w:val="00093BE8"/>
    <w:rsid w:val="0009714F"/>
    <w:rsid w:val="000A407B"/>
    <w:rsid w:val="000A68ED"/>
    <w:rsid w:val="000B1104"/>
    <w:rsid w:val="000B179D"/>
    <w:rsid w:val="000B4074"/>
    <w:rsid w:val="000B5FF1"/>
    <w:rsid w:val="000B609F"/>
    <w:rsid w:val="000C218D"/>
    <w:rsid w:val="000C2AB6"/>
    <w:rsid w:val="000C6881"/>
    <w:rsid w:val="000C7DB1"/>
    <w:rsid w:val="000D2BEC"/>
    <w:rsid w:val="000D2F43"/>
    <w:rsid w:val="000D55A8"/>
    <w:rsid w:val="000D6B7A"/>
    <w:rsid w:val="000E1246"/>
    <w:rsid w:val="000E378D"/>
    <w:rsid w:val="000E4841"/>
    <w:rsid w:val="000E6824"/>
    <w:rsid w:val="000E7A1A"/>
    <w:rsid w:val="000F0B79"/>
    <w:rsid w:val="000F0CF2"/>
    <w:rsid w:val="000F1677"/>
    <w:rsid w:val="000F2243"/>
    <w:rsid w:val="000F3D6C"/>
    <w:rsid w:val="00101707"/>
    <w:rsid w:val="00102CC9"/>
    <w:rsid w:val="0010410B"/>
    <w:rsid w:val="0010593A"/>
    <w:rsid w:val="00105948"/>
    <w:rsid w:val="00105F0F"/>
    <w:rsid w:val="00111A01"/>
    <w:rsid w:val="0011293E"/>
    <w:rsid w:val="0011473D"/>
    <w:rsid w:val="00115C85"/>
    <w:rsid w:val="00123700"/>
    <w:rsid w:val="00123855"/>
    <w:rsid w:val="00125152"/>
    <w:rsid w:val="00126A4D"/>
    <w:rsid w:val="00132329"/>
    <w:rsid w:val="0013379E"/>
    <w:rsid w:val="0014171F"/>
    <w:rsid w:val="0014622C"/>
    <w:rsid w:val="00151F58"/>
    <w:rsid w:val="00152348"/>
    <w:rsid w:val="00152FD4"/>
    <w:rsid w:val="00153025"/>
    <w:rsid w:val="0015456D"/>
    <w:rsid w:val="0015509E"/>
    <w:rsid w:val="00155FA2"/>
    <w:rsid w:val="0016018E"/>
    <w:rsid w:val="00161F1B"/>
    <w:rsid w:val="0016228C"/>
    <w:rsid w:val="00162829"/>
    <w:rsid w:val="0016368E"/>
    <w:rsid w:val="00166A82"/>
    <w:rsid w:val="00176817"/>
    <w:rsid w:val="00180548"/>
    <w:rsid w:val="00180AC4"/>
    <w:rsid w:val="00180CCE"/>
    <w:rsid w:val="00181A91"/>
    <w:rsid w:val="0018267A"/>
    <w:rsid w:val="00182779"/>
    <w:rsid w:val="001830DF"/>
    <w:rsid w:val="001839D2"/>
    <w:rsid w:val="001943A7"/>
    <w:rsid w:val="001957E8"/>
    <w:rsid w:val="00195E02"/>
    <w:rsid w:val="0019616D"/>
    <w:rsid w:val="001966D9"/>
    <w:rsid w:val="00197A18"/>
    <w:rsid w:val="001A007A"/>
    <w:rsid w:val="001A1BAD"/>
    <w:rsid w:val="001A24D1"/>
    <w:rsid w:val="001A4484"/>
    <w:rsid w:val="001A7E9A"/>
    <w:rsid w:val="001B02C6"/>
    <w:rsid w:val="001B0F70"/>
    <w:rsid w:val="001B5016"/>
    <w:rsid w:val="001B5F21"/>
    <w:rsid w:val="001B71D3"/>
    <w:rsid w:val="001B73FB"/>
    <w:rsid w:val="001C45FC"/>
    <w:rsid w:val="001C6897"/>
    <w:rsid w:val="001D0469"/>
    <w:rsid w:val="001D29C0"/>
    <w:rsid w:val="001D4862"/>
    <w:rsid w:val="001E25B9"/>
    <w:rsid w:val="001E49E0"/>
    <w:rsid w:val="001E4B63"/>
    <w:rsid w:val="001E7B5A"/>
    <w:rsid w:val="001F7412"/>
    <w:rsid w:val="0020090A"/>
    <w:rsid w:val="00202DFE"/>
    <w:rsid w:val="0020725B"/>
    <w:rsid w:val="002110F1"/>
    <w:rsid w:val="00213B62"/>
    <w:rsid w:val="002208D9"/>
    <w:rsid w:val="00221633"/>
    <w:rsid w:val="00222956"/>
    <w:rsid w:val="00223CAE"/>
    <w:rsid w:val="00226EAA"/>
    <w:rsid w:val="002311E3"/>
    <w:rsid w:val="002356EA"/>
    <w:rsid w:val="00235D7D"/>
    <w:rsid w:val="00240870"/>
    <w:rsid w:val="00240B0E"/>
    <w:rsid w:val="0024116D"/>
    <w:rsid w:val="00241B44"/>
    <w:rsid w:val="00241FA3"/>
    <w:rsid w:val="00245EFB"/>
    <w:rsid w:val="0024716F"/>
    <w:rsid w:val="0025386E"/>
    <w:rsid w:val="00255890"/>
    <w:rsid w:val="00262940"/>
    <w:rsid w:val="002638B0"/>
    <w:rsid w:val="0026647A"/>
    <w:rsid w:val="00266799"/>
    <w:rsid w:val="002668D3"/>
    <w:rsid w:val="0027299F"/>
    <w:rsid w:val="00276626"/>
    <w:rsid w:val="00281366"/>
    <w:rsid w:val="00284EBE"/>
    <w:rsid w:val="002903A7"/>
    <w:rsid w:val="0029433F"/>
    <w:rsid w:val="00294829"/>
    <w:rsid w:val="0029690F"/>
    <w:rsid w:val="00297C8A"/>
    <w:rsid w:val="002A2372"/>
    <w:rsid w:val="002A2A60"/>
    <w:rsid w:val="002A37BB"/>
    <w:rsid w:val="002B1C45"/>
    <w:rsid w:val="002B2F9F"/>
    <w:rsid w:val="002C13C8"/>
    <w:rsid w:val="002C3547"/>
    <w:rsid w:val="002C43BD"/>
    <w:rsid w:val="002C72F3"/>
    <w:rsid w:val="002D0021"/>
    <w:rsid w:val="002D0C55"/>
    <w:rsid w:val="002D299D"/>
    <w:rsid w:val="002D3473"/>
    <w:rsid w:val="002D4657"/>
    <w:rsid w:val="002E2BBC"/>
    <w:rsid w:val="002E38E2"/>
    <w:rsid w:val="002F1956"/>
    <w:rsid w:val="002F3440"/>
    <w:rsid w:val="002F75A3"/>
    <w:rsid w:val="002F7D0F"/>
    <w:rsid w:val="00303C2F"/>
    <w:rsid w:val="00306FCA"/>
    <w:rsid w:val="00313590"/>
    <w:rsid w:val="003144EF"/>
    <w:rsid w:val="00314E67"/>
    <w:rsid w:val="00316EA1"/>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269D"/>
    <w:rsid w:val="00362BAC"/>
    <w:rsid w:val="00364836"/>
    <w:rsid w:val="0036565C"/>
    <w:rsid w:val="0036625E"/>
    <w:rsid w:val="0037465A"/>
    <w:rsid w:val="00376303"/>
    <w:rsid w:val="00380BAB"/>
    <w:rsid w:val="00382C98"/>
    <w:rsid w:val="003832E3"/>
    <w:rsid w:val="0038488A"/>
    <w:rsid w:val="0038533C"/>
    <w:rsid w:val="00386568"/>
    <w:rsid w:val="00390B57"/>
    <w:rsid w:val="003948D5"/>
    <w:rsid w:val="00396821"/>
    <w:rsid w:val="00396DB5"/>
    <w:rsid w:val="00397D3A"/>
    <w:rsid w:val="003A051E"/>
    <w:rsid w:val="003A3ED4"/>
    <w:rsid w:val="003B170F"/>
    <w:rsid w:val="003B3C5F"/>
    <w:rsid w:val="003B6014"/>
    <w:rsid w:val="003C0569"/>
    <w:rsid w:val="003C2C21"/>
    <w:rsid w:val="003C4471"/>
    <w:rsid w:val="003C6696"/>
    <w:rsid w:val="003D0A6D"/>
    <w:rsid w:val="003D1EF3"/>
    <w:rsid w:val="003D22C0"/>
    <w:rsid w:val="003D3B4C"/>
    <w:rsid w:val="003D55C1"/>
    <w:rsid w:val="003D6981"/>
    <w:rsid w:val="003D70A7"/>
    <w:rsid w:val="003D7BCD"/>
    <w:rsid w:val="003E0B16"/>
    <w:rsid w:val="003E0B4A"/>
    <w:rsid w:val="003E22E2"/>
    <w:rsid w:val="003E67D1"/>
    <w:rsid w:val="003F0C71"/>
    <w:rsid w:val="003F11D0"/>
    <w:rsid w:val="003F6783"/>
    <w:rsid w:val="00404329"/>
    <w:rsid w:val="00405DC1"/>
    <w:rsid w:val="00406AE7"/>
    <w:rsid w:val="00415F1F"/>
    <w:rsid w:val="00416B96"/>
    <w:rsid w:val="004208BC"/>
    <w:rsid w:val="0042098A"/>
    <w:rsid w:val="0042108F"/>
    <w:rsid w:val="004212AC"/>
    <w:rsid w:val="00430C5C"/>
    <w:rsid w:val="00430FED"/>
    <w:rsid w:val="00434A8C"/>
    <w:rsid w:val="00437297"/>
    <w:rsid w:val="00444284"/>
    <w:rsid w:val="00445CE6"/>
    <w:rsid w:val="0044676B"/>
    <w:rsid w:val="004534C2"/>
    <w:rsid w:val="0045446F"/>
    <w:rsid w:val="004560CC"/>
    <w:rsid w:val="0045683E"/>
    <w:rsid w:val="00461D92"/>
    <w:rsid w:val="00465497"/>
    <w:rsid w:val="0046555A"/>
    <w:rsid w:val="00470030"/>
    <w:rsid w:val="00473335"/>
    <w:rsid w:val="00477C72"/>
    <w:rsid w:val="00491675"/>
    <w:rsid w:val="0049316E"/>
    <w:rsid w:val="00493855"/>
    <w:rsid w:val="0049424F"/>
    <w:rsid w:val="00494E28"/>
    <w:rsid w:val="00495E79"/>
    <w:rsid w:val="004A2488"/>
    <w:rsid w:val="004A2D83"/>
    <w:rsid w:val="004A4F52"/>
    <w:rsid w:val="004A57DD"/>
    <w:rsid w:val="004A7B51"/>
    <w:rsid w:val="004A7D71"/>
    <w:rsid w:val="004A7EF3"/>
    <w:rsid w:val="004B11FD"/>
    <w:rsid w:val="004B124C"/>
    <w:rsid w:val="004B23A2"/>
    <w:rsid w:val="004B48CB"/>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046A8"/>
    <w:rsid w:val="00510B34"/>
    <w:rsid w:val="00511933"/>
    <w:rsid w:val="00514860"/>
    <w:rsid w:val="005177FE"/>
    <w:rsid w:val="0052263B"/>
    <w:rsid w:val="00524728"/>
    <w:rsid w:val="005312B3"/>
    <w:rsid w:val="00531721"/>
    <w:rsid w:val="00531EA5"/>
    <w:rsid w:val="005331CA"/>
    <w:rsid w:val="00537970"/>
    <w:rsid w:val="00540E3A"/>
    <w:rsid w:val="00542409"/>
    <w:rsid w:val="00544127"/>
    <w:rsid w:val="0054482E"/>
    <w:rsid w:val="00545355"/>
    <w:rsid w:val="005463A9"/>
    <w:rsid w:val="00546D65"/>
    <w:rsid w:val="00553EB2"/>
    <w:rsid w:val="00560534"/>
    <w:rsid w:val="0056391B"/>
    <w:rsid w:val="005650E2"/>
    <w:rsid w:val="00567AD7"/>
    <w:rsid w:val="00572AA4"/>
    <w:rsid w:val="005758A7"/>
    <w:rsid w:val="00575B2D"/>
    <w:rsid w:val="00576284"/>
    <w:rsid w:val="005771EA"/>
    <w:rsid w:val="0058230B"/>
    <w:rsid w:val="005833D0"/>
    <w:rsid w:val="005846F3"/>
    <w:rsid w:val="00584E32"/>
    <w:rsid w:val="0058622F"/>
    <w:rsid w:val="005902FB"/>
    <w:rsid w:val="00592F82"/>
    <w:rsid w:val="005A0CCA"/>
    <w:rsid w:val="005A6ED5"/>
    <w:rsid w:val="005A6FF2"/>
    <w:rsid w:val="005A726D"/>
    <w:rsid w:val="005B5514"/>
    <w:rsid w:val="005B67AC"/>
    <w:rsid w:val="005B79F4"/>
    <w:rsid w:val="005C0413"/>
    <w:rsid w:val="005C523F"/>
    <w:rsid w:val="005C529D"/>
    <w:rsid w:val="005C5B99"/>
    <w:rsid w:val="005D0680"/>
    <w:rsid w:val="005D16DD"/>
    <w:rsid w:val="005D386A"/>
    <w:rsid w:val="005D43E0"/>
    <w:rsid w:val="005D58A3"/>
    <w:rsid w:val="005E1682"/>
    <w:rsid w:val="005E1B79"/>
    <w:rsid w:val="005E3EB8"/>
    <w:rsid w:val="005E6076"/>
    <w:rsid w:val="005E7008"/>
    <w:rsid w:val="005E76EF"/>
    <w:rsid w:val="005E7EC1"/>
    <w:rsid w:val="005F026D"/>
    <w:rsid w:val="005F2AEA"/>
    <w:rsid w:val="005F2D0B"/>
    <w:rsid w:val="005F4B31"/>
    <w:rsid w:val="0060203F"/>
    <w:rsid w:val="00610388"/>
    <w:rsid w:val="00610AC7"/>
    <w:rsid w:val="00612CA5"/>
    <w:rsid w:val="006153EC"/>
    <w:rsid w:val="006155A9"/>
    <w:rsid w:val="00621A17"/>
    <w:rsid w:val="00622586"/>
    <w:rsid w:val="00627CC9"/>
    <w:rsid w:val="00627E7B"/>
    <w:rsid w:val="00630542"/>
    <w:rsid w:val="00631945"/>
    <w:rsid w:val="00631DDB"/>
    <w:rsid w:val="00632E44"/>
    <w:rsid w:val="00634622"/>
    <w:rsid w:val="006358BA"/>
    <w:rsid w:val="00636808"/>
    <w:rsid w:val="0063729B"/>
    <w:rsid w:val="00641515"/>
    <w:rsid w:val="006424BE"/>
    <w:rsid w:val="00644839"/>
    <w:rsid w:val="00645F3A"/>
    <w:rsid w:val="006472BC"/>
    <w:rsid w:val="006532AA"/>
    <w:rsid w:val="00654AF0"/>
    <w:rsid w:val="00654C2F"/>
    <w:rsid w:val="00654C95"/>
    <w:rsid w:val="006558F8"/>
    <w:rsid w:val="00657087"/>
    <w:rsid w:val="00661BA6"/>
    <w:rsid w:val="00661D51"/>
    <w:rsid w:val="006639DB"/>
    <w:rsid w:val="006661EF"/>
    <w:rsid w:val="00667F67"/>
    <w:rsid w:val="00670CB1"/>
    <w:rsid w:val="00677AEB"/>
    <w:rsid w:val="00680B07"/>
    <w:rsid w:val="00680EF2"/>
    <w:rsid w:val="00684441"/>
    <w:rsid w:val="00687A1D"/>
    <w:rsid w:val="00697EA1"/>
    <w:rsid w:val="006A1F01"/>
    <w:rsid w:val="006A2646"/>
    <w:rsid w:val="006A6530"/>
    <w:rsid w:val="006B435A"/>
    <w:rsid w:val="006B4C64"/>
    <w:rsid w:val="006C74A5"/>
    <w:rsid w:val="006D2BBF"/>
    <w:rsid w:val="006D6BD5"/>
    <w:rsid w:val="006D7E71"/>
    <w:rsid w:val="006E3F36"/>
    <w:rsid w:val="006E4183"/>
    <w:rsid w:val="006E481A"/>
    <w:rsid w:val="006E5298"/>
    <w:rsid w:val="006F2457"/>
    <w:rsid w:val="006F4A78"/>
    <w:rsid w:val="006F6200"/>
    <w:rsid w:val="006F734A"/>
    <w:rsid w:val="006F7EEE"/>
    <w:rsid w:val="00700D83"/>
    <w:rsid w:val="007010DE"/>
    <w:rsid w:val="00704852"/>
    <w:rsid w:val="007074E9"/>
    <w:rsid w:val="00713DA4"/>
    <w:rsid w:val="00714BF1"/>
    <w:rsid w:val="007158C8"/>
    <w:rsid w:val="00717C77"/>
    <w:rsid w:val="00721383"/>
    <w:rsid w:val="00723343"/>
    <w:rsid w:val="007237A9"/>
    <w:rsid w:val="00723B37"/>
    <w:rsid w:val="00726B93"/>
    <w:rsid w:val="00730E8C"/>
    <w:rsid w:val="0073158B"/>
    <w:rsid w:val="0073243F"/>
    <w:rsid w:val="007333CC"/>
    <w:rsid w:val="0073399A"/>
    <w:rsid w:val="00733F56"/>
    <w:rsid w:val="00737587"/>
    <w:rsid w:val="00740DAD"/>
    <w:rsid w:val="00751747"/>
    <w:rsid w:val="007603F5"/>
    <w:rsid w:val="00764DB0"/>
    <w:rsid w:val="0076764D"/>
    <w:rsid w:val="00770EB0"/>
    <w:rsid w:val="0077498C"/>
    <w:rsid w:val="007809BC"/>
    <w:rsid w:val="00781734"/>
    <w:rsid w:val="007818AF"/>
    <w:rsid w:val="00782834"/>
    <w:rsid w:val="00784128"/>
    <w:rsid w:val="00784E9B"/>
    <w:rsid w:val="00787BCC"/>
    <w:rsid w:val="007922DE"/>
    <w:rsid w:val="0079309B"/>
    <w:rsid w:val="00793173"/>
    <w:rsid w:val="0079330C"/>
    <w:rsid w:val="00796810"/>
    <w:rsid w:val="007A0F86"/>
    <w:rsid w:val="007A2A33"/>
    <w:rsid w:val="007A50B0"/>
    <w:rsid w:val="007A542E"/>
    <w:rsid w:val="007B325A"/>
    <w:rsid w:val="007B5C89"/>
    <w:rsid w:val="007B7A24"/>
    <w:rsid w:val="007B7BEB"/>
    <w:rsid w:val="007C1FCC"/>
    <w:rsid w:val="007C23F2"/>
    <w:rsid w:val="007C4B26"/>
    <w:rsid w:val="007C6201"/>
    <w:rsid w:val="007D1474"/>
    <w:rsid w:val="007D3C92"/>
    <w:rsid w:val="007D569B"/>
    <w:rsid w:val="007D7C92"/>
    <w:rsid w:val="007E1154"/>
    <w:rsid w:val="007E22DB"/>
    <w:rsid w:val="007E40F0"/>
    <w:rsid w:val="007E6BA4"/>
    <w:rsid w:val="007E7678"/>
    <w:rsid w:val="007F41F8"/>
    <w:rsid w:val="007F659B"/>
    <w:rsid w:val="0080454E"/>
    <w:rsid w:val="00804C32"/>
    <w:rsid w:val="008061D3"/>
    <w:rsid w:val="00806302"/>
    <w:rsid w:val="00807119"/>
    <w:rsid w:val="00821216"/>
    <w:rsid w:val="00823084"/>
    <w:rsid w:val="0082483F"/>
    <w:rsid w:val="0082694D"/>
    <w:rsid w:val="008277A3"/>
    <w:rsid w:val="008279C0"/>
    <w:rsid w:val="00831582"/>
    <w:rsid w:val="00843186"/>
    <w:rsid w:val="008450F0"/>
    <w:rsid w:val="0084683C"/>
    <w:rsid w:val="00851178"/>
    <w:rsid w:val="00853901"/>
    <w:rsid w:val="00856BD4"/>
    <w:rsid w:val="00867701"/>
    <w:rsid w:val="008723F3"/>
    <w:rsid w:val="00876F56"/>
    <w:rsid w:val="00881DE6"/>
    <w:rsid w:val="008837A6"/>
    <w:rsid w:val="00891360"/>
    <w:rsid w:val="0089145D"/>
    <w:rsid w:val="008A4DF2"/>
    <w:rsid w:val="008A6CFE"/>
    <w:rsid w:val="008B0F78"/>
    <w:rsid w:val="008B155E"/>
    <w:rsid w:val="008B2CE9"/>
    <w:rsid w:val="008B5333"/>
    <w:rsid w:val="008B6223"/>
    <w:rsid w:val="008B779D"/>
    <w:rsid w:val="008C5F69"/>
    <w:rsid w:val="008C66E0"/>
    <w:rsid w:val="008D2446"/>
    <w:rsid w:val="008E3339"/>
    <w:rsid w:val="008F20FC"/>
    <w:rsid w:val="008F5FFE"/>
    <w:rsid w:val="008F76F8"/>
    <w:rsid w:val="00902108"/>
    <w:rsid w:val="00905A43"/>
    <w:rsid w:val="00912C79"/>
    <w:rsid w:val="00921B8C"/>
    <w:rsid w:val="0094059D"/>
    <w:rsid w:val="00940681"/>
    <w:rsid w:val="00942123"/>
    <w:rsid w:val="00943700"/>
    <w:rsid w:val="0095207B"/>
    <w:rsid w:val="00954F89"/>
    <w:rsid w:val="00962045"/>
    <w:rsid w:val="009637EE"/>
    <w:rsid w:val="00971683"/>
    <w:rsid w:val="00980E61"/>
    <w:rsid w:val="00982D07"/>
    <w:rsid w:val="00987CB1"/>
    <w:rsid w:val="00991428"/>
    <w:rsid w:val="00992676"/>
    <w:rsid w:val="0099378E"/>
    <w:rsid w:val="00994947"/>
    <w:rsid w:val="009954B2"/>
    <w:rsid w:val="00995576"/>
    <w:rsid w:val="00996691"/>
    <w:rsid w:val="009A3AB7"/>
    <w:rsid w:val="009B0723"/>
    <w:rsid w:val="009B07AD"/>
    <w:rsid w:val="009B0883"/>
    <w:rsid w:val="009B15E2"/>
    <w:rsid w:val="009B3859"/>
    <w:rsid w:val="009B4976"/>
    <w:rsid w:val="009B6BFD"/>
    <w:rsid w:val="009C0B8E"/>
    <w:rsid w:val="009C1BC8"/>
    <w:rsid w:val="009C2442"/>
    <w:rsid w:val="009C526D"/>
    <w:rsid w:val="009C5286"/>
    <w:rsid w:val="009C53C1"/>
    <w:rsid w:val="009C616E"/>
    <w:rsid w:val="009D0811"/>
    <w:rsid w:val="009D0EE1"/>
    <w:rsid w:val="009D23C6"/>
    <w:rsid w:val="009D62BD"/>
    <w:rsid w:val="009E2A56"/>
    <w:rsid w:val="009E2AEB"/>
    <w:rsid w:val="009E2E27"/>
    <w:rsid w:val="009E3DF6"/>
    <w:rsid w:val="009E3DF8"/>
    <w:rsid w:val="009E45DF"/>
    <w:rsid w:val="009E4DE3"/>
    <w:rsid w:val="009E717E"/>
    <w:rsid w:val="009F1595"/>
    <w:rsid w:val="009F206F"/>
    <w:rsid w:val="009F275E"/>
    <w:rsid w:val="009F4739"/>
    <w:rsid w:val="009F7E0B"/>
    <w:rsid w:val="00A01DDA"/>
    <w:rsid w:val="00A047EE"/>
    <w:rsid w:val="00A2274A"/>
    <w:rsid w:val="00A235B7"/>
    <w:rsid w:val="00A2529F"/>
    <w:rsid w:val="00A27A7A"/>
    <w:rsid w:val="00A312CA"/>
    <w:rsid w:val="00A34ABE"/>
    <w:rsid w:val="00A407EF"/>
    <w:rsid w:val="00A409E9"/>
    <w:rsid w:val="00A42B6C"/>
    <w:rsid w:val="00A46B4C"/>
    <w:rsid w:val="00A47861"/>
    <w:rsid w:val="00A5117B"/>
    <w:rsid w:val="00A52201"/>
    <w:rsid w:val="00A56D34"/>
    <w:rsid w:val="00A576C3"/>
    <w:rsid w:val="00A57EFB"/>
    <w:rsid w:val="00A60074"/>
    <w:rsid w:val="00A64732"/>
    <w:rsid w:val="00A64900"/>
    <w:rsid w:val="00A6627C"/>
    <w:rsid w:val="00A71019"/>
    <w:rsid w:val="00A73BDB"/>
    <w:rsid w:val="00A81029"/>
    <w:rsid w:val="00A82E06"/>
    <w:rsid w:val="00A83871"/>
    <w:rsid w:val="00A845F5"/>
    <w:rsid w:val="00A84908"/>
    <w:rsid w:val="00A92054"/>
    <w:rsid w:val="00A94955"/>
    <w:rsid w:val="00A94F39"/>
    <w:rsid w:val="00A96489"/>
    <w:rsid w:val="00AA0BC0"/>
    <w:rsid w:val="00AA0CE2"/>
    <w:rsid w:val="00AA78FB"/>
    <w:rsid w:val="00AB05EF"/>
    <w:rsid w:val="00AB2425"/>
    <w:rsid w:val="00AB3039"/>
    <w:rsid w:val="00AB4451"/>
    <w:rsid w:val="00AB5B60"/>
    <w:rsid w:val="00AB6197"/>
    <w:rsid w:val="00AB6201"/>
    <w:rsid w:val="00AB685C"/>
    <w:rsid w:val="00AB6C2D"/>
    <w:rsid w:val="00AC08F7"/>
    <w:rsid w:val="00AC3839"/>
    <w:rsid w:val="00AC7082"/>
    <w:rsid w:val="00AD4BE8"/>
    <w:rsid w:val="00AD71BF"/>
    <w:rsid w:val="00AE01E7"/>
    <w:rsid w:val="00AE2020"/>
    <w:rsid w:val="00AE43E0"/>
    <w:rsid w:val="00AE5849"/>
    <w:rsid w:val="00AF0C9F"/>
    <w:rsid w:val="00AF228E"/>
    <w:rsid w:val="00AF44E3"/>
    <w:rsid w:val="00AF5D9C"/>
    <w:rsid w:val="00AF65C1"/>
    <w:rsid w:val="00B016A8"/>
    <w:rsid w:val="00B0269C"/>
    <w:rsid w:val="00B0714D"/>
    <w:rsid w:val="00B10A03"/>
    <w:rsid w:val="00B12748"/>
    <w:rsid w:val="00B14819"/>
    <w:rsid w:val="00B15E2F"/>
    <w:rsid w:val="00B16CCE"/>
    <w:rsid w:val="00B17AA9"/>
    <w:rsid w:val="00B32DE4"/>
    <w:rsid w:val="00B40EA4"/>
    <w:rsid w:val="00B42BB8"/>
    <w:rsid w:val="00B44713"/>
    <w:rsid w:val="00B44D9A"/>
    <w:rsid w:val="00B50EA0"/>
    <w:rsid w:val="00B51B95"/>
    <w:rsid w:val="00B54D7D"/>
    <w:rsid w:val="00B56103"/>
    <w:rsid w:val="00B61452"/>
    <w:rsid w:val="00B61C41"/>
    <w:rsid w:val="00B61C8C"/>
    <w:rsid w:val="00B64929"/>
    <w:rsid w:val="00B711C0"/>
    <w:rsid w:val="00B736DF"/>
    <w:rsid w:val="00B7420B"/>
    <w:rsid w:val="00B743D6"/>
    <w:rsid w:val="00B74FBD"/>
    <w:rsid w:val="00B77939"/>
    <w:rsid w:val="00B77F46"/>
    <w:rsid w:val="00B81AE8"/>
    <w:rsid w:val="00B82586"/>
    <w:rsid w:val="00B829A3"/>
    <w:rsid w:val="00B86DB1"/>
    <w:rsid w:val="00B87869"/>
    <w:rsid w:val="00B9639B"/>
    <w:rsid w:val="00BB0139"/>
    <w:rsid w:val="00BB0F2B"/>
    <w:rsid w:val="00BB43F4"/>
    <w:rsid w:val="00BC2CB0"/>
    <w:rsid w:val="00BC50AE"/>
    <w:rsid w:val="00BD483C"/>
    <w:rsid w:val="00BE4FF3"/>
    <w:rsid w:val="00BE5B8E"/>
    <w:rsid w:val="00BE65AA"/>
    <w:rsid w:val="00BF42A8"/>
    <w:rsid w:val="00BF50F7"/>
    <w:rsid w:val="00C02F29"/>
    <w:rsid w:val="00C041E8"/>
    <w:rsid w:val="00C17718"/>
    <w:rsid w:val="00C20AFE"/>
    <w:rsid w:val="00C22A25"/>
    <w:rsid w:val="00C276FF"/>
    <w:rsid w:val="00C31F4E"/>
    <w:rsid w:val="00C35671"/>
    <w:rsid w:val="00C35B77"/>
    <w:rsid w:val="00C376EB"/>
    <w:rsid w:val="00C46A92"/>
    <w:rsid w:val="00C46EC1"/>
    <w:rsid w:val="00C472F2"/>
    <w:rsid w:val="00C52796"/>
    <w:rsid w:val="00C5332A"/>
    <w:rsid w:val="00C53E2C"/>
    <w:rsid w:val="00C550C8"/>
    <w:rsid w:val="00C55824"/>
    <w:rsid w:val="00C56B61"/>
    <w:rsid w:val="00C606C3"/>
    <w:rsid w:val="00C620F4"/>
    <w:rsid w:val="00C66D43"/>
    <w:rsid w:val="00C71B12"/>
    <w:rsid w:val="00C72848"/>
    <w:rsid w:val="00C73986"/>
    <w:rsid w:val="00C7736C"/>
    <w:rsid w:val="00C77A76"/>
    <w:rsid w:val="00C82D87"/>
    <w:rsid w:val="00C8712A"/>
    <w:rsid w:val="00C902C8"/>
    <w:rsid w:val="00C919D1"/>
    <w:rsid w:val="00C91C93"/>
    <w:rsid w:val="00C93B3D"/>
    <w:rsid w:val="00C93DDA"/>
    <w:rsid w:val="00C94E8E"/>
    <w:rsid w:val="00C960CA"/>
    <w:rsid w:val="00C963D3"/>
    <w:rsid w:val="00CA0CFD"/>
    <w:rsid w:val="00CA6EC5"/>
    <w:rsid w:val="00CB1983"/>
    <w:rsid w:val="00CB2480"/>
    <w:rsid w:val="00CB2CBB"/>
    <w:rsid w:val="00CB5FD0"/>
    <w:rsid w:val="00CB7CAC"/>
    <w:rsid w:val="00CC158E"/>
    <w:rsid w:val="00CC5335"/>
    <w:rsid w:val="00CC5BA4"/>
    <w:rsid w:val="00CC5E40"/>
    <w:rsid w:val="00CD4998"/>
    <w:rsid w:val="00CE1035"/>
    <w:rsid w:val="00CE6509"/>
    <w:rsid w:val="00CE6E50"/>
    <w:rsid w:val="00CF0E5C"/>
    <w:rsid w:val="00CF14BE"/>
    <w:rsid w:val="00CF2819"/>
    <w:rsid w:val="00CF3A5A"/>
    <w:rsid w:val="00CF4F9D"/>
    <w:rsid w:val="00CF6E14"/>
    <w:rsid w:val="00CF70DC"/>
    <w:rsid w:val="00D0080B"/>
    <w:rsid w:val="00D07C0D"/>
    <w:rsid w:val="00D12C0D"/>
    <w:rsid w:val="00D148DC"/>
    <w:rsid w:val="00D17F1C"/>
    <w:rsid w:val="00D17FDC"/>
    <w:rsid w:val="00D21D8C"/>
    <w:rsid w:val="00D21F25"/>
    <w:rsid w:val="00D307FA"/>
    <w:rsid w:val="00D31BD3"/>
    <w:rsid w:val="00D36912"/>
    <w:rsid w:val="00D372EF"/>
    <w:rsid w:val="00D445DE"/>
    <w:rsid w:val="00D53719"/>
    <w:rsid w:val="00D60519"/>
    <w:rsid w:val="00D63EFD"/>
    <w:rsid w:val="00D65741"/>
    <w:rsid w:val="00D77884"/>
    <w:rsid w:val="00D80DC2"/>
    <w:rsid w:val="00D80E3E"/>
    <w:rsid w:val="00D84752"/>
    <w:rsid w:val="00D86B3B"/>
    <w:rsid w:val="00D8748A"/>
    <w:rsid w:val="00D93196"/>
    <w:rsid w:val="00D964AE"/>
    <w:rsid w:val="00DA0DC0"/>
    <w:rsid w:val="00DA124D"/>
    <w:rsid w:val="00DA3457"/>
    <w:rsid w:val="00DB243C"/>
    <w:rsid w:val="00DB3684"/>
    <w:rsid w:val="00DB482A"/>
    <w:rsid w:val="00DB50FB"/>
    <w:rsid w:val="00DB56F2"/>
    <w:rsid w:val="00DB6103"/>
    <w:rsid w:val="00DB6EF5"/>
    <w:rsid w:val="00DC3089"/>
    <w:rsid w:val="00DC4420"/>
    <w:rsid w:val="00DC55A0"/>
    <w:rsid w:val="00DC7761"/>
    <w:rsid w:val="00DD0802"/>
    <w:rsid w:val="00DD2E11"/>
    <w:rsid w:val="00DD7F33"/>
    <w:rsid w:val="00DE03AF"/>
    <w:rsid w:val="00DE121C"/>
    <w:rsid w:val="00DE16AC"/>
    <w:rsid w:val="00DE28CA"/>
    <w:rsid w:val="00DE4256"/>
    <w:rsid w:val="00DE6633"/>
    <w:rsid w:val="00DF75F8"/>
    <w:rsid w:val="00DF7A3A"/>
    <w:rsid w:val="00E00C00"/>
    <w:rsid w:val="00E023B6"/>
    <w:rsid w:val="00E060E9"/>
    <w:rsid w:val="00E07C5A"/>
    <w:rsid w:val="00E07FC4"/>
    <w:rsid w:val="00E13D87"/>
    <w:rsid w:val="00E15BA9"/>
    <w:rsid w:val="00E23A7A"/>
    <w:rsid w:val="00E26E19"/>
    <w:rsid w:val="00E3041B"/>
    <w:rsid w:val="00E30CC7"/>
    <w:rsid w:val="00E31DF3"/>
    <w:rsid w:val="00E426B2"/>
    <w:rsid w:val="00E450A4"/>
    <w:rsid w:val="00E45B05"/>
    <w:rsid w:val="00E462B9"/>
    <w:rsid w:val="00E506BE"/>
    <w:rsid w:val="00E522E3"/>
    <w:rsid w:val="00E534E3"/>
    <w:rsid w:val="00E5525D"/>
    <w:rsid w:val="00E55547"/>
    <w:rsid w:val="00E6302B"/>
    <w:rsid w:val="00E6452F"/>
    <w:rsid w:val="00E64F45"/>
    <w:rsid w:val="00E651E7"/>
    <w:rsid w:val="00E66901"/>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1C8E"/>
    <w:rsid w:val="00EB45AC"/>
    <w:rsid w:val="00EC1A1D"/>
    <w:rsid w:val="00EC441F"/>
    <w:rsid w:val="00EC4755"/>
    <w:rsid w:val="00EC479C"/>
    <w:rsid w:val="00EC6A65"/>
    <w:rsid w:val="00ED0BC4"/>
    <w:rsid w:val="00ED21C1"/>
    <w:rsid w:val="00ED29B3"/>
    <w:rsid w:val="00ED447D"/>
    <w:rsid w:val="00ED472F"/>
    <w:rsid w:val="00EE435F"/>
    <w:rsid w:val="00EE4971"/>
    <w:rsid w:val="00EE6CB0"/>
    <w:rsid w:val="00EF090E"/>
    <w:rsid w:val="00EF4D30"/>
    <w:rsid w:val="00EF4EE8"/>
    <w:rsid w:val="00EF5572"/>
    <w:rsid w:val="00F02389"/>
    <w:rsid w:val="00F033DA"/>
    <w:rsid w:val="00F037DC"/>
    <w:rsid w:val="00F0392F"/>
    <w:rsid w:val="00F05254"/>
    <w:rsid w:val="00F067C6"/>
    <w:rsid w:val="00F130CF"/>
    <w:rsid w:val="00F13691"/>
    <w:rsid w:val="00F13FB1"/>
    <w:rsid w:val="00F14A07"/>
    <w:rsid w:val="00F22C53"/>
    <w:rsid w:val="00F27CD8"/>
    <w:rsid w:val="00F30351"/>
    <w:rsid w:val="00F3051A"/>
    <w:rsid w:val="00F3323E"/>
    <w:rsid w:val="00F341F4"/>
    <w:rsid w:val="00F34F9D"/>
    <w:rsid w:val="00F35019"/>
    <w:rsid w:val="00F35CCE"/>
    <w:rsid w:val="00F4541B"/>
    <w:rsid w:val="00F4590D"/>
    <w:rsid w:val="00F50041"/>
    <w:rsid w:val="00F5524B"/>
    <w:rsid w:val="00F5682A"/>
    <w:rsid w:val="00F60538"/>
    <w:rsid w:val="00F61DD2"/>
    <w:rsid w:val="00F661D0"/>
    <w:rsid w:val="00F66AFF"/>
    <w:rsid w:val="00F674C7"/>
    <w:rsid w:val="00F71433"/>
    <w:rsid w:val="00F7197D"/>
    <w:rsid w:val="00F74EAE"/>
    <w:rsid w:val="00F81ED6"/>
    <w:rsid w:val="00F83F59"/>
    <w:rsid w:val="00F850BF"/>
    <w:rsid w:val="00F860C9"/>
    <w:rsid w:val="00F87DCA"/>
    <w:rsid w:val="00F927F0"/>
    <w:rsid w:val="00F97C5B"/>
    <w:rsid w:val="00FA075A"/>
    <w:rsid w:val="00FA3D50"/>
    <w:rsid w:val="00FA43DA"/>
    <w:rsid w:val="00FA52A1"/>
    <w:rsid w:val="00FA5BE1"/>
    <w:rsid w:val="00FA721C"/>
    <w:rsid w:val="00FB7FBD"/>
    <w:rsid w:val="00FC32B6"/>
    <w:rsid w:val="00FC374A"/>
    <w:rsid w:val="00FC74C8"/>
    <w:rsid w:val="00FC78E1"/>
    <w:rsid w:val="00FC7B47"/>
    <w:rsid w:val="00FD035C"/>
    <w:rsid w:val="00FD1A35"/>
    <w:rsid w:val="00FD1AA3"/>
    <w:rsid w:val="00FD2EA4"/>
    <w:rsid w:val="00FD36C5"/>
    <w:rsid w:val="00FD5958"/>
    <w:rsid w:val="00FD6310"/>
    <w:rsid w:val="00FD7C7B"/>
    <w:rsid w:val="00FE1A17"/>
    <w:rsid w:val="00FE1D12"/>
    <w:rsid w:val="00FE2122"/>
    <w:rsid w:val="00FE26F6"/>
    <w:rsid w:val="00FE2A86"/>
    <w:rsid w:val="00FE2DE2"/>
    <w:rsid w:val="00FE5D72"/>
    <w:rsid w:val="00FF045E"/>
    <w:rsid w:val="00FF296F"/>
    <w:rsid w:val="00FF5610"/>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AA7BDF7C-9CF1-4FE5-B17F-845E68EE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15</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Walmik Vaidya</dc:creator>
  <cp:lastModifiedBy>Walmik Vaidya</cp:lastModifiedBy>
  <cp:revision>263</cp:revision>
  <dcterms:created xsi:type="dcterms:W3CDTF">2021-06-10T06:36:00Z</dcterms:created>
  <dcterms:modified xsi:type="dcterms:W3CDTF">2021-06-17T04:49:00Z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