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6D303F">
      <w:pPr>
        <w:ind w:firstLine="720"/>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proofErr w:type="spellStart"/>
      <w:r w:rsidRPr="00256B74">
        <w:rPr>
          <w:rFonts w:ascii="Arial" w:hAnsi="Arial" w:cs="Arial"/>
        </w:rPr>
        <w:t>FabCo</w:t>
      </w:r>
      <w:proofErr w:type="spellEnd"/>
      <w:r w:rsidRPr="00256B74">
        <w:rPr>
          <w:rFonts w:ascii="Arial" w:hAnsi="Arial" w:cs="Arial"/>
        </w:rPr>
        <w:t xml:space="preserve">, based in Utah, owes </w:t>
      </w:r>
      <w:proofErr w:type="spellStart"/>
      <w:r w:rsidRPr="00256B74">
        <w:rPr>
          <w:rFonts w:ascii="Arial" w:hAnsi="Arial" w:cs="Arial"/>
        </w:rPr>
        <w:t>SupplyCo</w:t>
      </w:r>
      <w:proofErr w:type="spellEnd"/>
      <w:r w:rsidRPr="00256B74">
        <w:rPr>
          <w:rFonts w:ascii="Arial" w:hAnsi="Arial" w:cs="Arial"/>
        </w:rPr>
        <w:t xml:space="preserve">, based in Mexico, </w:t>
      </w:r>
      <w:r>
        <w:rPr>
          <w:rFonts w:ascii="Arial" w:hAnsi="Arial" w:cs="Arial"/>
        </w:rPr>
        <w:t>US</w:t>
      </w:r>
      <w:r w:rsidRPr="00256B74">
        <w:rPr>
          <w:rFonts w:ascii="Arial" w:hAnsi="Arial" w:cs="Arial"/>
        </w:rPr>
        <w:t xml:space="preserve">$10,000 on a past-due invoice.  May </w:t>
      </w:r>
      <w:proofErr w:type="spellStart"/>
      <w:r w:rsidRPr="00256B74">
        <w:rPr>
          <w:rFonts w:ascii="Arial" w:hAnsi="Arial" w:cs="Arial"/>
        </w:rPr>
        <w:t>SupplyCo</w:t>
      </w:r>
      <w:proofErr w:type="spellEnd"/>
      <w:r w:rsidRPr="00256B74">
        <w:rPr>
          <w:rFonts w:ascii="Arial" w:hAnsi="Arial" w:cs="Arial"/>
        </w:rPr>
        <w:t xml:space="preserve"> file an involuntary petition to place </w:t>
      </w:r>
      <w:proofErr w:type="spellStart"/>
      <w:r w:rsidRPr="00256B74">
        <w:rPr>
          <w:rFonts w:ascii="Arial" w:hAnsi="Arial" w:cs="Arial"/>
        </w:rPr>
        <w:t>FabCo</w:t>
      </w:r>
      <w:proofErr w:type="spellEnd"/>
      <w:r w:rsidRPr="00256B74">
        <w:rPr>
          <w:rFonts w:ascii="Arial" w:hAnsi="Arial" w:cs="Arial"/>
        </w:rPr>
        <w:t xml:space="preserve">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w:t>
      </w:r>
      <w:proofErr w:type="spellStart"/>
      <w:r w:rsidRPr="00256B74">
        <w:rPr>
          <w:rFonts w:ascii="Arial" w:hAnsi="Arial" w:cs="Arial"/>
        </w:rPr>
        <w:t>FabCo</w:t>
      </w:r>
      <w:proofErr w:type="spellEnd"/>
      <w:r w:rsidRPr="00256B74">
        <w:rPr>
          <w:rFonts w:ascii="Arial" w:hAnsi="Arial" w:cs="Arial"/>
        </w:rPr>
        <w:t xml:space="preserve">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8D546F" w:rsidRDefault="00256B74" w:rsidP="0093467C">
      <w:pPr>
        <w:pStyle w:val="AODocTxt"/>
        <w:numPr>
          <w:ilvl w:val="0"/>
          <w:numId w:val="15"/>
        </w:numPr>
        <w:spacing w:before="0" w:line="240" w:lineRule="auto"/>
        <w:ind w:left="426"/>
        <w:rPr>
          <w:rFonts w:ascii="Arial" w:hAnsi="Arial" w:cs="Arial"/>
          <w:highlight w:val="yellow"/>
        </w:rPr>
      </w:pPr>
      <w:r w:rsidRPr="008D546F">
        <w:rPr>
          <w:rFonts w:ascii="Arial" w:hAnsi="Arial" w:cs="Arial"/>
          <w:highlight w:val="yellow"/>
        </w:rPr>
        <w:t xml:space="preserve">Yes, if other creditors owed at least </w:t>
      </w:r>
      <w:r w:rsidR="005D6642" w:rsidRPr="008D546F">
        <w:rPr>
          <w:rFonts w:ascii="Arial" w:hAnsi="Arial" w:cs="Arial"/>
          <w:highlight w:val="yellow"/>
        </w:rPr>
        <w:t>US</w:t>
      </w:r>
      <w:r w:rsidRPr="008D546F">
        <w:rPr>
          <w:rFonts w:ascii="Arial" w:hAnsi="Arial" w:cs="Arial"/>
          <w:highlight w:val="yellow"/>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doesn’t know whether </w:t>
      </w:r>
      <w:proofErr w:type="spellStart"/>
      <w:r w:rsidRPr="00256B74">
        <w:rPr>
          <w:rFonts w:ascii="Arial" w:hAnsi="Arial" w:cs="Arial"/>
        </w:rPr>
        <w:t>FabCo</w:t>
      </w:r>
      <w:proofErr w:type="spellEnd"/>
      <w:r w:rsidRPr="00256B74">
        <w:rPr>
          <w:rFonts w:ascii="Arial" w:hAnsi="Arial" w:cs="Arial"/>
        </w:rPr>
        <w:t xml:space="preserve">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1136C3" w:rsidRDefault="0093467C" w:rsidP="0093467C">
      <w:pPr>
        <w:pStyle w:val="AODocTxt"/>
        <w:numPr>
          <w:ilvl w:val="0"/>
          <w:numId w:val="13"/>
        </w:numPr>
        <w:spacing w:before="0" w:line="240" w:lineRule="auto"/>
        <w:ind w:left="426"/>
        <w:rPr>
          <w:rFonts w:ascii="Arial" w:hAnsi="Arial" w:cs="Arial"/>
          <w:highlight w:val="yellow"/>
        </w:rPr>
      </w:pPr>
      <w:r w:rsidRPr="001136C3">
        <w:rPr>
          <w:rFonts w:ascii="Arial" w:hAnsi="Arial" w:cs="Arial"/>
          <w:highlight w:val="yellow"/>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Pr="00986DA1" w:rsidRDefault="0093467C" w:rsidP="0093467C">
      <w:pPr>
        <w:pStyle w:val="AODocTxt"/>
        <w:numPr>
          <w:ilvl w:val="0"/>
          <w:numId w:val="13"/>
        </w:numPr>
        <w:spacing w:before="0" w:line="240" w:lineRule="auto"/>
        <w:ind w:left="426"/>
        <w:rPr>
          <w:rFonts w:ascii="Arial" w:hAnsi="Arial" w:cs="Arial"/>
        </w:rPr>
      </w:pPr>
      <w:r w:rsidRPr="00986DA1">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Pr="00B149D6" w:rsidRDefault="0093467C" w:rsidP="0093467C">
      <w:pPr>
        <w:pStyle w:val="AODocTxt"/>
        <w:numPr>
          <w:ilvl w:val="0"/>
          <w:numId w:val="13"/>
        </w:numPr>
        <w:spacing w:before="0" w:line="240" w:lineRule="auto"/>
        <w:ind w:left="426"/>
        <w:rPr>
          <w:rFonts w:ascii="Arial" w:hAnsi="Arial" w:cs="Arial"/>
        </w:rPr>
      </w:pPr>
      <w:r w:rsidRPr="00B149D6">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8D546F">
        <w:rPr>
          <w:rFonts w:ascii="Arial" w:hAnsi="Arial" w:cs="Arial"/>
          <w:highlight w:val="yellow"/>
        </w:rPr>
        <w:lastRenderedPageBreak/>
        <w:t>A retired employee of XYZ Corp who receives payments from the company’s pension plan</w:t>
      </w:r>
      <w:r w:rsidRPr="004D3B3B">
        <w:rPr>
          <w:rFonts w:ascii="Arial" w:hAnsi="Arial" w:cs="Arial"/>
        </w:rPr>
        <w:t>.</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C55CE3" w:rsidRDefault="00160679" w:rsidP="00A3165E">
      <w:pPr>
        <w:pStyle w:val="AODocTxt"/>
        <w:numPr>
          <w:ilvl w:val="0"/>
          <w:numId w:val="18"/>
        </w:numPr>
        <w:spacing w:before="0" w:line="240" w:lineRule="auto"/>
        <w:ind w:left="426"/>
        <w:rPr>
          <w:rFonts w:ascii="Arial" w:hAnsi="Arial" w:cs="Arial"/>
          <w:highlight w:val="yellow"/>
        </w:rPr>
      </w:pPr>
      <w:r w:rsidRPr="00C55CE3">
        <w:rPr>
          <w:rFonts w:ascii="Arial" w:hAnsi="Arial" w:cs="Arial"/>
          <w:highlight w:val="yellow"/>
        </w:rPr>
        <w:t xml:space="preserve">Both (b) </w:t>
      </w:r>
      <w:r w:rsidR="00A3165E" w:rsidRPr="00C55CE3">
        <w:rPr>
          <w:rFonts w:ascii="Arial" w:hAnsi="Arial" w:cs="Arial"/>
          <w:highlight w:val="yellow"/>
        </w:rPr>
        <w:t>and</w:t>
      </w:r>
      <w:r w:rsidRPr="00C55CE3">
        <w:rPr>
          <w:rFonts w:ascii="Arial" w:hAnsi="Arial" w:cs="Arial"/>
          <w:highlight w:val="yellow"/>
        </w:rPr>
        <w:t xml:space="preserve"> (c)</w:t>
      </w:r>
      <w:r w:rsidR="00A3165E" w:rsidRPr="00C55CE3">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Pr="00B44E15" w:rsidRDefault="006B3571" w:rsidP="006B3571">
      <w:pPr>
        <w:pStyle w:val="AODocTxt"/>
        <w:numPr>
          <w:ilvl w:val="0"/>
          <w:numId w:val="20"/>
        </w:numPr>
        <w:spacing w:before="0" w:line="240" w:lineRule="auto"/>
        <w:ind w:left="426"/>
        <w:rPr>
          <w:rFonts w:ascii="Arial" w:hAnsi="Arial" w:cs="Arial"/>
          <w:highlight w:val="yellow"/>
        </w:rPr>
      </w:pPr>
      <w:r w:rsidRPr="00B44E15">
        <w:rPr>
          <w:rFonts w:ascii="Arial" w:hAnsi="Arial" w:cs="Arial"/>
          <w:highlight w:val="yellow"/>
        </w:rPr>
        <w:t>The contract is a lease of real property.</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B44E15" w:rsidRDefault="006B3571" w:rsidP="006B3571">
      <w:pPr>
        <w:pStyle w:val="AODocTxt"/>
        <w:numPr>
          <w:ilvl w:val="0"/>
          <w:numId w:val="20"/>
        </w:numPr>
        <w:spacing w:before="0" w:line="240" w:lineRule="auto"/>
        <w:ind w:left="426"/>
        <w:rPr>
          <w:rFonts w:ascii="Arial" w:hAnsi="Arial" w:cs="Arial"/>
        </w:rPr>
      </w:pPr>
      <w:r w:rsidRPr="00B44E15">
        <w:rPr>
          <w:rFonts w:ascii="Arial" w:hAnsi="Arial" w:cs="Arial"/>
        </w:rPr>
        <w:t>Both (a) and (c).</w:t>
      </w:r>
    </w:p>
    <w:p w14:paraId="60F6463C" w14:textId="77777777" w:rsidR="006B3571" w:rsidRPr="00B44E15" w:rsidRDefault="006B3571" w:rsidP="006B3571">
      <w:pPr>
        <w:pStyle w:val="AODocTxt"/>
        <w:spacing w:before="0" w:line="240" w:lineRule="auto"/>
        <w:rPr>
          <w:rFonts w:ascii="Arial" w:hAnsi="Arial" w:cs="Arial"/>
        </w:rPr>
      </w:pPr>
    </w:p>
    <w:p w14:paraId="4455106C" w14:textId="4DCAB056" w:rsidR="006B3571" w:rsidRPr="00B44E15" w:rsidRDefault="006B3571" w:rsidP="006B3571">
      <w:pPr>
        <w:pStyle w:val="AODocTxt"/>
        <w:numPr>
          <w:ilvl w:val="0"/>
          <w:numId w:val="20"/>
        </w:numPr>
        <w:spacing w:before="0" w:line="240" w:lineRule="auto"/>
        <w:ind w:left="426"/>
        <w:rPr>
          <w:rFonts w:ascii="Arial" w:hAnsi="Arial" w:cs="Arial"/>
        </w:rPr>
      </w:pPr>
      <w:r w:rsidRPr="00B44E15">
        <w:rPr>
          <w:rFonts w:ascii="Arial" w:hAnsi="Arial" w:cs="Arial"/>
          <w:i/>
          <w:iCs/>
        </w:rPr>
        <w:t>Ipso facto</w:t>
      </w:r>
      <w:r w:rsidRPr="00B44E15">
        <w:rPr>
          <w:rFonts w:ascii="Arial" w:hAnsi="Arial" w:cs="Arial"/>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906429" w:rsidRDefault="002D6789" w:rsidP="002D6789">
      <w:pPr>
        <w:pStyle w:val="AODocTxt"/>
        <w:numPr>
          <w:ilvl w:val="0"/>
          <w:numId w:val="22"/>
        </w:numPr>
        <w:spacing w:before="0" w:line="240" w:lineRule="auto"/>
        <w:ind w:left="426"/>
        <w:rPr>
          <w:rFonts w:ascii="Arial" w:hAnsi="Arial" w:cs="Arial"/>
          <w:highlight w:val="yellow"/>
        </w:rPr>
      </w:pPr>
      <w:r w:rsidRPr="00906429">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w:t>
      </w:r>
      <w:proofErr w:type="spellStart"/>
      <w:r w:rsidRPr="002D78C5">
        <w:rPr>
          <w:rFonts w:ascii="Arial" w:hAnsi="Arial" w:cs="Arial"/>
        </w:rPr>
        <w:t>cramdown</w:t>
      </w:r>
      <w:proofErr w:type="spellEnd"/>
      <w:r w:rsidRPr="002D78C5">
        <w:rPr>
          <w:rFonts w:ascii="Arial" w:hAnsi="Arial" w:cs="Arial"/>
        </w:rPr>
        <w:t>”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115238" w:rsidRDefault="002D78C5" w:rsidP="002D78C5">
      <w:pPr>
        <w:pStyle w:val="AODocTxt"/>
        <w:numPr>
          <w:ilvl w:val="0"/>
          <w:numId w:val="24"/>
        </w:numPr>
        <w:spacing w:before="0" w:line="240" w:lineRule="auto"/>
        <w:ind w:left="426"/>
        <w:rPr>
          <w:rFonts w:ascii="Arial" w:hAnsi="Arial" w:cs="Arial"/>
          <w:highlight w:val="yellow"/>
        </w:rPr>
      </w:pPr>
      <w:r w:rsidRPr="00115238">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8247AB" w:rsidRDefault="006245E3" w:rsidP="006245E3">
      <w:pPr>
        <w:pStyle w:val="AODocTxt"/>
        <w:numPr>
          <w:ilvl w:val="0"/>
          <w:numId w:val="26"/>
        </w:numPr>
        <w:spacing w:before="0" w:line="240" w:lineRule="auto"/>
        <w:ind w:left="426"/>
        <w:rPr>
          <w:rFonts w:ascii="Arial" w:hAnsi="Arial" w:cs="Arial"/>
          <w:highlight w:val="yellow"/>
        </w:rPr>
      </w:pPr>
      <w:r w:rsidRPr="008247AB">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23230D" w:rsidRDefault="000C4C5B" w:rsidP="000C4C5B">
      <w:pPr>
        <w:pStyle w:val="AODocTxt"/>
        <w:numPr>
          <w:ilvl w:val="0"/>
          <w:numId w:val="28"/>
        </w:numPr>
        <w:spacing w:before="0" w:line="240" w:lineRule="auto"/>
        <w:ind w:left="426"/>
        <w:rPr>
          <w:rFonts w:ascii="Arial" w:hAnsi="Arial" w:cs="Arial"/>
          <w:highlight w:val="yellow"/>
        </w:rPr>
      </w:pPr>
      <w:r w:rsidRPr="0023230D">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2715FB99" w:rsidR="00DF158F" w:rsidRPr="00427ABB" w:rsidRDefault="00DF158F" w:rsidP="00DF158F">
      <w:pPr>
        <w:pStyle w:val="AODocTxt"/>
        <w:numPr>
          <w:ilvl w:val="0"/>
          <w:numId w:val="30"/>
        </w:numPr>
        <w:spacing w:before="0" w:line="240" w:lineRule="auto"/>
        <w:ind w:left="426"/>
        <w:rPr>
          <w:rFonts w:ascii="Arial" w:hAnsi="Arial" w:cs="Arial"/>
          <w:highlight w:val="yellow"/>
        </w:rPr>
      </w:pPr>
      <w:r w:rsidRPr="00427ABB">
        <w:rPr>
          <w:rFonts w:ascii="Arial" w:hAnsi="Arial" w:cs="Arial"/>
          <w:highlight w:val="yellow"/>
        </w:rPr>
        <w:t xml:space="preserve">Prosecution of avoidance </w:t>
      </w:r>
      <w:r w:rsidR="00427ABB" w:rsidRPr="00427ABB">
        <w:rPr>
          <w:rFonts w:ascii="Arial" w:hAnsi="Arial" w:cs="Arial"/>
          <w:highlight w:val="yellow"/>
        </w:rPr>
        <w:t>actions pursuant to section 544</w:t>
      </w:r>
      <w:r w:rsidRPr="00427ABB">
        <w:rPr>
          <w:rFonts w:ascii="Arial" w:hAnsi="Arial" w:cs="Arial"/>
          <w:highlight w:val="yellow"/>
        </w:rPr>
        <w:t>.</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1F20CE6A" w14:textId="09302048" w:rsidR="004D3B3B" w:rsidRPr="002A1367" w:rsidRDefault="002A1367" w:rsidP="002A37BB">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5CBF962B" w14:textId="4264507D" w:rsidR="002A1367" w:rsidRDefault="002A1367" w:rsidP="002A1367">
      <w:pPr>
        <w:jc w:val="both"/>
        <w:rPr>
          <w:rFonts w:ascii="Arial" w:hAnsi="Arial" w:cs="Arial"/>
          <w:sz w:val="22"/>
          <w:szCs w:val="22"/>
          <w:lang w:val="en-GB"/>
        </w:rPr>
      </w:pPr>
      <w:r w:rsidRPr="002A1367">
        <w:rPr>
          <w:rFonts w:ascii="Arial" w:hAnsi="Arial" w:cs="Arial"/>
          <w:sz w:val="22"/>
          <w:szCs w:val="22"/>
          <w:lang w:val="en-GB"/>
        </w:rPr>
        <w:t>The two alternative qualifications</w:t>
      </w:r>
      <w:r>
        <w:rPr>
          <w:rFonts w:ascii="Arial" w:hAnsi="Arial" w:cs="Arial"/>
          <w:sz w:val="22"/>
          <w:szCs w:val="22"/>
          <w:lang w:val="en-GB"/>
        </w:rPr>
        <w:t xml:space="preserve"> </w:t>
      </w:r>
      <w:r w:rsidRPr="002A1367">
        <w:rPr>
          <w:rFonts w:ascii="Arial" w:hAnsi="Arial" w:cs="Arial"/>
          <w:sz w:val="22"/>
          <w:szCs w:val="22"/>
          <w:lang w:val="en-GB"/>
        </w:rPr>
        <w:t>render</w:t>
      </w:r>
      <w:r>
        <w:rPr>
          <w:rFonts w:ascii="Arial" w:hAnsi="Arial" w:cs="Arial"/>
          <w:sz w:val="22"/>
          <w:szCs w:val="22"/>
          <w:lang w:val="en-GB"/>
        </w:rPr>
        <w:t>ing</w:t>
      </w:r>
      <w:r w:rsidRPr="002A1367">
        <w:rPr>
          <w:rFonts w:ascii="Arial" w:hAnsi="Arial" w:cs="Arial"/>
          <w:sz w:val="22"/>
          <w:szCs w:val="22"/>
          <w:lang w:val="en-GB"/>
        </w:rPr>
        <w:t xml:space="preserve"> a corporation eligible to be a debtor in a US chapter 7 or 11 proceeding</w:t>
      </w:r>
      <w:r>
        <w:rPr>
          <w:rFonts w:ascii="Arial" w:hAnsi="Arial" w:cs="Arial"/>
          <w:sz w:val="22"/>
          <w:szCs w:val="22"/>
          <w:lang w:val="en-GB"/>
        </w:rPr>
        <w:t xml:space="preserve"> are as follows:</w:t>
      </w:r>
    </w:p>
    <w:p w14:paraId="5C83ABD7" w14:textId="77777777" w:rsidR="002A1367" w:rsidRDefault="002A1367" w:rsidP="002A1367">
      <w:pPr>
        <w:jc w:val="both"/>
        <w:rPr>
          <w:rFonts w:ascii="Arial" w:hAnsi="Arial" w:cs="Arial"/>
          <w:sz w:val="22"/>
          <w:szCs w:val="22"/>
          <w:lang w:val="en-GB"/>
        </w:rPr>
      </w:pPr>
    </w:p>
    <w:p w14:paraId="1D70AF24" w14:textId="3E3A70E8" w:rsidR="002A1367" w:rsidRDefault="002A1367" w:rsidP="002A1367">
      <w:pPr>
        <w:pStyle w:val="ListParagraph"/>
        <w:numPr>
          <w:ilvl w:val="0"/>
          <w:numId w:val="34"/>
        </w:numPr>
        <w:jc w:val="both"/>
        <w:rPr>
          <w:rFonts w:ascii="Arial" w:hAnsi="Arial" w:cs="Arial"/>
          <w:sz w:val="22"/>
          <w:szCs w:val="22"/>
          <w:lang w:val="en-GB"/>
        </w:rPr>
      </w:pPr>
      <w:r w:rsidRPr="002A1367">
        <w:rPr>
          <w:rFonts w:ascii="Arial" w:hAnsi="Arial" w:cs="Arial"/>
          <w:sz w:val="22"/>
          <w:szCs w:val="22"/>
          <w:lang w:val="en-GB"/>
        </w:rPr>
        <w:t>Presence of the debtors in the United States; or</w:t>
      </w:r>
    </w:p>
    <w:p w14:paraId="44B0297B" w14:textId="3732364A" w:rsidR="002A1367" w:rsidRPr="002A1367" w:rsidRDefault="002A1367" w:rsidP="002A1367">
      <w:pPr>
        <w:pStyle w:val="ListParagraph"/>
        <w:numPr>
          <w:ilvl w:val="0"/>
          <w:numId w:val="34"/>
        </w:numPr>
        <w:jc w:val="both"/>
        <w:rPr>
          <w:rFonts w:ascii="Arial" w:hAnsi="Arial" w:cs="Arial"/>
          <w:sz w:val="22"/>
          <w:szCs w:val="22"/>
          <w:lang w:val="en-GB"/>
        </w:rPr>
      </w:pPr>
      <w:r>
        <w:rPr>
          <w:rFonts w:ascii="Arial" w:hAnsi="Arial" w:cs="Arial"/>
          <w:sz w:val="22"/>
          <w:szCs w:val="22"/>
          <w:lang w:val="en-GB"/>
        </w:rPr>
        <w:t>Presence of the place of business or any of its assets in the United States</w:t>
      </w:r>
    </w:p>
    <w:p w14:paraId="3CF0E8A1" w14:textId="77777777" w:rsidR="002A1367" w:rsidRDefault="002A1367"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49D23670" w14:textId="77777777" w:rsidR="007F3374" w:rsidRPr="002A1367" w:rsidRDefault="007F3374" w:rsidP="007F3374">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292B2588" w14:textId="77777777" w:rsidR="00AA7BE3" w:rsidRDefault="00AA7BE3" w:rsidP="00717C2C">
      <w:pPr>
        <w:jc w:val="both"/>
        <w:rPr>
          <w:rFonts w:ascii="Arial" w:hAnsi="Arial" w:cs="Arial"/>
          <w:sz w:val="22"/>
          <w:szCs w:val="22"/>
        </w:rPr>
      </w:pPr>
    </w:p>
    <w:p w14:paraId="207F51B0" w14:textId="62240A8E" w:rsidR="007F3374" w:rsidRDefault="00627025" w:rsidP="00717C2C">
      <w:pPr>
        <w:jc w:val="both"/>
        <w:rPr>
          <w:rFonts w:ascii="Arial" w:hAnsi="Arial" w:cs="Arial"/>
          <w:sz w:val="22"/>
          <w:szCs w:val="22"/>
        </w:rPr>
      </w:pPr>
      <w:r>
        <w:rPr>
          <w:rFonts w:ascii="Arial" w:hAnsi="Arial" w:cs="Arial"/>
          <w:sz w:val="22"/>
          <w:szCs w:val="22"/>
        </w:rPr>
        <w:t>A</w:t>
      </w:r>
      <w:r w:rsidR="00FB18B0">
        <w:rPr>
          <w:rFonts w:ascii="Arial" w:hAnsi="Arial" w:cs="Arial"/>
          <w:sz w:val="22"/>
          <w:szCs w:val="22"/>
        </w:rPr>
        <w:t xml:space="preserve">n executory contract is a </w:t>
      </w:r>
      <w:r>
        <w:rPr>
          <w:rFonts w:ascii="Arial" w:hAnsi="Arial" w:cs="Arial"/>
          <w:sz w:val="22"/>
          <w:szCs w:val="22"/>
        </w:rPr>
        <w:t xml:space="preserve">contract under which unperformed obligations remain on </w:t>
      </w:r>
      <w:r w:rsidR="00293A71">
        <w:rPr>
          <w:rFonts w:ascii="Arial" w:hAnsi="Arial" w:cs="Arial"/>
          <w:sz w:val="22"/>
          <w:szCs w:val="22"/>
        </w:rPr>
        <w:t xml:space="preserve">both sides </w:t>
      </w:r>
      <w:r w:rsidR="00286F94">
        <w:rPr>
          <w:rFonts w:ascii="Arial" w:hAnsi="Arial" w:cs="Arial"/>
          <w:sz w:val="22"/>
          <w:szCs w:val="22"/>
        </w:rPr>
        <w:t xml:space="preserve">or </w:t>
      </w:r>
      <w:r w:rsidR="00293A71">
        <w:rPr>
          <w:rFonts w:ascii="Arial" w:hAnsi="Arial" w:cs="Arial"/>
          <w:sz w:val="22"/>
          <w:szCs w:val="22"/>
        </w:rPr>
        <w:t xml:space="preserve">it is </w:t>
      </w:r>
      <w:r>
        <w:rPr>
          <w:rFonts w:ascii="Arial" w:hAnsi="Arial" w:cs="Arial"/>
          <w:sz w:val="22"/>
          <w:szCs w:val="22"/>
        </w:rPr>
        <w:t>a situation where both parties have continuing obligations to perform</w:t>
      </w:r>
      <w:r w:rsidR="000F279C">
        <w:rPr>
          <w:rFonts w:ascii="Arial" w:hAnsi="Arial" w:cs="Arial"/>
          <w:sz w:val="22"/>
          <w:szCs w:val="22"/>
        </w:rPr>
        <w:t xml:space="preserve"> at the time of the bankruptcy proceedings</w:t>
      </w:r>
      <w:r w:rsidR="00FB18B0">
        <w:rPr>
          <w:rFonts w:ascii="Arial" w:hAnsi="Arial" w:cs="Arial"/>
          <w:sz w:val="22"/>
          <w:szCs w:val="22"/>
        </w:rPr>
        <w:t>/petition</w:t>
      </w:r>
      <w:r w:rsidR="00131E63">
        <w:rPr>
          <w:rFonts w:ascii="Arial" w:hAnsi="Arial" w:cs="Arial"/>
          <w:sz w:val="22"/>
          <w:szCs w:val="22"/>
        </w:rPr>
        <w:t>.</w:t>
      </w:r>
    </w:p>
    <w:p w14:paraId="4F6D8F19" w14:textId="77777777" w:rsidR="007F3374" w:rsidRPr="00717C2C" w:rsidRDefault="007F3374"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66195D62" w14:textId="77777777" w:rsidR="00185887" w:rsidRPr="002A1367" w:rsidRDefault="00185887" w:rsidP="00185887">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33312570" w14:textId="6331158C" w:rsidR="00B31768" w:rsidRDefault="00286F94" w:rsidP="00286F94">
      <w:pPr>
        <w:pStyle w:val="AODocTxt"/>
        <w:spacing w:before="0" w:line="240" w:lineRule="auto"/>
        <w:rPr>
          <w:rFonts w:ascii="Arial" w:hAnsi="Arial" w:cs="Arial"/>
        </w:rPr>
      </w:pPr>
      <w:r w:rsidRPr="00286F94">
        <w:rPr>
          <w:rFonts w:ascii="Arial" w:hAnsi="Arial" w:cs="Arial"/>
        </w:rPr>
        <w:t>Primi</w:t>
      </w:r>
      <w:r>
        <w:rPr>
          <w:rFonts w:ascii="Arial" w:hAnsi="Arial" w:cs="Arial"/>
        </w:rPr>
        <w:t xml:space="preserve">ng lien refers to a situation where the seniority position of a lender with respect to a secured loan is </w:t>
      </w:r>
      <w:r w:rsidR="00C57F0C">
        <w:rPr>
          <w:rFonts w:ascii="Arial" w:hAnsi="Arial" w:cs="Arial"/>
        </w:rPr>
        <w:t>superseded</w:t>
      </w:r>
      <w:r>
        <w:rPr>
          <w:rFonts w:ascii="Arial" w:hAnsi="Arial" w:cs="Arial"/>
        </w:rPr>
        <w:t xml:space="preserve"> by another lender.</w:t>
      </w:r>
      <w:r w:rsidR="00C57F0C">
        <w:rPr>
          <w:rFonts w:ascii="Arial" w:hAnsi="Arial" w:cs="Arial"/>
        </w:rPr>
        <w:t xml:space="preserve"> Lenders are </w:t>
      </w:r>
      <w:r w:rsidR="001B5AFF">
        <w:rPr>
          <w:rFonts w:ascii="Arial" w:hAnsi="Arial" w:cs="Arial"/>
        </w:rPr>
        <w:t>generally primed where the debtor is in financial distress and this affects the established priorities of existing lenders, causing old lenders</w:t>
      </w:r>
      <w:r w:rsidR="00B31768">
        <w:rPr>
          <w:rFonts w:ascii="Arial" w:hAnsi="Arial" w:cs="Arial"/>
        </w:rPr>
        <w:t xml:space="preserve"> (pre-petition)</w:t>
      </w:r>
      <w:r w:rsidR="001B5AFF">
        <w:rPr>
          <w:rFonts w:ascii="Arial" w:hAnsi="Arial" w:cs="Arial"/>
        </w:rPr>
        <w:t xml:space="preserve"> to lose</w:t>
      </w:r>
      <w:r w:rsidR="00980E78">
        <w:rPr>
          <w:rFonts w:ascii="Arial" w:hAnsi="Arial" w:cs="Arial"/>
        </w:rPr>
        <w:t xml:space="preserve"> ground relative to the Debtor i</w:t>
      </w:r>
      <w:r w:rsidR="001B5AFF">
        <w:rPr>
          <w:rFonts w:ascii="Arial" w:hAnsi="Arial" w:cs="Arial"/>
        </w:rPr>
        <w:t>n Possession (DIP) financier.</w:t>
      </w:r>
    </w:p>
    <w:p w14:paraId="31140AC2" w14:textId="77777777" w:rsidR="00605522" w:rsidRDefault="00605522" w:rsidP="00286F94">
      <w:pPr>
        <w:pStyle w:val="AODocTxt"/>
        <w:spacing w:before="0" w:line="240" w:lineRule="auto"/>
        <w:rPr>
          <w:rFonts w:ascii="Arial" w:hAnsi="Arial" w:cs="Arial"/>
        </w:rPr>
      </w:pPr>
    </w:p>
    <w:p w14:paraId="68ED8240" w14:textId="21F518A3" w:rsidR="00605522" w:rsidRDefault="005971E6" w:rsidP="00286F94">
      <w:pPr>
        <w:pStyle w:val="AODocTxt"/>
        <w:spacing w:before="0" w:line="240" w:lineRule="auto"/>
        <w:rPr>
          <w:rFonts w:ascii="Arial" w:hAnsi="Arial" w:cs="Arial"/>
        </w:rPr>
      </w:pPr>
      <w:r>
        <w:rPr>
          <w:rFonts w:ascii="Arial" w:hAnsi="Arial" w:cs="Arial"/>
        </w:rPr>
        <w:t>Requirements for securing p</w:t>
      </w:r>
      <w:r w:rsidR="00230996">
        <w:rPr>
          <w:rFonts w:ascii="Arial" w:hAnsi="Arial" w:cs="Arial"/>
        </w:rPr>
        <w:t xml:space="preserve">riming lien for </w:t>
      </w:r>
      <w:r w:rsidR="00605522">
        <w:rPr>
          <w:rFonts w:ascii="Arial" w:hAnsi="Arial" w:cs="Arial"/>
        </w:rPr>
        <w:t>DIP financing:</w:t>
      </w:r>
    </w:p>
    <w:p w14:paraId="7AAABFEA" w14:textId="4A3DFE1D" w:rsidR="00605522" w:rsidRDefault="00605522" w:rsidP="00605522">
      <w:pPr>
        <w:pStyle w:val="AODocTxt"/>
        <w:numPr>
          <w:ilvl w:val="0"/>
          <w:numId w:val="35"/>
        </w:numPr>
        <w:spacing w:before="0" w:line="240" w:lineRule="auto"/>
        <w:rPr>
          <w:rFonts w:ascii="Arial" w:hAnsi="Arial" w:cs="Arial"/>
        </w:rPr>
      </w:pPr>
      <w:r>
        <w:rPr>
          <w:rFonts w:ascii="Arial" w:hAnsi="Arial" w:cs="Arial"/>
        </w:rPr>
        <w:t xml:space="preserve">Debtor </w:t>
      </w:r>
      <w:r w:rsidR="00851F44">
        <w:rPr>
          <w:rFonts w:ascii="Arial" w:hAnsi="Arial" w:cs="Arial"/>
        </w:rPr>
        <w:t>must demonstrate</w:t>
      </w:r>
      <w:r>
        <w:rPr>
          <w:rFonts w:ascii="Arial" w:hAnsi="Arial" w:cs="Arial"/>
        </w:rPr>
        <w:t xml:space="preserve"> that unsecured financing cannot be obtained by it in the ordinary course of business</w:t>
      </w:r>
      <w:r w:rsidR="00851F44" w:rsidRPr="00851F44">
        <w:rPr>
          <w:rFonts w:ascii="Arial" w:hAnsi="Arial" w:cs="Arial"/>
        </w:rPr>
        <w:t xml:space="preserve"> </w:t>
      </w:r>
      <w:r w:rsidR="00851F44">
        <w:rPr>
          <w:rFonts w:ascii="Arial" w:hAnsi="Arial" w:cs="Arial"/>
        </w:rPr>
        <w:t>to the bankruptcy court</w:t>
      </w:r>
    </w:p>
    <w:p w14:paraId="74088825" w14:textId="41B42C46" w:rsidR="00CC0254" w:rsidRDefault="00CC0254" w:rsidP="00605522">
      <w:pPr>
        <w:pStyle w:val="AODocTxt"/>
        <w:numPr>
          <w:ilvl w:val="0"/>
          <w:numId w:val="35"/>
        </w:numPr>
        <w:spacing w:before="0" w:line="240" w:lineRule="auto"/>
        <w:rPr>
          <w:rFonts w:ascii="Arial" w:hAnsi="Arial" w:cs="Arial"/>
        </w:rPr>
      </w:pPr>
      <w:r>
        <w:rPr>
          <w:rFonts w:ascii="Arial" w:hAnsi="Arial" w:cs="Arial"/>
        </w:rPr>
        <w:t xml:space="preserve">Before granting priming lien, </w:t>
      </w:r>
      <w:r w:rsidR="00851F44">
        <w:rPr>
          <w:rFonts w:ascii="Arial" w:hAnsi="Arial" w:cs="Arial"/>
        </w:rPr>
        <w:t>c</w:t>
      </w:r>
      <w:r>
        <w:rPr>
          <w:rFonts w:ascii="Arial" w:hAnsi="Arial" w:cs="Arial"/>
        </w:rPr>
        <w:t xml:space="preserve">onsent from pre-petition secured lenders must be obtained </w:t>
      </w:r>
    </w:p>
    <w:p w14:paraId="2060CFF2" w14:textId="7870942C" w:rsidR="00605522" w:rsidRDefault="00C43EF0" w:rsidP="00605522">
      <w:pPr>
        <w:pStyle w:val="AODocTxt"/>
        <w:numPr>
          <w:ilvl w:val="0"/>
          <w:numId w:val="35"/>
        </w:numPr>
        <w:spacing w:before="0" w:line="240" w:lineRule="auto"/>
        <w:rPr>
          <w:rFonts w:ascii="Arial" w:hAnsi="Arial" w:cs="Arial"/>
        </w:rPr>
      </w:pPr>
      <w:r>
        <w:rPr>
          <w:rFonts w:ascii="Arial" w:hAnsi="Arial" w:cs="Arial"/>
        </w:rPr>
        <w:t xml:space="preserve">The debtor must demonstrate that the interest of the secured creditors </w:t>
      </w:r>
      <w:r w:rsidR="00CC0254">
        <w:rPr>
          <w:rFonts w:ascii="Arial" w:hAnsi="Arial" w:cs="Arial"/>
        </w:rPr>
        <w:t xml:space="preserve">being </w:t>
      </w:r>
      <w:r>
        <w:rPr>
          <w:rFonts w:ascii="Arial" w:hAnsi="Arial" w:cs="Arial"/>
        </w:rPr>
        <w:t>primed is adequately protected</w:t>
      </w:r>
      <w:r w:rsidR="00B567CA">
        <w:rPr>
          <w:rFonts w:ascii="Arial" w:hAnsi="Arial" w:cs="Arial"/>
        </w:rPr>
        <w:t xml:space="preserve"> as provided by u/s 361(e)</w:t>
      </w:r>
      <w:r w:rsidR="00D66B0E">
        <w:rPr>
          <w:rFonts w:ascii="Arial" w:hAnsi="Arial" w:cs="Arial"/>
        </w:rPr>
        <w:t xml:space="preserve"> of the US Bankruptcy Code</w:t>
      </w:r>
    </w:p>
    <w:p w14:paraId="6C377D7C" w14:textId="592C3FC5" w:rsidR="00B31768" w:rsidRPr="00675A03" w:rsidRDefault="005971E6" w:rsidP="0097448D">
      <w:pPr>
        <w:pStyle w:val="AODocTxt"/>
        <w:numPr>
          <w:ilvl w:val="0"/>
          <w:numId w:val="35"/>
        </w:numPr>
        <w:spacing w:before="0" w:line="240" w:lineRule="auto"/>
        <w:rPr>
          <w:rFonts w:ascii="Arial" w:hAnsi="Arial" w:cs="Arial"/>
        </w:rPr>
      </w:pPr>
      <w:r w:rsidRPr="00675A03">
        <w:rPr>
          <w:rFonts w:ascii="Arial" w:hAnsi="Arial" w:cs="Arial"/>
        </w:rPr>
        <w:t>In addition</w:t>
      </w:r>
      <w:r w:rsidR="00E9313A" w:rsidRPr="00675A03">
        <w:rPr>
          <w:rFonts w:ascii="Arial" w:hAnsi="Arial" w:cs="Arial"/>
        </w:rPr>
        <w:t xml:space="preserve"> to the above</w:t>
      </w:r>
      <w:r w:rsidRPr="00675A03">
        <w:rPr>
          <w:rFonts w:ascii="Arial" w:hAnsi="Arial" w:cs="Arial"/>
        </w:rPr>
        <w:t>, DIP financier</w:t>
      </w:r>
      <w:r w:rsidR="00E9313A" w:rsidRPr="00675A03">
        <w:rPr>
          <w:rFonts w:ascii="Arial" w:hAnsi="Arial" w:cs="Arial"/>
        </w:rPr>
        <w:t xml:space="preserve"> will require super priority claim status</w:t>
      </w:r>
      <w:r w:rsidRPr="00675A03">
        <w:rPr>
          <w:rFonts w:ascii="Arial" w:hAnsi="Arial" w:cs="Arial"/>
        </w:rPr>
        <w:t xml:space="preserve"> </w:t>
      </w:r>
      <w:r w:rsidR="00E9313A" w:rsidRPr="00675A03">
        <w:rPr>
          <w:rFonts w:ascii="Arial" w:hAnsi="Arial" w:cs="Arial"/>
        </w:rPr>
        <w:t>above all other claims</w:t>
      </w:r>
    </w:p>
    <w:p w14:paraId="5E35989A" w14:textId="05D13C66" w:rsidR="00515810" w:rsidRPr="00515810" w:rsidRDefault="001B5AFF" w:rsidP="00F7169C">
      <w:pPr>
        <w:pStyle w:val="AODocTxt"/>
        <w:spacing w:before="0" w:line="240" w:lineRule="auto"/>
        <w:rPr>
          <w:rFonts w:ascii="Arial" w:hAnsi="Arial" w:cs="Arial"/>
          <w:color w:val="7B7B7B" w:themeColor="accent3" w:themeShade="BF"/>
          <w:lang w:val="en-GB"/>
        </w:rPr>
      </w:pPr>
      <w:r>
        <w:rPr>
          <w:rFonts w:ascii="Arial" w:hAnsi="Arial" w:cs="Arial"/>
        </w:rPr>
        <w:t xml:space="preserve"> </w:t>
      </w: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lastRenderedPageBreak/>
        <w:t xml:space="preserve">In voting on a plan of reorganization, which </w:t>
      </w:r>
      <w:proofErr w:type="gramStart"/>
      <w:r w:rsidRPr="00777C53">
        <w:rPr>
          <w:rFonts w:ascii="Arial" w:hAnsi="Arial" w:cs="Arial"/>
        </w:rPr>
        <w:t>class(</w:t>
      </w:r>
      <w:proofErr w:type="gramEnd"/>
      <w:r w:rsidRPr="00777C53">
        <w:rPr>
          <w:rFonts w:ascii="Arial" w:hAnsi="Arial" w:cs="Arial"/>
        </w:rPr>
        <w:t>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Default="009954B2" w:rsidP="00777C53">
      <w:pPr>
        <w:jc w:val="both"/>
        <w:rPr>
          <w:rFonts w:ascii="Arial" w:hAnsi="Arial" w:cs="Arial"/>
          <w:bCs/>
          <w:sz w:val="22"/>
          <w:szCs w:val="22"/>
          <w:lang w:val="en-GB"/>
        </w:rPr>
      </w:pPr>
    </w:p>
    <w:p w14:paraId="236A7326" w14:textId="77777777" w:rsidR="00B229DA" w:rsidRPr="002A1367" w:rsidRDefault="00B229DA" w:rsidP="00B229DA">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614F4573" w14:textId="77777777" w:rsidR="00E26E10" w:rsidRDefault="00E26E10" w:rsidP="00E26E10">
      <w:pPr>
        <w:jc w:val="both"/>
        <w:rPr>
          <w:rFonts w:ascii="Arial" w:hAnsi="Arial" w:cs="Arial"/>
          <w:color w:val="7B7B7B" w:themeColor="accent3" w:themeShade="BF"/>
          <w:sz w:val="22"/>
          <w:szCs w:val="22"/>
          <w:lang w:val="en-GB"/>
        </w:rPr>
      </w:pPr>
    </w:p>
    <w:p w14:paraId="780B5486" w14:textId="56BB0CD2" w:rsidR="00E36206" w:rsidRPr="00FA4B8B" w:rsidRDefault="00E36206" w:rsidP="00E26E10">
      <w:pPr>
        <w:jc w:val="both"/>
        <w:rPr>
          <w:rFonts w:ascii="Arial" w:hAnsi="Arial" w:cs="Arial"/>
          <w:sz w:val="22"/>
        </w:rPr>
      </w:pPr>
      <w:r w:rsidRPr="00FA4B8B">
        <w:rPr>
          <w:rFonts w:ascii="Arial" w:hAnsi="Arial" w:cs="Arial"/>
          <w:sz w:val="22"/>
        </w:rPr>
        <w:t>(</w:t>
      </w:r>
      <w:proofErr w:type="spellStart"/>
      <w:r w:rsidRPr="00FA4B8B">
        <w:rPr>
          <w:rFonts w:ascii="Arial" w:hAnsi="Arial" w:cs="Arial"/>
          <w:sz w:val="22"/>
        </w:rPr>
        <w:t>i</w:t>
      </w:r>
      <w:proofErr w:type="spellEnd"/>
      <w:r w:rsidRPr="00FA4B8B">
        <w:rPr>
          <w:rFonts w:ascii="Arial" w:hAnsi="Arial" w:cs="Arial"/>
          <w:sz w:val="22"/>
        </w:rPr>
        <w:t xml:space="preserve">) </w:t>
      </w:r>
      <w:r w:rsidR="00825794" w:rsidRPr="00FA4B8B">
        <w:rPr>
          <w:rFonts w:ascii="Arial" w:hAnsi="Arial" w:cs="Arial"/>
          <w:sz w:val="22"/>
        </w:rPr>
        <w:t>Deemed</w:t>
      </w:r>
      <w:r w:rsidRPr="00FA4B8B">
        <w:rPr>
          <w:rFonts w:ascii="Arial" w:hAnsi="Arial" w:cs="Arial"/>
          <w:sz w:val="22"/>
        </w:rPr>
        <w:t xml:space="preserve"> to accept the plan – Unimpaired class of creditors</w:t>
      </w:r>
    </w:p>
    <w:p w14:paraId="28B50C31" w14:textId="330A39EB" w:rsidR="00E36206" w:rsidRPr="00FA4B8B" w:rsidRDefault="00E36206" w:rsidP="00E26E10">
      <w:pPr>
        <w:jc w:val="both"/>
        <w:rPr>
          <w:rFonts w:ascii="Arial" w:hAnsi="Arial" w:cs="Arial"/>
          <w:sz w:val="22"/>
        </w:rPr>
      </w:pPr>
      <w:r w:rsidRPr="00FA4B8B">
        <w:rPr>
          <w:rFonts w:ascii="Arial" w:hAnsi="Arial" w:cs="Arial"/>
          <w:sz w:val="22"/>
        </w:rPr>
        <w:t xml:space="preserve">(ii) </w:t>
      </w:r>
      <w:r w:rsidR="00825794" w:rsidRPr="00FA4B8B">
        <w:rPr>
          <w:rFonts w:ascii="Arial" w:hAnsi="Arial" w:cs="Arial"/>
          <w:sz w:val="22"/>
        </w:rPr>
        <w:t>Deemed</w:t>
      </w:r>
      <w:r w:rsidRPr="00FA4B8B">
        <w:rPr>
          <w:rFonts w:ascii="Arial" w:hAnsi="Arial" w:cs="Arial"/>
          <w:sz w:val="22"/>
        </w:rPr>
        <w:t xml:space="preserve"> to reject the plan and – A class that receives nothing or is the impaired class of creditors</w:t>
      </w:r>
    </w:p>
    <w:p w14:paraId="30686B5B" w14:textId="4557C9D7" w:rsidR="00B229DA" w:rsidRPr="00FA4B8B" w:rsidRDefault="00E36206" w:rsidP="00E26E10">
      <w:pPr>
        <w:jc w:val="both"/>
        <w:rPr>
          <w:rFonts w:ascii="Arial" w:hAnsi="Arial" w:cs="Arial"/>
          <w:color w:val="7B7B7B" w:themeColor="accent3" w:themeShade="BF"/>
          <w:sz w:val="24"/>
          <w:szCs w:val="22"/>
          <w:lang w:val="en-GB"/>
        </w:rPr>
      </w:pPr>
      <w:r w:rsidRPr="00FA4B8B">
        <w:rPr>
          <w:rFonts w:ascii="Arial" w:hAnsi="Arial" w:cs="Arial"/>
          <w:sz w:val="22"/>
        </w:rPr>
        <w:t xml:space="preserve">(iii) </w:t>
      </w:r>
      <w:r w:rsidR="00825794" w:rsidRPr="00FA4B8B">
        <w:rPr>
          <w:rFonts w:ascii="Arial" w:hAnsi="Arial" w:cs="Arial"/>
          <w:sz w:val="22"/>
        </w:rPr>
        <w:t>Permitted</w:t>
      </w:r>
      <w:r w:rsidRPr="00FA4B8B">
        <w:rPr>
          <w:rFonts w:ascii="Arial" w:hAnsi="Arial" w:cs="Arial"/>
          <w:sz w:val="22"/>
        </w:rPr>
        <w:t xml:space="preserve"> to vote on the plan – Impaired class of creditors</w:t>
      </w:r>
    </w:p>
    <w:p w14:paraId="45D0465B" w14:textId="77777777" w:rsidR="00B229DA" w:rsidRDefault="00B229DA" w:rsidP="00E26E10">
      <w:pPr>
        <w:jc w:val="both"/>
        <w:rPr>
          <w:rFonts w:ascii="Arial" w:hAnsi="Arial" w:cs="Arial"/>
          <w:color w:val="7B7B7B" w:themeColor="accent3" w:themeShade="BF"/>
          <w:sz w:val="22"/>
          <w:szCs w:val="22"/>
          <w:lang w:val="en-GB"/>
        </w:rPr>
      </w:pPr>
    </w:p>
    <w:p w14:paraId="7624554B" w14:textId="0CBCFC2D" w:rsidR="00C27321" w:rsidRDefault="00C27321" w:rsidP="00E26E10">
      <w:pPr>
        <w:jc w:val="both"/>
        <w:rPr>
          <w:rFonts w:ascii="Arial" w:hAnsi="Arial" w:cs="Arial"/>
          <w:bCs/>
          <w:sz w:val="22"/>
          <w:szCs w:val="22"/>
          <w:lang w:val="en-GB"/>
        </w:rPr>
      </w:pPr>
      <w:r>
        <w:rPr>
          <w:rFonts w:ascii="Arial" w:hAnsi="Arial" w:cs="Arial"/>
          <w:bCs/>
          <w:sz w:val="22"/>
          <w:szCs w:val="22"/>
          <w:lang w:val="en-GB"/>
        </w:rPr>
        <w:t>V</w:t>
      </w:r>
      <w:r w:rsidRPr="00C27321">
        <w:rPr>
          <w:rFonts w:ascii="Arial" w:hAnsi="Arial" w:cs="Arial"/>
          <w:bCs/>
          <w:sz w:val="22"/>
          <w:szCs w:val="22"/>
          <w:lang w:val="en-GB"/>
        </w:rPr>
        <w:t>ote is necessary for a class of creditors to accept a plan</w:t>
      </w:r>
      <w:r w:rsidR="00153AF5">
        <w:rPr>
          <w:rFonts w:ascii="Arial" w:hAnsi="Arial" w:cs="Arial"/>
          <w:bCs/>
          <w:sz w:val="22"/>
          <w:szCs w:val="22"/>
          <w:lang w:val="en-GB"/>
        </w:rPr>
        <w:t>:</w:t>
      </w:r>
    </w:p>
    <w:p w14:paraId="705C7AE6" w14:textId="77777777" w:rsidR="00345D60" w:rsidRDefault="00345D60" w:rsidP="00E26E10">
      <w:pPr>
        <w:jc w:val="both"/>
        <w:rPr>
          <w:rFonts w:ascii="Arial" w:hAnsi="Arial" w:cs="Arial"/>
          <w:bCs/>
          <w:sz w:val="22"/>
          <w:szCs w:val="22"/>
          <w:lang w:val="en-GB"/>
        </w:rPr>
      </w:pPr>
    </w:p>
    <w:p w14:paraId="6227EAD2" w14:textId="6E567DC0" w:rsidR="00B229DA" w:rsidRDefault="00345D60" w:rsidP="00E26E10">
      <w:pPr>
        <w:jc w:val="both"/>
        <w:rPr>
          <w:rFonts w:ascii="Arial" w:hAnsi="Arial" w:cs="Arial"/>
          <w:bCs/>
          <w:sz w:val="22"/>
          <w:szCs w:val="22"/>
          <w:lang w:val="en-GB"/>
        </w:rPr>
      </w:pPr>
      <w:r>
        <w:rPr>
          <w:rFonts w:ascii="Arial" w:hAnsi="Arial" w:cs="Arial"/>
          <w:bCs/>
          <w:sz w:val="22"/>
          <w:szCs w:val="22"/>
          <w:lang w:val="en-GB"/>
        </w:rPr>
        <w:t xml:space="preserve">Under section 1126(c) and (d) of the </w:t>
      </w:r>
      <w:r w:rsidR="00B75CE1">
        <w:rPr>
          <w:rFonts w:ascii="Arial" w:hAnsi="Arial" w:cs="Arial"/>
          <w:bCs/>
          <w:sz w:val="22"/>
          <w:szCs w:val="22"/>
          <w:lang w:val="en-GB"/>
        </w:rPr>
        <w:t xml:space="preserve">US </w:t>
      </w:r>
      <w:r>
        <w:rPr>
          <w:rFonts w:ascii="Arial" w:hAnsi="Arial" w:cs="Arial"/>
          <w:bCs/>
          <w:sz w:val="22"/>
          <w:szCs w:val="22"/>
          <w:lang w:val="en-GB"/>
        </w:rPr>
        <w:t>Bankruptcy Code, a given class of creditors approves the plan by a s</w:t>
      </w:r>
      <w:r w:rsidR="00825794">
        <w:rPr>
          <w:rFonts w:ascii="Arial" w:hAnsi="Arial" w:cs="Arial"/>
          <w:bCs/>
          <w:sz w:val="22"/>
          <w:szCs w:val="22"/>
          <w:lang w:val="en-GB"/>
        </w:rPr>
        <w:t>imple majority of the creditors in the class holding atleast two thirds of the value of claims</w:t>
      </w:r>
      <w:r w:rsidR="00153AF5">
        <w:rPr>
          <w:rFonts w:ascii="Arial" w:hAnsi="Arial" w:cs="Arial"/>
          <w:bCs/>
          <w:sz w:val="22"/>
          <w:szCs w:val="22"/>
          <w:lang w:val="en-GB"/>
        </w:rPr>
        <w:t xml:space="preserve"> in </w:t>
      </w:r>
      <w:r w:rsidR="00825794">
        <w:rPr>
          <w:rFonts w:ascii="Arial" w:hAnsi="Arial" w:cs="Arial"/>
          <w:bCs/>
          <w:sz w:val="22"/>
          <w:szCs w:val="22"/>
          <w:lang w:val="en-GB"/>
        </w:rPr>
        <w:t>the class vote in favour</w:t>
      </w:r>
      <w:r w:rsidR="00533F43">
        <w:rPr>
          <w:rFonts w:ascii="Arial" w:hAnsi="Arial" w:cs="Arial"/>
          <w:bCs/>
          <w:sz w:val="22"/>
          <w:szCs w:val="22"/>
          <w:lang w:val="en-GB"/>
        </w:rPr>
        <w:t xml:space="preserve"> or, for equity interests, if two thirds in amount of interests vote in favour.</w:t>
      </w:r>
    </w:p>
    <w:p w14:paraId="0BFBD937" w14:textId="77777777" w:rsidR="00825794" w:rsidRPr="00E26E10" w:rsidRDefault="00825794"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55EF18A0" w14:textId="77777777" w:rsidR="0058099E" w:rsidRPr="002A1367" w:rsidRDefault="0058099E" w:rsidP="0058099E">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27D8A4BF" w14:textId="1ACD6D84" w:rsidR="00787BCC" w:rsidRDefault="00787BCC" w:rsidP="00787BCC">
      <w:pPr>
        <w:ind w:left="720" w:hanging="720"/>
        <w:jc w:val="both"/>
        <w:rPr>
          <w:rFonts w:ascii="Arial" w:hAnsi="Arial" w:cs="Arial"/>
          <w:color w:val="7B7B7B" w:themeColor="accent3" w:themeShade="BF"/>
          <w:sz w:val="22"/>
          <w:szCs w:val="22"/>
          <w:lang w:val="en-GB"/>
        </w:rPr>
      </w:pPr>
    </w:p>
    <w:p w14:paraId="77E505F7" w14:textId="5AD4B0B2" w:rsidR="002D24DE" w:rsidRDefault="002D24DE" w:rsidP="00F9052C">
      <w:pPr>
        <w:pStyle w:val="AODocTxt"/>
        <w:spacing w:before="0" w:line="240" w:lineRule="auto"/>
        <w:rPr>
          <w:rFonts w:ascii="Arial" w:hAnsi="Arial" w:cs="Arial"/>
        </w:rPr>
      </w:pPr>
      <w:r w:rsidRPr="00F9052C">
        <w:rPr>
          <w:rFonts w:ascii="Arial" w:hAnsi="Arial" w:cs="Arial"/>
        </w:rPr>
        <w:t>Automatic stay under chapter 11 is effective on filing of a bankruptcy petition</w:t>
      </w:r>
      <w:r>
        <w:rPr>
          <w:rFonts w:ascii="Arial" w:hAnsi="Arial" w:cs="Arial"/>
        </w:rPr>
        <w:t xml:space="preserve"> whereas t</w:t>
      </w:r>
      <w:r w:rsidR="00945F70">
        <w:rPr>
          <w:rFonts w:ascii="Arial" w:hAnsi="Arial" w:cs="Arial"/>
        </w:rPr>
        <w:t>he filing of petition under chapter 15 does not invoke a</w:t>
      </w:r>
      <w:r w:rsidR="00E36DBE">
        <w:rPr>
          <w:rFonts w:ascii="Arial" w:hAnsi="Arial" w:cs="Arial"/>
        </w:rPr>
        <w:t>utomatically</w:t>
      </w:r>
      <w:r w:rsidR="00945F70">
        <w:rPr>
          <w:rFonts w:ascii="Arial" w:hAnsi="Arial" w:cs="Arial"/>
        </w:rPr>
        <w:t xml:space="preserve"> stay of creditor action. The stay arises only upon the petition for recognition of a main proceeding being granted.</w:t>
      </w:r>
      <w:r w:rsidR="00E36DBE">
        <w:rPr>
          <w:rFonts w:ascii="Arial" w:hAnsi="Arial" w:cs="Arial"/>
        </w:rPr>
        <w:t xml:space="preserve"> </w:t>
      </w:r>
      <w:r w:rsidR="006C6A32">
        <w:rPr>
          <w:rFonts w:ascii="Arial" w:hAnsi="Arial" w:cs="Arial"/>
        </w:rPr>
        <w:t>The automatic stay in a chapter 15 proceeding is subject to a</w:t>
      </w:r>
      <w:r>
        <w:rPr>
          <w:rFonts w:ascii="Arial" w:hAnsi="Arial" w:cs="Arial"/>
        </w:rPr>
        <w:t xml:space="preserve"> </w:t>
      </w:r>
      <w:r w:rsidR="006C6A32">
        <w:rPr>
          <w:rFonts w:ascii="Arial" w:hAnsi="Arial" w:cs="Arial"/>
        </w:rPr>
        <w:t>carve</w:t>
      </w:r>
      <w:r w:rsidR="00FF26AF">
        <w:rPr>
          <w:rFonts w:ascii="Arial" w:hAnsi="Arial" w:cs="Arial"/>
        </w:rPr>
        <w:t>-</w:t>
      </w:r>
      <w:r w:rsidR="006C6A32">
        <w:rPr>
          <w:rFonts w:ascii="Arial" w:hAnsi="Arial" w:cs="Arial"/>
        </w:rPr>
        <w:t xml:space="preserve">out to permit the filling of plenary US bankruptcy proceeding even after the recognition of a foreign proceeding. </w:t>
      </w:r>
    </w:p>
    <w:p w14:paraId="58FF8136" w14:textId="77777777" w:rsidR="002D24DE" w:rsidRDefault="002D24DE" w:rsidP="00F9052C">
      <w:pPr>
        <w:pStyle w:val="AODocTxt"/>
        <w:spacing w:before="0" w:line="240" w:lineRule="auto"/>
        <w:rPr>
          <w:rFonts w:ascii="Arial" w:hAnsi="Arial" w:cs="Arial"/>
        </w:rPr>
      </w:pPr>
    </w:p>
    <w:p w14:paraId="52CB4A4E" w14:textId="06654409" w:rsidR="00732A62" w:rsidRPr="00F9052C" w:rsidRDefault="00732A62" w:rsidP="00F9052C">
      <w:pPr>
        <w:pStyle w:val="AODocTxt"/>
        <w:spacing w:before="0" w:line="240" w:lineRule="auto"/>
        <w:rPr>
          <w:rFonts w:ascii="Arial" w:hAnsi="Arial" w:cs="Arial"/>
        </w:rPr>
      </w:pPr>
      <w:r>
        <w:rPr>
          <w:rFonts w:ascii="Arial" w:hAnsi="Arial" w:cs="Arial"/>
        </w:rPr>
        <w:t>Stay under chapter 11 is a worldwide automatic stay</w:t>
      </w:r>
      <w:r w:rsidR="00E74D0D">
        <w:rPr>
          <w:rFonts w:ascii="Arial" w:hAnsi="Arial" w:cs="Arial"/>
        </w:rPr>
        <w:t xml:space="preserve"> on proceeding against debtor or his assets</w:t>
      </w:r>
      <w:r w:rsidR="002D24DE">
        <w:rPr>
          <w:rFonts w:ascii="Arial" w:hAnsi="Arial" w:cs="Arial"/>
        </w:rPr>
        <w:t xml:space="preserve"> whereas stay under chapter 15 is to protect the debtor’s assets within the territorial jurisdiction of United States, Hence</w:t>
      </w:r>
      <w:r w:rsidR="0029010A">
        <w:rPr>
          <w:rFonts w:ascii="Arial" w:hAnsi="Arial" w:cs="Arial"/>
        </w:rPr>
        <w:t>,</w:t>
      </w:r>
      <w:r w:rsidR="002D24DE">
        <w:rPr>
          <w:rFonts w:ascii="Arial" w:hAnsi="Arial" w:cs="Arial"/>
        </w:rPr>
        <w:t xml:space="preserve"> the automatic stay under chapter 11 </w:t>
      </w:r>
      <w:r w:rsidR="000326CE">
        <w:rPr>
          <w:rFonts w:ascii="Arial" w:hAnsi="Arial" w:cs="Arial"/>
        </w:rPr>
        <w:t xml:space="preserve">cases with its </w:t>
      </w:r>
      <w:r w:rsidR="002D24DE">
        <w:rPr>
          <w:rFonts w:ascii="Arial" w:hAnsi="Arial" w:cs="Arial"/>
        </w:rPr>
        <w:t xml:space="preserve">global reach </w:t>
      </w:r>
      <w:r w:rsidR="000326CE">
        <w:rPr>
          <w:rFonts w:ascii="Arial" w:hAnsi="Arial" w:cs="Arial"/>
        </w:rPr>
        <w:t>does not share the jurisdictional model of the chapter 15 case</w:t>
      </w:r>
      <w:r w:rsidR="00B463E5">
        <w:rPr>
          <w:rFonts w:ascii="Arial" w:hAnsi="Arial" w:cs="Arial"/>
        </w:rPr>
        <w:t>s</w:t>
      </w:r>
      <w:r w:rsidR="000326CE">
        <w:rPr>
          <w:rFonts w:ascii="Arial" w:hAnsi="Arial" w:cs="Arial"/>
        </w:rPr>
        <w:t xml:space="preserve"> as</w:t>
      </w:r>
      <w:r w:rsidR="008453C6">
        <w:rPr>
          <w:rFonts w:ascii="Arial" w:hAnsi="Arial" w:cs="Arial"/>
        </w:rPr>
        <w:t xml:space="preserve"> seen in JSC BTA Bank case.</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08553C75" w14:textId="21571F98" w:rsidR="00902FA7" w:rsidRDefault="00902FA7" w:rsidP="00455018">
      <w:pPr>
        <w:jc w:val="both"/>
        <w:rPr>
          <w:rFonts w:ascii="Arial" w:hAnsi="Arial" w:cs="Arial"/>
          <w:color w:val="7B7B7B" w:themeColor="accent3" w:themeShade="BF"/>
          <w:sz w:val="22"/>
          <w:szCs w:val="22"/>
          <w:lang w:val="en-GB"/>
        </w:rPr>
      </w:pPr>
    </w:p>
    <w:p w14:paraId="7BC6C5BF" w14:textId="77777777" w:rsidR="00837A30" w:rsidRPr="002A1367" w:rsidRDefault="00837A30" w:rsidP="00837A30">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5BCA525E" w14:textId="77777777" w:rsidR="00837A30" w:rsidRDefault="00837A30" w:rsidP="00455018">
      <w:pPr>
        <w:jc w:val="both"/>
        <w:rPr>
          <w:rFonts w:ascii="Arial" w:hAnsi="Arial" w:cs="Arial"/>
          <w:color w:val="808080" w:themeColor="background1" w:themeShade="80"/>
          <w:sz w:val="22"/>
          <w:szCs w:val="22"/>
        </w:rPr>
      </w:pPr>
    </w:p>
    <w:p w14:paraId="139D3C48" w14:textId="702E262B" w:rsidR="00837A30" w:rsidRDefault="007A2FBD" w:rsidP="007A2FBD">
      <w:pPr>
        <w:pStyle w:val="AODocTxt"/>
        <w:spacing w:before="0" w:line="240" w:lineRule="auto"/>
        <w:rPr>
          <w:rFonts w:ascii="Arial" w:hAnsi="Arial" w:cs="Arial"/>
        </w:rPr>
      </w:pPr>
      <w:r w:rsidRPr="007A2FBD">
        <w:rPr>
          <w:rFonts w:ascii="Arial" w:hAnsi="Arial" w:cs="Arial"/>
        </w:rPr>
        <w:t xml:space="preserve">Duty of loyalty to the </w:t>
      </w:r>
      <w:r>
        <w:rPr>
          <w:rFonts w:ascii="Arial" w:hAnsi="Arial" w:cs="Arial"/>
        </w:rPr>
        <w:t>corporation’s</w:t>
      </w:r>
      <w:r w:rsidRPr="007A2FBD">
        <w:rPr>
          <w:rFonts w:ascii="Arial" w:hAnsi="Arial" w:cs="Arial"/>
        </w:rPr>
        <w:t xml:space="preserve"> best interests and a du</w:t>
      </w:r>
      <w:r w:rsidR="00306BA8">
        <w:rPr>
          <w:rFonts w:ascii="Arial" w:hAnsi="Arial" w:cs="Arial"/>
        </w:rPr>
        <w:t>ty of care in educated decision-</w:t>
      </w:r>
      <w:r w:rsidRPr="007A2FBD">
        <w:rPr>
          <w:rFonts w:ascii="Arial" w:hAnsi="Arial" w:cs="Arial"/>
        </w:rPr>
        <w:t xml:space="preserve">making are the </w:t>
      </w:r>
      <w:r>
        <w:rPr>
          <w:rFonts w:ascii="Arial" w:hAnsi="Arial" w:cs="Arial"/>
        </w:rPr>
        <w:t xml:space="preserve">fiduciary </w:t>
      </w:r>
      <w:r w:rsidRPr="007A2FBD">
        <w:rPr>
          <w:rFonts w:ascii="Arial" w:hAnsi="Arial" w:cs="Arial"/>
        </w:rPr>
        <w:t xml:space="preserve">duties owed by directors of Delaware </w:t>
      </w:r>
      <w:r w:rsidR="007D10DE">
        <w:rPr>
          <w:rFonts w:ascii="Arial" w:hAnsi="Arial" w:cs="Arial"/>
        </w:rPr>
        <w:t>c</w:t>
      </w:r>
      <w:r w:rsidR="007D10DE" w:rsidRPr="007A2FBD">
        <w:rPr>
          <w:rFonts w:ascii="Arial" w:hAnsi="Arial" w:cs="Arial"/>
        </w:rPr>
        <w:t>orporation</w:t>
      </w:r>
      <w:r w:rsidR="007D10DE">
        <w:rPr>
          <w:rFonts w:ascii="Arial" w:hAnsi="Arial" w:cs="Arial"/>
        </w:rPr>
        <w:t>s</w:t>
      </w:r>
      <w:r w:rsidRPr="007A2FBD">
        <w:rPr>
          <w:rFonts w:ascii="Arial" w:hAnsi="Arial" w:cs="Arial"/>
        </w:rPr>
        <w:t xml:space="preserve"> in the ordinary course of business.</w:t>
      </w:r>
    </w:p>
    <w:p w14:paraId="5701A159" w14:textId="77777777" w:rsidR="00211B6A" w:rsidRDefault="00211B6A" w:rsidP="007A2FBD">
      <w:pPr>
        <w:pStyle w:val="AODocTxt"/>
        <w:spacing w:before="0" w:line="240" w:lineRule="auto"/>
        <w:rPr>
          <w:rFonts w:ascii="Arial" w:hAnsi="Arial" w:cs="Arial"/>
        </w:rPr>
      </w:pPr>
    </w:p>
    <w:p w14:paraId="7497B6AF" w14:textId="7AC45EBF" w:rsidR="00211B6A" w:rsidRPr="007A2FBD" w:rsidRDefault="00FA0454" w:rsidP="007A2FBD">
      <w:pPr>
        <w:pStyle w:val="AODocTxt"/>
        <w:spacing w:before="0" w:line="240" w:lineRule="auto"/>
        <w:rPr>
          <w:rFonts w:ascii="Arial" w:hAnsi="Arial" w:cs="Arial"/>
        </w:rPr>
      </w:pPr>
      <w:r>
        <w:rPr>
          <w:rFonts w:ascii="Arial" w:hAnsi="Arial" w:cs="Arial"/>
        </w:rPr>
        <w:t xml:space="preserve">The general rule is that directors do not owe creditors duties beyond their relevant contractual terms. </w:t>
      </w:r>
      <w:r w:rsidR="003F4B05">
        <w:rPr>
          <w:rFonts w:ascii="Arial" w:hAnsi="Arial" w:cs="Arial"/>
        </w:rPr>
        <w:t xml:space="preserve">The Delaware Supreme Court </w:t>
      </w:r>
      <w:r w:rsidR="005C5C2A" w:rsidRPr="005C5C2A">
        <w:rPr>
          <w:rFonts w:ascii="Arial" w:hAnsi="Arial" w:cs="Arial"/>
          <w:i/>
        </w:rPr>
        <w:t>(North American Catholic Education Programming Foundation</w:t>
      </w:r>
      <w:r w:rsidR="00063752">
        <w:rPr>
          <w:rFonts w:ascii="Arial" w:hAnsi="Arial" w:cs="Arial"/>
          <w:i/>
        </w:rPr>
        <w:t xml:space="preserve">, </w:t>
      </w:r>
      <w:proofErr w:type="spellStart"/>
      <w:r w:rsidR="00063752">
        <w:rPr>
          <w:rFonts w:ascii="Arial" w:hAnsi="Arial" w:cs="Arial"/>
          <w:i/>
        </w:rPr>
        <w:t>Inc</w:t>
      </w:r>
      <w:proofErr w:type="spellEnd"/>
      <w:r w:rsidR="005C5C2A" w:rsidRPr="005C5C2A">
        <w:rPr>
          <w:rFonts w:ascii="Arial" w:hAnsi="Arial" w:cs="Arial"/>
          <w:i/>
        </w:rPr>
        <w:t xml:space="preserve"> </w:t>
      </w:r>
      <w:proofErr w:type="spellStart"/>
      <w:r w:rsidR="005C5C2A" w:rsidRPr="005C5C2A">
        <w:rPr>
          <w:rFonts w:ascii="Arial" w:hAnsi="Arial" w:cs="Arial"/>
          <w:i/>
        </w:rPr>
        <w:t>vs</w:t>
      </w:r>
      <w:proofErr w:type="spellEnd"/>
      <w:r w:rsidR="005C5C2A" w:rsidRPr="005C5C2A">
        <w:rPr>
          <w:rFonts w:ascii="Arial" w:hAnsi="Arial" w:cs="Arial"/>
          <w:i/>
        </w:rPr>
        <w:t xml:space="preserve"> Gheewala) </w:t>
      </w:r>
      <w:r w:rsidR="003F4B05">
        <w:rPr>
          <w:rFonts w:ascii="Arial" w:hAnsi="Arial" w:cs="Arial"/>
        </w:rPr>
        <w:t>stated that in case of</w:t>
      </w:r>
      <w:r w:rsidR="00D77C00">
        <w:rPr>
          <w:rFonts w:ascii="Arial" w:hAnsi="Arial" w:cs="Arial"/>
        </w:rPr>
        <w:t xml:space="preserve"> potential or actual insolvency</w:t>
      </w:r>
      <w:r w:rsidR="003F4B05">
        <w:rPr>
          <w:rFonts w:ascii="Arial" w:hAnsi="Arial" w:cs="Arial"/>
        </w:rPr>
        <w:t>,</w:t>
      </w:r>
      <w:r w:rsidR="00D77C00">
        <w:rPr>
          <w:rFonts w:ascii="Arial" w:hAnsi="Arial" w:cs="Arial"/>
        </w:rPr>
        <w:t xml:space="preserve"> basic</w:t>
      </w:r>
      <w:r w:rsidR="003F4B05">
        <w:rPr>
          <w:rFonts w:ascii="Arial" w:hAnsi="Arial" w:cs="Arial"/>
        </w:rPr>
        <w:t xml:space="preserve"> </w:t>
      </w:r>
      <w:r w:rsidR="003F4B05">
        <w:rPr>
          <w:rFonts w:ascii="Arial" w:hAnsi="Arial" w:cs="Arial"/>
        </w:rPr>
        <w:lastRenderedPageBreak/>
        <w:t>fiduciary duties of Delaware directors continue to be owed to their corporation’s best interest</w:t>
      </w:r>
      <w:r w:rsidR="00914EF6">
        <w:rPr>
          <w:rFonts w:ascii="Arial" w:hAnsi="Arial" w:cs="Arial"/>
        </w:rPr>
        <w:t xml:space="preserve"> and </w:t>
      </w:r>
      <w:r w:rsidR="0019779F">
        <w:rPr>
          <w:rFonts w:ascii="Arial" w:hAnsi="Arial" w:cs="Arial"/>
        </w:rPr>
        <w:t xml:space="preserve">to </w:t>
      </w:r>
      <w:r w:rsidR="00914EF6">
        <w:rPr>
          <w:rFonts w:ascii="Arial" w:hAnsi="Arial" w:cs="Arial"/>
        </w:rPr>
        <w:t>the shareholders</w:t>
      </w:r>
      <w:r w:rsidR="003F4B05">
        <w:rPr>
          <w:rFonts w:ascii="Arial" w:hAnsi="Arial" w:cs="Arial"/>
        </w:rPr>
        <w:t xml:space="preserve">. </w:t>
      </w: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487B4CDA" w14:textId="77777777" w:rsidR="005F6CC3" w:rsidRPr="002A1367" w:rsidRDefault="005F6CC3" w:rsidP="005F6CC3">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081149ED" w14:textId="77777777" w:rsidR="00E653A0" w:rsidRDefault="00E653A0" w:rsidP="00455018">
      <w:pPr>
        <w:jc w:val="both"/>
        <w:rPr>
          <w:rFonts w:ascii="Arial" w:hAnsi="Arial" w:cs="Arial"/>
          <w:color w:val="7B7B7B" w:themeColor="accent3" w:themeShade="BF"/>
          <w:sz w:val="22"/>
          <w:szCs w:val="22"/>
          <w:lang w:val="en-GB"/>
        </w:rPr>
      </w:pPr>
    </w:p>
    <w:p w14:paraId="15E1321B" w14:textId="69E30EE5" w:rsidR="002E3CA4" w:rsidRDefault="002E3CA4" w:rsidP="0096083D">
      <w:pPr>
        <w:pStyle w:val="AODocTxt"/>
        <w:spacing w:before="0" w:line="240" w:lineRule="auto"/>
        <w:rPr>
          <w:rFonts w:ascii="Arial" w:hAnsi="Arial" w:cs="Arial"/>
        </w:rPr>
      </w:pPr>
      <w:r>
        <w:rPr>
          <w:rFonts w:ascii="Arial" w:hAnsi="Arial" w:cs="Arial"/>
        </w:rPr>
        <w:t>Since bankruptcy court has limited jurisdiction, the judge can enter a final order in core matters only.</w:t>
      </w:r>
      <w:r w:rsidR="00E504F5">
        <w:rPr>
          <w:rFonts w:ascii="Arial" w:hAnsi="Arial" w:cs="Arial"/>
        </w:rPr>
        <w:t xml:space="preserve"> The Bankruptcy Code </w:t>
      </w:r>
      <w:r w:rsidR="004C19AE">
        <w:rPr>
          <w:rFonts w:ascii="Arial" w:hAnsi="Arial" w:cs="Arial"/>
        </w:rPr>
        <w:t>contains a non-exhaustive list of core proceedings.</w:t>
      </w:r>
      <w:r w:rsidR="0008373D">
        <w:rPr>
          <w:rFonts w:ascii="Arial" w:hAnsi="Arial" w:cs="Arial"/>
        </w:rPr>
        <w:t xml:space="preserve"> If the case is a non-core issue then the bankruptcy court may hear the matter if it is related to the bankruptcy but enter into final judgement only if the parties consent, else the bankruptcy judge can hear the matter and submit a report called the findings of facts and conclusions of law for consideration of the district court judge or the non-core matter can be heard </w:t>
      </w:r>
      <w:r w:rsidR="00FF4B4E">
        <w:rPr>
          <w:rFonts w:ascii="Arial" w:hAnsi="Arial" w:cs="Arial"/>
        </w:rPr>
        <w:t xml:space="preserve">directly </w:t>
      </w:r>
      <w:r w:rsidR="0008373D">
        <w:rPr>
          <w:rFonts w:ascii="Arial" w:hAnsi="Arial" w:cs="Arial"/>
        </w:rPr>
        <w:t>by the district court.</w:t>
      </w:r>
      <w:r>
        <w:rPr>
          <w:rFonts w:ascii="Arial" w:hAnsi="Arial" w:cs="Arial"/>
        </w:rPr>
        <w:t xml:space="preserve"> </w:t>
      </w:r>
      <w:r w:rsidR="00AE2872">
        <w:rPr>
          <w:rFonts w:ascii="Arial" w:hAnsi="Arial" w:cs="Arial"/>
        </w:rPr>
        <w:t>A final order closing the case is entered into after the estate is has been fully administered</w:t>
      </w:r>
      <w:r w:rsidR="00E61F00">
        <w:rPr>
          <w:rFonts w:ascii="Arial" w:hAnsi="Arial" w:cs="Arial"/>
        </w:rPr>
        <w:t>. Local bankruptcy policies generally determine when the final order is entered and the case is closed.</w:t>
      </w:r>
    </w:p>
    <w:p w14:paraId="7B4BFB57" w14:textId="77777777" w:rsidR="002E3CA4" w:rsidRDefault="002E3CA4" w:rsidP="0096083D">
      <w:pPr>
        <w:pStyle w:val="AODocTxt"/>
        <w:spacing w:before="0" w:line="240" w:lineRule="auto"/>
        <w:rPr>
          <w:rFonts w:ascii="Arial" w:hAnsi="Arial" w:cs="Arial"/>
        </w:rPr>
      </w:pPr>
    </w:p>
    <w:p w14:paraId="53699D5E" w14:textId="760AB77F" w:rsidR="00742CBE" w:rsidRDefault="0096083D" w:rsidP="0096083D">
      <w:pPr>
        <w:pStyle w:val="AODocTxt"/>
        <w:spacing w:before="0" w:line="240" w:lineRule="auto"/>
        <w:rPr>
          <w:rFonts w:ascii="Arial" w:hAnsi="Arial" w:cs="Arial"/>
        </w:rPr>
      </w:pPr>
      <w:r w:rsidRPr="0096083D">
        <w:rPr>
          <w:rFonts w:ascii="Arial" w:hAnsi="Arial" w:cs="Arial"/>
        </w:rPr>
        <w:t>Appeals against the o</w:t>
      </w:r>
      <w:r w:rsidR="006D303F" w:rsidRPr="0096083D">
        <w:rPr>
          <w:rFonts w:ascii="Arial" w:hAnsi="Arial" w:cs="Arial"/>
        </w:rPr>
        <w:t xml:space="preserve">rders of the bankruptcy court are </w:t>
      </w:r>
      <w:r w:rsidRPr="0096083D">
        <w:rPr>
          <w:rFonts w:ascii="Arial" w:hAnsi="Arial" w:cs="Arial"/>
        </w:rPr>
        <w:t>reviewed by the Bankruptcy Appellate Panel</w:t>
      </w:r>
      <w:r w:rsidR="00983726">
        <w:rPr>
          <w:rFonts w:ascii="Arial" w:hAnsi="Arial" w:cs="Arial"/>
        </w:rPr>
        <w:t xml:space="preserve"> (BAP)</w:t>
      </w:r>
      <w:r w:rsidRPr="0096083D">
        <w:rPr>
          <w:rFonts w:ascii="Arial" w:hAnsi="Arial" w:cs="Arial"/>
        </w:rPr>
        <w:t xml:space="preserve"> or the district court after which only specif</w:t>
      </w:r>
      <w:r>
        <w:rPr>
          <w:rFonts w:ascii="Arial" w:hAnsi="Arial" w:cs="Arial"/>
        </w:rPr>
        <w:t>ic or filtered appeals or refined arguments are hear</w:t>
      </w:r>
      <w:r w:rsidRPr="0096083D">
        <w:rPr>
          <w:rFonts w:ascii="Arial" w:hAnsi="Arial" w:cs="Arial"/>
        </w:rPr>
        <w:t xml:space="preserve">d by the </w:t>
      </w:r>
      <w:r w:rsidR="00BA0D04">
        <w:rPr>
          <w:rFonts w:ascii="Arial" w:hAnsi="Arial" w:cs="Arial"/>
        </w:rPr>
        <w:t xml:space="preserve">circuit </w:t>
      </w:r>
      <w:r w:rsidRPr="0096083D">
        <w:rPr>
          <w:rFonts w:ascii="Arial" w:hAnsi="Arial" w:cs="Arial"/>
        </w:rPr>
        <w:t>court</w:t>
      </w:r>
      <w:r>
        <w:rPr>
          <w:rFonts w:ascii="Arial" w:hAnsi="Arial" w:cs="Arial"/>
        </w:rPr>
        <w:t xml:space="preserve"> </w:t>
      </w:r>
      <w:r w:rsidRPr="0096083D">
        <w:rPr>
          <w:rFonts w:ascii="Arial" w:hAnsi="Arial" w:cs="Arial"/>
        </w:rPr>
        <w:t>of appeals</w:t>
      </w:r>
      <w:r w:rsidR="003946A7">
        <w:rPr>
          <w:rFonts w:ascii="Arial" w:hAnsi="Arial" w:cs="Arial"/>
        </w:rPr>
        <w:t>.</w:t>
      </w:r>
      <w:r w:rsidRPr="0096083D">
        <w:rPr>
          <w:rFonts w:ascii="Arial" w:hAnsi="Arial" w:cs="Arial"/>
        </w:rPr>
        <w:t xml:space="preserve"> </w:t>
      </w:r>
      <w:r w:rsidR="00C23EDE">
        <w:rPr>
          <w:rFonts w:ascii="Arial" w:hAnsi="Arial" w:cs="Arial"/>
        </w:rPr>
        <w:t>In rare circumstances, an appeal from the bankruptcy court may go directly to the court of appeals</w:t>
      </w:r>
      <w:r w:rsidR="00D2712A">
        <w:rPr>
          <w:rFonts w:ascii="Arial" w:hAnsi="Arial" w:cs="Arial"/>
        </w:rPr>
        <w:t>, where the bankruptcy court or district court certified that</w:t>
      </w:r>
      <w:r w:rsidR="00C23EDE">
        <w:rPr>
          <w:rFonts w:ascii="Arial" w:hAnsi="Arial" w:cs="Arial"/>
        </w:rPr>
        <w:t xml:space="preserve"> </w:t>
      </w:r>
      <w:r w:rsidR="00D2712A">
        <w:rPr>
          <w:rFonts w:ascii="Arial" w:hAnsi="Arial" w:cs="Arial"/>
        </w:rPr>
        <w:t>(</w:t>
      </w:r>
      <w:proofErr w:type="spellStart"/>
      <w:r w:rsidR="00D2712A">
        <w:rPr>
          <w:rFonts w:ascii="Arial" w:hAnsi="Arial" w:cs="Arial"/>
        </w:rPr>
        <w:t>i</w:t>
      </w:r>
      <w:proofErr w:type="spellEnd"/>
      <w:r w:rsidR="00D2712A">
        <w:rPr>
          <w:rFonts w:ascii="Arial" w:hAnsi="Arial" w:cs="Arial"/>
        </w:rPr>
        <w:t xml:space="preserve">) </w:t>
      </w:r>
      <w:r w:rsidR="00C23EDE">
        <w:rPr>
          <w:rFonts w:ascii="Arial" w:hAnsi="Arial" w:cs="Arial"/>
        </w:rPr>
        <w:t>where an appeal raises a question of law and there is no controlling decision of the circuit court or the US Supreme Court or requires resolving conflicting controlling decision</w:t>
      </w:r>
      <w:r w:rsidR="00D2712A">
        <w:rPr>
          <w:rFonts w:ascii="Arial" w:hAnsi="Arial" w:cs="Arial"/>
        </w:rPr>
        <w:t xml:space="preserve"> or (ii) immediate appeal</w:t>
      </w:r>
      <w:r w:rsidR="00D00853">
        <w:rPr>
          <w:rFonts w:ascii="Arial" w:hAnsi="Arial" w:cs="Arial"/>
        </w:rPr>
        <w:t xml:space="preserve"> may material</w:t>
      </w:r>
      <w:r w:rsidR="00C675B2">
        <w:rPr>
          <w:rFonts w:ascii="Arial" w:hAnsi="Arial" w:cs="Arial"/>
        </w:rPr>
        <w:t>ly</w:t>
      </w:r>
      <w:r w:rsidR="00D00853">
        <w:rPr>
          <w:rFonts w:ascii="Arial" w:hAnsi="Arial" w:cs="Arial"/>
        </w:rPr>
        <w:t xml:space="preserve"> advance</w:t>
      </w:r>
      <w:r w:rsidR="00D2712A">
        <w:rPr>
          <w:rFonts w:ascii="Arial" w:hAnsi="Arial" w:cs="Arial"/>
        </w:rPr>
        <w:t xml:space="preserve"> progress of the case</w:t>
      </w:r>
      <w:r w:rsidR="00C23EDE">
        <w:rPr>
          <w:rFonts w:ascii="Arial" w:hAnsi="Arial" w:cs="Arial"/>
        </w:rPr>
        <w:t>.</w:t>
      </w:r>
      <w:r w:rsidR="00D2712A">
        <w:rPr>
          <w:rFonts w:ascii="Arial" w:hAnsi="Arial" w:cs="Arial"/>
        </w:rPr>
        <w:tab/>
      </w:r>
    </w:p>
    <w:p w14:paraId="15C6F565" w14:textId="5BD0775A" w:rsidR="00742CBE" w:rsidRPr="0096083D" w:rsidRDefault="00240166" w:rsidP="0096083D">
      <w:pPr>
        <w:pStyle w:val="AODocTxt"/>
        <w:spacing w:before="0" w:line="240" w:lineRule="auto"/>
        <w:rPr>
          <w:rFonts w:ascii="Arial" w:hAnsi="Arial" w:cs="Arial"/>
        </w:rPr>
      </w:pPr>
      <w:r>
        <w:rPr>
          <w:rFonts w:ascii="Arial" w:hAnsi="Arial" w:cs="Arial"/>
        </w:rPr>
        <w:t xml:space="preserve">Under 28 U.S.C section 158 </w:t>
      </w:r>
      <w:r w:rsidR="007B7FD4">
        <w:rPr>
          <w:rFonts w:ascii="Arial" w:hAnsi="Arial" w:cs="Arial"/>
        </w:rPr>
        <w:t>– Appeals, n</w:t>
      </w:r>
      <w:r w:rsidR="00742CBE">
        <w:rPr>
          <w:rFonts w:ascii="Arial" w:hAnsi="Arial" w:cs="Arial"/>
        </w:rPr>
        <w:t xml:space="preserve">on-final or interlocutory orders may </w:t>
      </w:r>
      <w:r w:rsidR="00FE3A8A">
        <w:rPr>
          <w:rFonts w:ascii="Arial" w:hAnsi="Arial" w:cs="Arial"/>
        </w:rPr>
        <w:t>be appealed only with the leave of the appellate court</w:t>
      </w:r>
      <w:r w:rsidR="0011180C">
        <w:rPr>
          <w:rFonts w:ascii="Arial" w:hAnsi="Arial" w:cs="Arial"/>
        </w:rPr>
        <w:t xml:space="preserve"> (district court or BAP)</w:t>
      </w:r>
      <w:r w:rsidR="00FE3A8A">
        <w:rPr>
          <w:rFonts w:ascii="Arial" w:hAnsi="Arial" w:cs="Arial"/>
        </w:rPr>
        <w:t>.</w:t>
      </w:r>
    </w:p>
    <w:p w14:paraId="383AF2A4" w14:textId="77777777" w:rsidR="005F6CC3" w:rsidRPr="00455018" w:rsidRDefault="005F6CC3"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3B3A1888" w14:textId="77777777" w:rsidR="00E905E3" w:rsidRPr="002A1367" w:rsidRDefault="00E905E3" w:rsidP="00E905E3">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01B9BEE2" w14:textId="2686E9FF" w:rsidR="00E74D17" w:rsidRDefault="00E74D17" w:rsidP="00E74D17">
      <w:pPr>
        <w:pStyle w:val="AODocTxt"/>
        <w:spacing w:before="0" w:line="240" w:lineRule="auto"/>
        <w:rPr>
          <w:rFonts w:ascii="Arial" w:hAnsi="Arial" w:cs="Arial"/>
        </w:rPr>
      </w:pPr>
      <w:r w:rsidRPr="00E74D17">
        <w:rPr>
          <w:rFonts w:ascii="Arial" w:hAnsi="Arial" w:cs="Arial"/>
        </w:rPr>
        <w:t xml:space="preserve">Difference </w:t>
      </w:r>
      <w:r>
        <w:rPr>
          <w:rFonts w:ascii="Arial" w:hAnsi="Arial" w:cs="Arial"/>
        </w:rPr>
        <w:t xml:space="preserve">in claims for </w:t>
      </w:r>
      <w:r w:rsidRPr="00E74D17">
        <w:rPr>
          <w:rFonts w:ascii="Arial" w:hAnsi="Arial" w:cs="Arial"/>
        </w:rPr>
        <w:t>recovery of preferences, fraudulent conveyance and constructive fraudulent conveyance</w:t>
      </w:r>
      <w:r>
        <w:rPr>
          <w:rFonts w:ascii="Arial" w:hAnsi="Arial" w:cs="Arial"/>
        </w:rPr>
        <w:t xml:space="preserve"> transactions:</w:t>
      </w:r>
    </w:p>
    <w:p w14:paraId="70AFE23B" w14:textId="77777777" w:rsidR="00E74D17" w:rsidRDefault="00E74D17" w:rsidP="00E74D17">
      <w:pPr>
        <w:pStyle w:val="AODocTxt"/>
        <w:spacing w:before="0" w:line="240" w:lineRule="auto"/>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E74D17" w14:paraId="4468E655" w14:textId="77777777" w:rsidTr="008E1048">
        <w:trPr>
          <w:tblHeader/>
        </w:trPr>
        <w:tc>
          <w:tcPr>
            <w:tcW w:w="2254" w:type="dxa"/>
          </w:tcPr>
          <w:p w14:paraId="5257A498" w14:textId="648D67FA" w:rsidR="00E74D17" w:rsidRPr="0005602F" w:rsidRDefault="006F2D48" w:rsidP="00E74D17">
            <w:pPr>
              <w:pStyle w:val="AODocTxt"/>
              <w:spacing w:before="0" w:line="240" w:lineRule="auto"/>
              <w:rPr>
                <w:rFonts w:ascii="Arial" w:hAnsi="Arial" w:cs="Arial"/>
                <w:b/>
              </w:rPr>
            </w:pPr>
            <w:r w:rsidRPr="0005602F">
              <w:rPr>
                <w:rFonts w:ascii="Arial" w:hAnsi="Arial" w:cs="Arial"/>
                <w:b/>
              </w:rPr>
              <w:t xml:space="preserve">Key Differentiating </w:t>
            </w:r>
            <w:r w:rsidR="00E74D17" w:rsidRPr="0005602F">
              <w:rPr>
                <w:rFonts w:ascii="Arial" w:hAnsi="Arial" w:cs="Arial"/>
                <w:b/>
              </w:rPr>
              <w:t>Factor</w:t>
            </w:r>
          </w:p>
        </w:tc>
        <w:tc>
          <w:tcPr>
            <w:tcW w:w="2254" w:type="dxa"/>
          </w:tcPr>
          <w:p w14:paraId="07524459" w14:textId="071E8F28" w:rsidR="00E74D17" w:rsidRPr="0005602F" w:rsidRDefault="00E74D17" w:rsidP="00E74D17">
            <w:pPr>
              <w:pStyle w:val="AODocTxt"/>
              <w:spacing w:before="0" w:line="240" w:lineRule="auto"/>
              <w:rPr>
                <w:rFonts w:ascii="Arial" w:hAnsi="Arial" w:cs="Arial"/>
                <w:b/>
              </w:rPr>
            </w:pPr>
            <w:r w:rsidRPr="0005602F">
              <w:rPr>
                <w:rFonts w:ascii="Arial" w:hAnsi="Arial" w:cs="Arial"/>
                <w:b/>
              </w:rPr>
              <w:t>Preferences</w:t>
            </w:r>
          </w:p>
        </w:tc>
        <w:tc>
          <w:tcPr>
            <w:tcW w:w="2254" w:type="dxa"/>
          </w:tcPr>
          <w:p w14:paraId="7A14B7BC" w14:textId="117E50C0" w:rsidR="00E74D17" w:rsidRPr="0005602F" w:rsidRDefault="00E74D17" w:rsidP="00E74D17">
            <w:pPr>
              <w:pStyle w:val="AODocTxt"/>
              <w:spacing w:before="0" w:line="240" w:lineRule="auto"/>
              <w:rPr>
                <w:rFonts w:ascii="Arial" w:hAnsi="Arial" w:cs="Arial"/>
                <w:b/>
              </w:rPr>
            </w:pPr>
            <w:r w:rsidRPr="0005602F">
              <w:rPr>
                <w:rFonts w:ascii="Arial" w:hAnsi="Arial" w:cs="Arial"/>
                <w:b/>
              </w:rPr>
              <w:t>Fraudulent Conveyance</w:t>
            </w:r>
          </w:p>
        </w:tc>
        <w:tc>
          <w:tcPr>
            <w:tcW w:w="2254" w:type="dxa"/>
          </w:tcPr>
          <w:p w14:paraId="07D9AA5A" w14:textId="2AD3D3C6" w:rsidR="00E74D17" w:rsidRPr="0005602F" w:rsidRDefault="00355B00" w:rsidP="00E74D17">
            <w:pPr>
              <w:pStyle w:val="AODocTxt"/>
              <w:spacing w:before="0" w:line="240" w:lineRule="auto"/>
              <w:rPr>
                <w:rFonts w:ascii="Arial" w:hAnsi="Arial" w:cs="Arial"/>
                <w:b/>
              </w:rPr>
            </w:pPr>
            <w:r w:rsidRPr="0005602F">
              <w:rPr>
                <w:rFonts w:ascii="Arial" w:hAnsi="Arial" w:cs="Arial"/>
                <w:b/>
              </w:rPr>
              <w:t>Constructive Fraudulent Conveyance</w:t>
            </w:r>
          </w:p>
        </w:tc>
      </w:tr>
      <w:tr w:rsidR="00D5676C" w14:paraId="5011F6C0" w14:textId="77777777" w:rsidTr="00FD1787">
        <w:tc>
          <w:tcPr>
            <w:tcW w:w="2254" w:type="dxa"/>
          </w:tcPr>
          <w:p w14:paraId="639B7E24" w14:textId="5A79969C" w:rsidR="00D5676C" w:rsidRPr="0005602F" w:rsidRDefault="00D5676C" w:rsidP="00AE2CEB">
            <w:pPr>
              <w:pStyle w:val="AODocTxt"/>
              <w:spacing w:before="0" w:line="240" w:lineRule="auto"/>
              <w:jc w:val="left"/>
              <w:rPr>
                <w:rFonts w:ascii="Arial" w:hAnsi="Arial" w:cs="Arial"/>
                <w:b/>
              </w:rPr>
            </w:pPr>
            <w:r w:rsidRPr="0005602F">
              <w:rPr>
                <w:rFonts w:ascii="Arial" w:hAnsi="Arial" w:cs="Arial"/>
                <w:b/>
              </w:rPr>
              <w:t>Intent of the transaction</w:t>
            </w:r>
          </w:p>
        </w:tc>
        <w:tc>
          <w:tcPr>
            <w:tcW w:w="2254" w:type="dxa"/>
          </w:tcPr>
          <w:p w14:paraId="5F430EBB" w14:textId="13317A56" w:rsidR="00D5676C" w:rsidRDefault="00D71F93" w:rsidP="00FD1787">
            <w:pPr>
              <w:pStyle w:val="AODocTxt"/>
              <w:spacing w:before="0" w:line="240" w:lineRule="auto"/>
              <w:jc w:val="left"/>
              <w:rPr>
                <w:rFonts w:ascii="Arial" w:hAnsi="Arial" w:cs="Arial"/>
              </w:rPr>
            </w:pPr>
            <w:r>
              <w:rPr>
                <w:rFonts w:ascii="Arial" w:hAnsi="Arial" w:cs="Arial"/>
              </w:rPr>
              <w:t>Transaction of transfer made to or for the benefit of the creditor</w:t>
            </w:r>
            <w:r w:rsidR="0005602F">
              <w:rPr>
                <w:rFonts w:ascii="Arial" w:hAnsi="Arial" w:cs="Arial"/>
              </w:rPr>
              <w:t>s</w:t>
            </w:r>
            <w:r w:rsidR="00343BA6">
              <w:rPr>
                <w:rFonts w:ascii="Arial" w:hAnsi="Arial" w:cs="Arial"/>
              </w:rPr>
              <w:t>.</w:t>
            </w:r>
          </w:p>
        </w:tc>
        <w:tc>
          <w:tcPr>
            <w:tcW w:w="2254" w:type="dxa"/>
          </w:tcPr>
          <w:p w14:paraId="2A990C1A" w14:textId="491CD083" w:rsidR="00D5676C" w:rsidRDefault="00D5676C" w:rsidP="00D5676C">
            <w:pPr>
              <w:pStyle w:val="AODocTxt"/>
              <w:spacing w:before="0" w:line="240" w:lineRule="auto"/>
              <w:jc w:val="left"/>
              <w:rPr>
                <w:rFonts w:ascii="Arial" w:hAnsi="Arial" w:cs="Arial"/>
              </w:rPr>
            </w:pPr>
            <w:r>
              <w:rPr>
                <w:rFonts w:ascii="Arial" w:hAnsi="Arial" w:cs="Arial"/>
              </w:rPr>
              <w:t>Transaction undertaken with the intention to prevent creditors from having access to assets to satisfy their claims</w:t>
            </w:r>
            <w:r w:rsidR="004A68B0">
              <w:rPr>
                <w:rFonts w:ascii="Arial" w:hAnsi="Arial" w:cs="Arial"/>
              </w:rPr>
              <w:t xml:space="preserve"> or to hinder, delay the insolvency process.</w:t>
            </w:r>
          </w:p>
        </w:tc>
        <w:tc>
          <w:tcPr>
            <w:tcW w:w="2254" w:type="dxa"/>
          </w:tcPr>
          <w:p w14:paraId="18332075" w14:textId="77777777" w:rsidR="00D5676C" w:rsidRDefault="00E84119" w:rsidP="002908B1">
            <w:pPr>
              <w:pStyle w:val="AODocTxt"/>
              <w:spacing w:before="0" w:line="240" w:lineRule="auto"/>
              <w:jc w:val="left"/>
              <w:rPr>
                <w:rFonts w:ascii="Arial" w:hAnsi="Arial" w:cs="Arial"/>
              </w:rPr>
            </w:pPr>
            <w:r>
              <w:rPr>
                <w:rFonts w:ascii="Arial" w:hAnsi="Arial" w:cs="Arial"/>
              </w:rPr>
              <w:t>Transaction undertaken at undervalue with an insider with the intention to prevent creditors from having access to assets to satisfy their claims</w:t>
            </w:r>
          </w:p>
          <w:p w14:paraId="4C721810" w14:textId="4D8EF2FD" w:rsidR="00CC1606" w:rsidRDefault="00CC1606" w:rsidP="002908B1">
            <w:pPr>
              <w:pStyle w:val="AODocTxt"/>
              <w:spacing w:before="0" w:line="240" w:lineRule="auto"/>
              <w:jc w:val="left"/>
              <w:rPr>
                <w:rFonts w:ascii="Arial" w:hAnsi="Arial" w:cs="Arial"/>
              </w:rPr>
            </w:pPr>
          </w:p>
        </w:tc>
      </w:tr>
      <w:tr w:rsidR="009D260D" w14:paraId="5B274386" w14:textId="77777777" w:rsidTr="00220232">
        <w:tc>
          <w:tcPr>
            <w:tcW w:w="2254" w:type="dxa"/>
          </w:tcPr>
          <w:p w14:paraId="07592818" w14:textId="41663F3C" w:rsidR="009D260D" w:rsidRPr="0005602F" w:rsidRDefault="009D260D" w:rsidP="00AE2CEB">
            <w:pPr>
              <w:pStyle w:val="AODocTxt"/>
              <w:spacing w:before="0" w:line="240" w:lineRule="auto"/>
              <w:jc w:val="left"/>
              <w:rPr>
                <w:rFonts w:ascii="Arial" w:hAnsi="Arial" w:cs="Arial"/>
                <w:b/>
              </w:rPr>
            </w:pPr>
            <w:r w:rsidRPr="0005602F">
              <w:rPr>
                <w:rFonts w:ascii="Arial" w:hAnsi="Arial" w:cs="Arial"/>
                <w:b/>
              </w:rPr>
              <w:lastRenderedPageBreak/>
              <w:t>Look back period/Suspect period for determining the claim</w:t>
            </w:r>
          </w:p>
        </w:tc>
        <w:tc>
          <w:tcPr>
            <w:tcW w:w="2254" w:type="dxa"/>
          </w:tcPr>
          <w:p w14:paraId="09F03646" w14:textId="3FDDEA7D" w:rsidR="009D260D" w:rsidRDefault="009D260D" w:rsidP="00FD1787">
            <w:pPr>
              <w:pStyle w:val="AODocTxt"/>
              <w:spacing w:before="0" w:line="240" w:lineRule="auto"/>
              <w:jc w:val="left"/>
              <w:rPr>
                <w:rFonts w:ascii="Arial" w:hAnsi="Arial" w:cs="Arial"/>
              </w:rPr>
            </w:pPr>
            <w:r>
              <w:rPr>
                <w:rFonts w:ascii="Arial" w:hAnsi="Arial" w:cs="Arial"/>
              </w:rPr>
              <w:t>Non-insiders – 90 days prior to the bankruptcy petition date.</w:t>
            </w:r>
          </w:p>
          <w:p w14:paraId="0263D2B3" w14:textId="3F7998E6" w:rsidR="009D260D" w:rsidRDefault="009D260D" w:rsidP="00FD1787">
            <w:pPr>
              <w:pStyle w:val="AODocTxt"/>
              <w:spacing w:before="0" w:line="240" w:lineRule="auto"/>
              <w:jc w:val="left"/>
              <w:rPr>
                <w:rFonts w:ascii="Arial" w:hAnsi="Arial" w:cs="Arial"/>
              </w:rPr>
            </w:pPr>
            <w:r>
              <w:rPr>
                <w:rFonts w:ascii="Arial" w:hAnsi="Arial" w:cs="Arial"/>
              </w:rPr>
              <w:t>Insiders – one year prior to the bankruptcy petition date.</w:t>
            </w:r>
          </w:p>
        </w:tc>
        <w:tc>
          <w:tcPr>
            <w:tcW w:w="4508" w:type="dxa"/>
            <w:gridSpan w:val="2"/>
          </w:tcPr>
          <w:p w14:paraId="17ACCC53" w14:textId="612DC00B" w:rsidR="009D260D" w:rsidRDefault="009D260D" w:rsidP="00FD1787">
            <w:pPr>
              <w:pStyle w:val="AODocTxt"/>
              <w:spacing w:before="0" w:line="240" w:lineRule="auto"/>
              <w:jc w:val="left"/>
              <w:rPr>
                <w:rFonts w:ascii="Arial" w:hAnsi="Arial" w:cs="Arial"/>
              </w:rPr>
            </w:pPr>
            <w:r>
              <w:rPr>
                <w:rFonts w:ascii="Arial" w:hAnsi="Arial" w:cs="Arial"/>
              </w:rPr>
              <w:t>Generally, 2 years prior to the bankruptcy petition date. However, the debtor in possession or trustee may invoke longer look back periods under state and foreign fraudulent laws.</w:t>
            </w:r>
          </w:p>
        </w:tc>
      </w:tr>
      <w:tr w:rsidR="009D260D" w14:paraId="6A1FD2B8" w14:textId="77777777" w:rsidTr="0054649B">
        <w:tc>
          <w:tcPr>
            <w:tcW w:w="2254" w:type="dxa"/>
          </w:tcPr>
          <w:p w14:paraId="68396DC7" w14:textId="3FC6E134" w:rsidR="009D260D" w:rsidRPr="0005602F" w:rsidRDefault="009D260D" w:rsidP="006E5FB2">
            <w:pPr>
              <w:pStyle w:val="AODocTxt"/>
              <w:spacing w:before="0" w:line="240" w:lineRule="auto"/>
              <w:jc w:val="left"/>
              <w:rPr>
                <w:rFonts w:ascii="Arial" w:hAnsi="Arial" w:cs="Arial"/>
                <w:b/>
              </w:rPr>
            </w:pPr>
            <w:r>
              <w:rPr>
                <w:rFonts w:ascii="Arial" w:hAnsi="Arial" w:cs="Arial"/>
                <w:b/>
              </w:rPr>
              <w:t>Claim t</w:t>
            </w:r>
            <w:r w:rsidRPr="0005602F">
              <w:rPr>
                <w:rFonts w:ascii="Arial" w:hAnsi="Arial" w:cs="Arial"/>
                <w:b/>
              </w:rPr>
              <w:t>ransaction coverage net</w:t>
            </w:r>
          </w:p>
        </w:tc>
        <w:tc>
          <w:tcPr>
            <w:tcW w:w="2254" w:type="dxa"/>
          </w:tcPr>
          <w:p w14:paraId="7E3561C0" w14:textId="161C5ECD" w:rsidR="009D260D" w:rsidRDefault="009D260D" w:rsidP="006319E6">
            <w:pPr>
              <w:pStyle w:val="AODocTxt"/>
              <w:spacing w:before="0" w:line="240" w:lineRule="auto"/>
              <w:jc w:val="left"/>
              <w:rPr>
                <w:rFonts w:ascii="Arial" w:hAnsi="Arial" w:cs="Arial"/>
              </w:rPr>
            </w:pPr>
            <w:r>
              <w:rPr>
                <w:rFonts w:ascii="Arial" w:hAnsi="Arial" w:cs="Arial"/>
              </w:rPr>
              <w:t>Largely aimed at covering transactions with financial and operating creditors.</w:t>
            </w:r>
          </w:p>
        </w:tc>
        <w:tc>
          <w:tcPr>
            <w:tcW w:w="4508" w:type="dxa"/>
            <w:gridSpan w:val="2"/>
          </w:tcPr>
          <w:p w14:paraId="0D21F0CE" w14:textId="53EF79A6" w:rsidR="009D260D" w:rsidRDefault="009D260D" w:rsidP="00FD1787">
            <w:pPr>
              <w:pStyle w:val="AODocTxt"/>
              <w:spacing w:before="0" w:line="240" w:lineRule="auto"/>
              <w:jc w:val="left"/>
              <w:rPr>
                <w:rFonts w:ascii="Arial" w:hAnsi="Arial" w:cs="Arial"/>
              </w:rPr>
            </w:pPr>
            <w:r>
              <w:rPr>
                <w:rFonts w:ascii="Arial" w:hAnsi="Arial" w:cs="Arial"/>
              </w:rPr>
              <w:t>Largely aimed at covering transactions with insiders or related parties.</w:t>
            </w:r>
          </w:p>
        </w:tc>
      </w:tr>
      <w:tr w:rsidR="009D260D" w14:paraId="689FB043" w14:textId="77777777" w:rsidTr="00365E6A">
        <w:tc>
          <w:tcPr>
            <w:tcW w:w="2254" w:type="dxa"/>
          </w:tcPr>
          <w:p w14:paraId="0C564E70" w14:textId="0593BBBD" w:rsidR="009D260D" w:rsidRPr="0005602F" w:rsidRDefault="009D260D" w:rsidP="00355B00">
            <w:pPr>
              <w:pStyle w:val="AODocTxt"/>
              <w:spacing w:before="0" w:line="240" w:lineRule="auto"/>
              <w:jc w:val="left"/>
              <w:rPr>
                <w:rFonts w:ascii="Arial" w:hAnsi="Arial" w:cs="Arial"/>
                <w:b/>
              </w:rPr>
            </w:pPr>
            <w:r w:rsidRPr="0005602F">
              <w:rPr>
                <w:rFonts w:ascii="Arial" w:hAnsi="Arial" w:cs="Arial"/>
                <w:b/>
              </w:rPr>
              <w:t>Antecedent debt</w:t>
            </w:r>
          </w:p>
        </w:tc>
        <w:tc>
          <w:tcPr>
            <w:tcW w:w="2254" w:type="dxa"/>
          </w:tcPr>
          <w:p w14:paraId="660BE199" w14:textId="0F4FF2DB" w:rsidR="009D260D" w:rsidRDefault="009D260D" w:rsidP="00FD1787">
            <w:pPr>
              <w:pStyle w:val="AODocTxt"/>
              <w:spacing w:before="0" w:line="240" w:lineRule="auto"/>
              <w:jc w:val="left"/>
              <w:rPr>
                <w:rFonts w:ascii="Arial" w:hAnsi="Arial" w:cs="Arial"/>
              </w:rPr>
            </w:pPr>
            <w:r>
              <w:rPr>
                <w:rFonts w:ascii="Arial" w:hAnsi="Arial" w:cs="Arial"/>
              </w:rPr>
              <w:t xml:space="preserve">Trustee must prove that the alleged preferential transaction was made on account of antecedent debt. </w:t>
            </w:r>
          </w:p>
        </w:tc>
        <w:tc>
          <w:tcPr>
            <w:tcW w:w="4508" w:type="dxa"/>
            <w:gridSpan w:val="2"/>
          </w:tcPr>
          <w:p w14:paraId="0B44C755" w14:textId="51EBF5E6" w:rsidR="009D260D" w:rsidRDefault="009D260D" w:rsidP="00FD1787">
            <w:pPr>
              <w:pStyle w:val="AODocTxt"/>
              <w:spacing w:before="0" w:line="240" w:lineRule="auto"/>
              <w:jc w:val="left"/>
              <w:rPr>
                <w:rFonts w:ascii="Arial" w:hAnsi="Arial" w:cs="Arial"/>
              </w:rPr>
            </w:pPr>
            <w:r>
              <w:rPr>
                <w:rFonts w:ascii="Arial" w:hAnsi="Arial" w:cs="Arial"/>
              </w:rPr>
              <w:t xml:space="preserve">For the debtor to enter into a fraudulent conveyance there is no pre-requisite for an antecedent debt. </w:t>
            </w:r>
          </w:p>
        </w:tc>
      </w:tr>
      <w:tr w:rsidR="009D260D" w14:paraId="1E8E8E2D" w14:textId="77777777" w:rsidTr="00F8034F">
        <w:tc>
          <w:tcPr>
            <w:tcW w:w="2254" w:type="dxa"/>
          </w:tcPr>
          <w:p w14:paraId="5139F6DF" w14:textId="70AFF768" w:rsidR="009D260D" w:rsidRPr="0005602F" w:rsidRDefault="009D260D" w:rsidP="00355B00">
            <w:pPr>
              <w:pStyle w:val="AODocTxt"/>
              <w:spacing w:before="0" w:line="240" w:lineRule="auto"/>
              <w:jc w:val="left"/>
              <w:rPr>
                <w:rFonts w:ascii="Arial" w:hAnsi="Arial" w:cs="Arial"/>
                <w:b/>
              </w:rPr>
            </w:pPr>
            <w:r w:rsidRPr="0005602F">
              <w:rPr>
                <w:rFonts w:ascii="Arial" w:hAnsi="Arial" w:cs="Arial"/>
                <w:b/>
              </w:rPr>
              <w:t>Retention of property or enforcement of obligations</w:t>
            </w:r>
          </w:p>
        </w:tc>
        <w:tc>
          <w:tcPr>
            <w:tcW w:w="2254" w:type="dxa"/>
          </w:tcPr>
          <w:p w14:paraId="37C09E81" w14:textId="73E3D324" w:rsidR="009D260D" w:rsidRDefault="009D260D" w:rsidP="004E55D2">
            <w:pPr>
              <w:pStyle w:val="AODocTxt"/>
              <w:spacing w:before="0" w:line="240" w:lineRule="auto"/>
              <w:jc w:val="left"/>
              <w:rPr>
                <w:rFonts w:ascii="Arial" w:hAnsi="Arial" w:cs="Arial"/>
              </w:rPr>
            </w:pPr>
            <w:r>
              <w:rPr>
                <w:rFonts w:ascii="Arial" w:hAnsi="Arial" w:cs="Arial"/>
              </w:rPr>
              <w:t xml:space="preserve">The creditors are not penalized for the action, however the transaction is annulled and the property has to be returned and status quo ante is maintained  </w:t>
            </w:r>
          </w:p>
        </w:tc>
        <w:tc>
          <w:tcPr>
            <w:tcW w:w="4508" w:type="dxa"/>
            <w:gridSpan w:val="2"/>
          </w:tcPr>
          <w:p w14:paraId="1B015E62" w14:textId="086456BD" w:rsidR="009D260D" w:rsidRDefault="009D260D" w:rsidP="00FD1787">
            <w:pPr>
              <w:pStyle w:val="AODocTxt"/>
              <w:spacing w:before="0" w:line="240" w:lineRule="auto"/>
              <w:jc w:val="left"/>
              <w:rPr>
                <w:rFonts w:ascii="Arial" w:hAnsi="Arial" w:cs="Arial"/>
              </w:rPr>
            </w:pPr>
            <w:r>
              <w:rPr>
                <w:rFonts w:ascii="Arial" w:hAnsi="Arial" w:cs="Arial"/>
              </w:rPr>
              <w:t>Bonafide purchaser is exempt - retention allowed in good faith for arm’s length transactions e</w:t>
            </w:r>
            <w:r w:rsidR="008E1048">
              <w:rPr>
                <w:rFonts w:ascii="Arial" w:hAnsi="Arial" w:cs="Arial"/>
              </w:rPr>
              <w:t xml:space="preserve">xcept where the transaction is </w:t>
            </w:r>
            <w:r>
              <w:rPr>
                <w:rFonts w:ascii="Arial" w:hAnsi="Arial" w:cs="Arial"/>
              </w:rPr>
              <w:t>voidable or at an undervalue or for inadequate consideration.</w:t>
            </w:r>
          </w:p>
        </w:tc>
      </w:tr>
      <w:tr w:rsidR="009D260D" w14:paraId="4EBD5228" w14:textId="77777777" w:rsidTr="00743B5F">
        <w:tc>
          <w:tcPr>
            <w:tcW w:w="2254" w:type="dxa"/>
          </w:tcPr>
          <w:p w14:paraId="5DF10D24" w14:textId="4218B4E8" w:rsidR="009D260D" w:rsidRPr="0005602F" w:rsidRDefault="009D260D" w:rsidP="004E55D2">
            <w:pPr>
              <w:pStyle w:val="AODocTxt"/>
              <w:spacing w:before="0" w:line="240" w:lineRule="auto"/>
              <w:jc w:val="left"/>
              <w:rPr>
                <w:rFonts w:ascii="Arial" w:hAnsi="Arial" w:cs="Arial"/>
                <w:b/>
              </w:rPr>
            </w:pPr>
            <w:r>
              <w:rPr>
                <w:rFonts w:ascii="Arial" w:hAnsi="Arial" w:cs="Arial"/>
                <w:b/>
              </w:rPr>
              <w:t xml:space="preserve">Defenses against claims made </w:t>
            </w:r>
          </w:p>
        </w:tc>
        <w:tc>
          <w:tcPr>
            <w:tcW w:w="2254" w:type="dxa"/>
          </w:tcPr>
          <w:p w14:paraId="03921225" w14:textId="0C6033E1" w:rsidR="009D260D" w:rsidRDefault="009D260D" w:rsidP="00FD1787">
            <w:pPr>
              <w:pStyle w:val="AODocTxt"/>
              <w:spacing w:before="0" w:line="240" w:lineRule="auto"/>
              <w:jc w:val="left"/>
              <w:rPr>
                <w:rFonts w:ascii="Arial" w:hAnsi="Arial" w:cs="Arial"/>
              </w:rPr>
            </w:pPr>
            <w:r>
              <w:rPr>
                <w:rFonts w:ascii="Arial" w:hAnsi="Arial" w:cs="Arial"/>
              </w:rPr>
              <w:t xml:space="preserve">Number of defenses and safe harbors available </w:t>
            </w:r>
            <w:r w:rsidR="008E1048">
              <w:rPr>
                <w:rFonts w:ascii="Arial" w:hAnsi="Arial" w:cs="Arial"/>
              </w:rPr>
              <w:t xml:space="preserve">for </w:t>
            </w:r>
            <w:r>
              <w:rPr>
                <w:rFonts w:ascii="Arial" w:hAnsi="Arial" w:cs="Arial"/>
              </w:rPr>
              <w:t>creditors to keep pre-petition transfer that have occurred in the suspect period.</w:t>
            </w:r>
          </w:p>
        </w:tc>
        <w:tc>
          <w:tcPr>
            <w:tcW w:w="4508" w:type="dxa"/>
            <w:gridSpan w:val="2"/>
          </w:tcPr>
          <w:p w14:paraId="61B30073" w14:textId="77777777" w:rsidR="009D260D" w:rsidRDefault="009D260D" w:rsidP="00FD1787">
            <w:pPr>
              <w:pStyle w:val="AODocTxt"/>
              <w:spacing w:before="0" w:line="240" w:lineRule="auto"/>
              <w:jc w:val="left"/>
              <w:rPr>
                <w:rFonts w:ascii="Arial" w:hAnsi="Arial" w:cs="Arial"/>
              </w:rPr>
            </w:pPr>
            <w:r>
              <w:rPr>
                <w:rFonts w:ascii="Arial" w:hAnsi="Arial" w:cs="Arial"/>
              </w:rPr>
              <w:t>Trustee will need to show circumstantial evidence demonstrating fraudulent intent behind the transfers.</w:t>
            </w:r>
          </w:p>
          <w:p w14:paraId="2B252115" w14:textId="77777777" w:rsidR="008E1048" w:rsidRDefault="008E1048" w:rsidP="00FD1787">
            <w:pPr>
              <w:pStyle w:val="AODocTxt"/>
              <w:spacing w:before="0" w:line="240" w:lineRule="auto"/>
              <w:jc w:val="left"/>
              <w:rPr>
                <w:rFonts w:ascii="Arial" w:hAnsi="Arial" w:cs="Arial"/>
              </w:rPr>
            </w:pPr>
          </w:p>
          <w:p w14:paraId="3B12791E" w14:textId="39406A60" w:rsidR="008E1048" w:rsidRDefault="008E1048" w:rsidP="008E1048">
            <w:pPr>
              <w:pStyle w:val="AODocTxt"/>
              <w:spacing w:before="0" w:line="240" w:lineRule="auto"/>
              <w:jc w:val="left"/>
              <w:rPr>
                <w:rFonts w:ascii="Arial" w:hAnsi="Arial" w:cs="Arial"/>
              </w:rPr>
            </w:pPr>
            <w:r>
              <w:rPr>
                <w:rFonts w:ascii="Arial" w:hAnsi="Arial" w:cs="Arial"/>
              </w:rPr>
              <w:t>Intent for actual fraudulent conveyance may be proven circumstantially</w:t>
            </w:r>
            <w:r w:rsidR="009E6B2F">
              <w:rPr>
                <w:rFonts w:ascii="Arial" w:hAnsi="Arial" w:cs="Arial"/>
              </w:rPr>
              <w:t xml:space="preserve"> by the trustee</w:t>
            </w:r>
            <w:r>
              <w:rPr>
                <w:rFonts w:ascii="Arial" w:hAnsi="Arial" w:cs="Arial"/>
              </w:rPr>
              <w:t>, by reference to the “badges of fraud” developed under the state fraudulent transfer laws.</w:t>
            </w:r>
          </w:p>
        </w:tc>
      </w:tr>
    </w:tbl>
    <w:p w14:paraId="20CB9928" w14:textId="77777777" w:rsidR="00E74D17" w:rsidRPr="00E74D17" w:rsidRDefault="00E74D17" w:rsidP="00E74D17">
      <w:pPr>
        <w:pStyle w:val="AODocTxt"/>
        <w:spacing w:before="0" w:line="240" w:lineRule="auto"/>
        <w:rPr>
          <w:rFonts w:ascii="Arial" w:hAnsi="Arial" w:cs="Arial"/>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288CC283" w14:textId="77777777" w:rsidR="007E1A15" w:rsidRPr="002A1367" w:rsidRDefault="007E1A15" w:rsidP="007E1A15">
      <w:pPr>
        <w:ind w:left="720" w:hanging="720"/>
        <w:jc w:val="both"/>
        <w:rPr>
          <w:rFonts w:ascii="Arial" w:hAnsi="Arial" w:cs="Arial"/>
          <w:b/>
          <w:sz w:val="22"/>
          <w:szCs w:val="22"/>
          <w:lang w:val="en-GB"/>
        </w:rPr>
      </w:pPr>
      <w:r w:rsidRPr="002A1367">
        <w:rPr>
          <w:rFonts w:ascii="Arial" w:hAnsi="Arial" w:cs="Arial"/>
          <w:b/>
          <w:sz w:val="22"/>
          <w:szCs w:val="22"/>
          <w:lang w:val="en-GB"/>
        </w:rPr>
        <w:t>ANSWER</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24133222" w14:textId="0FF989B4" w:rsidR="002601CC" w:rsidRDefault="002601CC" w:rsidP="002601CC">
      <w:pPr>
        <w:pStyle w:val="AODocTxt"/>
        <w:spacing w:before="0" w:line="240" w:lineRule="auto"/>
        <w:rPr>
          <w:rFonts w:ascii="Arial" w:hAnsi="Arial" w:cs="Arial"/>
        </w:rPr>
      </w:pPr>
      <w:r w:rsidRPr="002601CC">
        <w:rPr>
          <w:rFonts w:ascii="Arial" w:hAnsi="Arial" w:cs="Arial"/>
        </w:rPr>
        <w:t xml:space="preserve">Chapter 15 </w:t>
      </w:r>
      <w:r w:rsidR="006E349A">
        <w:rPr>
          <w:rFonts w:ascii="Arial" w:hAnsi="Arial" w:cs="Arial"/>
        </w:rPr>
        <w:t xml:space="preserve">and the UNCITRAL </w:t>
      </w:r>
      <w:r w:rsidR="00136E19">
        <w:rPr>
          <w:rFonts w:ascii="Arial" w:hAnsi="Arial" w:cs="Arial"/>
        </w:rPr>
        <w:t xml:space="preserve">model law (MLCBI) </w:t>
      </w:r>
      <w:r w:rsidR="00524E1A" w:rsidRPr="002601CC">
        <w:rPr>
          <w:rFonts w:ascii="Arial" w:hAnsi="Arial" w:cs="Arial"/>
        </w:rPr>
        <w:t>outline</w:t>
      </w:r>
      <w:r w:rsidR="00524E1A" w:rsidRPr="002601CC">
        <w:rPr>
          <w:rFonts w:ascii="Arial" w:hAnsi="Arial" w:cs="Arial"/>
        </w:rPr>
        <w:t xml:space="preserve"> </w:t>
      </w:r>
      <w:r w:rsidRPr="002601CC">
        <w:rPr>
          <w:rFonts w:ascii="Arial" w:hAnsi="Arial" w:cs="Arial"/>
        </w:rPr>
        <w:t xml:space="preserve">how a foreign proceeding </w:t>
      </w:r>
      <w:r>
        <w:rPr>
          <w:rFonts w:ascii="Arial" w:hAnsi="Arial" w:cs="Arial"/>
        </w:rPr>
        <w:t xml:space="preserve">can be recognized by a US bankruptcy court. A Chapter 15 case can only be commenced on the bankruptcy court recognizing a foreign insolvency proceeding on filing of a petition by a foreign representative of the debtor in the foreign insolvency proceeding. The debtor in a foreign insolvency proceeding is not entitled </w:t>
      </w:r>
      <w:r w:rsidR="00624206">
        <w:rPr>
          <w:rFonts w:ascii="Arial" w:hAnsi="Arial" w:cs="Arial"/>
        </w:rPr>
        <w:t>to any relief, including automatic stay, until the bankruptcy court actually recognizes the proceedings.</w:t>
      </w:r>
    </w:p>
    <w:p w14:paraId="1BAB786F" w14:textId="77777777" w:rsidR="00C413C2" w:rsidRDefault="00C413C2" w:rsidP="002601CC">
      <w:pPr>
        <w:pStyle w:val="AODocTxt"/>
        <w:spacing w:before="0" w:line="240" w:lineRule="auto"/>
        <w:rPr>
          <w:rFonts w:ascii="Arial" w:hAnsi="Arial" w:cs="Arial"/>
        </w:rPr>
      </w:pPr>
    </w:p>
    <w:p w14:paraId="7D0BA0DE" w14:textId="3BCE7C61" w:rsidR="00FE6C95" w:rsidRDefault="00C413C2" w:rsidP="00E97E38">
      <w:pPr>
        <w:pStyle w:val="AODocTxt"/>
        <w:spacing w:before="0" w:line="240" w:lineRule="auto"/>
        <w:rPr>
          <w:rFonts w:ascii="Arial" w:hAnsi="Arial" w:cs="Arial"/>
        </w:rPr>
      </w:pPr>
      <w:r>
        <w:rPr>
          <w:rFonts w:ascii="Arial" w:hAnsi="Arial" w:cs="Arial"/>
        </w:rPr>
        <w:t xml:space="preserve">Foreign main proceedings are commenced at the debtor’s Centre </w:t>
      </w:r>
      <w:proofErr w:type="gramStart"/>
      <w:r>
        <w:rPr>
          <w:rFonts w:ascii="Arial" w:hAnsi="Arial" w:cs="Arial"/>
        </w:rPr>
        <w:t>Of</w:t>
      </w:r>
      <w:proofErr w:type="gramEnd"/>
      <w:r>
        <w:rPr>
          <w:rFonts w:ascii="Arial" w:hAnsi="Arial" w:cs="Arial"/>
        </w:rPr>
        <w:t xml:space="preserve"> Main Interest (COMI) and foreign non-main proceedings are commenced at the place where the debtor has an establishment.</w:t>
      </w:r>
      <w:r w:rsidR="00541B45">
        <w:rPr>
          <w:rFonts w:ascii="Arial" w:hAnsi="Arial" w:cs="Arial"/>
        </w:rPr>
        <w:t xml:space="preserve"> As per UNCITRAL</w:t>
      </w:r>
      <w:r w:rsidR="003B6798">
        <w:rPr>
          <w:rFonts w:ascii="Arial" w:hAnsi="Arial" w:cs="Arial"/>
        </w:rPr>
        <w:t xml:space="preserve"> Guide to Enactment and Interpretation,</w:t>
      </w:r>
      <w:r w:rsidR="00541B45">
        <w:rPr>
          <w:rFonts w:ascii="Arial" w:hAnsi="Arial" w:cs="Arial"/>
        </w:rPr>
        <w:t xml:space="preserve"> both COMI and establishment is reckoned </w:t>
      </w:r>
      <w:r w:rsidR="003B6798">
        <w:rPr>
          <w:rFonts w:ascii="Arial" w:hAnsi="Arial" w:cs="Arial"/>
        </w:rPr>
        <w:t xml:space="preserve">from the date of commencement of the foreign proceeding. </w:t>
      </w:r>
      <w:r w:rsidR="00CD07CF">
        <w:rPr>
          <w:rFonts w:ascii="Arial" w:hAnsi="Arial" w:cs="Arial"/>
        </w:rPr>
        <w:t xml:space="preserve">The US Bankruptcy law typically uses concepts of domicile, principal place of business and location of assets to determine jurisdiction and venue. </w:t>
      </w:r>
      <w:r w:rsidR="003B6798">
        <w:rPr>
          <w:rFonts w:ascii="Arial" w:hAnsi="Arial" w:cs="Arial"/>
        </w:rPr>
        <w:t xml:space="preserve">Concepts of COMI and establishment are imported into US Bankruptcy Code from the European Insolvency Regulations via the UNCITRAL </w:t>
      </w:r>
      <w:r w:rsidR="00136E19">
        <w:rPr>
          <w:rFonts w:ascii="Arial" w:hAnsi="Arial" w:cs="Arial"/>
        </w:rPr>
        <w:t>MLCBI</w:t>
      </w:r>
      <w:r w:rsidR="00020ACC">
        <w:rPr>
          <w:rFonts w:ascii="Arial" w:hAnsi="Arial" w:cs="Arial"/>
        </w:rPr>
        <w:t>.</w:t>
      </w:r>
      <w:r w:rsidR="00E52EE3">
        <w:rPr>
          <w:rFonts w:ascii="Arial" w:hAnsi="Arial" w:cs="Arial"/>
        </w:rPr>
        <w:t xml:space="preserve"> </w:t>
      </w:r>
      <w:r w:rsidR="006E349A">
        <w:rPr>
          <w:rFonts w:ascii="Arial" w:hAnsi="Arial" w:cs="Arial"/>
        </w:rPr>
        <w:t xml:space="preserve">Hence the US Bankruptcy Courts will determine </w:t>
      </w:r>
      <w:r w:rsidR="006E349A" w:rsidRPr="00583D8E">
        <w:rPr>
          <w:rFonts w:ascii="Arial" w:hAnsi="Arial" w:cs="Arial"/>
        </w:rPr>
        <w:t xml:space="preserve">whether a foreign proceeding is a main or non-main proceeding </w:t>
      </w:r>
      <w:r w:rsidR="0068187F">
        <w:rPr>
          <w:rFonts w:ascii="Arial" w:hAnsi="Arial" w:cs="Arial"/>
        </w:rPr>
        <w:t>basis debtor’s COMI. U</w:t>
      </w:r>
      <w:r w:rsidR="006E349A" w:rsidRPr="00583D8E">
        <w:rPr>
          <w:rFonts w:ascii="Arial" w:hAnsi="Arial" w:cs="Arial"/>
        </w:rPr>
        <w:t xml:space="preserve">nder </w:t>
      </w:r>
      <w:r w:rsidR="001B41F8">
        <w:rPr>
          <w:rFonts w:ascii="Arial" w:hAnsi="Arial" w:cs="Arial"/>
        </w:rPr>
        <w:t>11 USC Code section 1516</w:t>
      </w:r>
      <w:r w:rsidR="0068187F">
        <w:rPr>
          <w:rFonts w:ascii="Arial" w:hAnsi="Arial" w:cs="Arial"/>
        </w:rPr>
        <w:t>(c), debtor’s COMI is presumed to be in the country of the debtor’s registered office, however, this presumption is rebuttable</w:t>
      </w:r>
      <w:r w:rsidR="00E97E38">
        <w:rPr>
          <w:rFonts w:ascii="Arial" w:hAnsi="Arial" w:cs="Arial"/>
        </w:rPr>
        <w:t>.</w:t>
      </w:r>
      <w:r w:rsidR="0073265C">
        <w:rPr>
          <w:rFonts w:ascii="Arial" w:hAnsi="Arial" w:cs="Arial"/>
        </w:rPr>
        <w:t xml:space="preserve"> </w:t>
      </w:r>
    </w:p>
    <w:p w14:paraId="7CFE6962" w14:textId="77777777" w:rsidR="00FE6C95" w:rsidRDefault="00FE6C95" w:rsidP="00E97E38">
      <w:pPr>
        <w:pStyle w:val="AODocTxt"/>
        <w:spacing w:before="0" w:line="240" w:lineRule="auto"/>
        <w:rPr>
          <w:rFonts w:ascii="Arial" w:hAnsi="Arial" w:cs="Arial"/>
        </w:rPr>
      </w:pPr>
    </w:p>
    <w:p w14:paraId="45BD7C1D" w14:textId="42276946" w:rsidR="008061F5" w:rsidRDefault="0073265C" w:rsidP="00E97E38">
      <w:pPr>
        <w:pStyle w:val="AODocTxt"/>
        <w:spacing w:before="0" w:line="240" w:lineRule="auto"/>
        <w:rPr>
          <w:rFonts w:ascii="Arial" w:hAnsi="Arial" w:cs="Arial"/>
        </w:rPr>
      </w:pPr>
      <w:r>
        <w:rPr>
          <w:rFonts w:ascii="Arial" w:hAnsi="Arial" w:cs="Arial"/>
        </w:rPr>
        <w:t>A debtor’s COMI can be determined</w:t>
      </w:r>
      <w:r w:rsidR="008061F5">
        <w:rPr>
          <w:rFonts w:ascii="Arial" w:hAnsi="Arial" w:cs="Arial"/>
        </w:rPr>
        <w:t xml:space="preserve"> basis the following factors:</w:t>
      </w:r>
    </w:p>
    <w:p w14:paraId="40FFB6C6" w14:textId="10B119A7" w:rsidR="008061F5" w:rsidRDefault="008061F5" w:rsidP="00FE6C95">
      <w:pPr>
        <w:pStyle w:val="AODocTxt"/>
        <w:numPr>
          <w:ilvl w:val="0"/>
          <w:numId w:val="36"/>
        </w:numPr>
        <w:spacing w:before="0" w:line="240" w:lineRule="auto"/>
        <w:rPr>
          <w:rFonts w:ascii="Arial" w:hAnsi="Arial" w:cs="Arial"/>
        </w:rPr>
      </w:pPr>
      <w:r>
        <w:rPr>
          <w:rFonts w:ascii="Arial" w:hAnsi="Arial" w:cs="Arial"/>
        </w:rPr>
        <w:t>Location of headquarters</w:t>
      </w:r>
    </w:p>
    <w:p w14:paraId="782DD0D3" w14:textId="536294A5" w:rsidR="008061F5" w:rsidRDefault="008061F5" w:rsidP="00FE6C95">
      <w:pPr>
        <w:pStyle w:val="AODocTxt"/>
        <w:numPr>
          <w:ilvl w:val="0"/>
          <w:numId w:val="36"/>
        </w:numPr>
        <w:spacing w:before="0" w:line="240" w:lineRule="auto"/>
        <w:rPr>
          <w:rFonts w:ascii="Arial" w:hAnsi="Arial" w:cs="Arial"/>
        </w:rPr>
      </w:pPr>
      <w:r>
        <w:rPr>
          <w:rFonts w:ascii="Arial" w:hAnsi="Arial" w:cs="Arial"/>
        </w:rPr>
        <w:t>Location of management</w:t>
      </w:r>
    </w:p>
    <w:p w14:paraId="1517F6C5" w14:textId="454BB387" w:rsidR="008061F5" w:rsidRDefault="008061F5" w:rsidP="00FE6C95">
      <w:pPr>
        <w:pStyle w:val="AODocTxt"/>
        <w:numPr>
          <w:ilvl w:val="0"/>
          <w:numId w:val="36"/>
        </w:numPr>
        <w:spacing w:before="0" w:line="240" w:lineRule="auto"/>
        <w:rPr>
          <w:rFonts w:ascii="Arial" w:hAnsi="Arial" w:cs="Arial"/>
        </w:rPr>
      </w:pPr>
      <w:r>
        <w:rPr>
          <w:rFonts w:ascii="Arial" w:hAnsi="Arial" w:cs="Arial"/>
        </w:rPr>
        <w:t>Location of primary assets</w:t>
      </w:r>
    </w:p>
    <w:p w14:paraId="5E3F812E" w14:textId="6DC09151" w:rsidR="008061F5" w:rsidRDefault="008061F5" w:rsidP="00FE6C95">
      <w:pPr>
        <w:pStyle w:val="AODocTxt"/>
        <w:numPr>
          <w:ilvl w:val="0"/>
          <w:numId w:val="36"/>
        </w:numPr>
        <w:spacing w:before="0" w:line="240" w:lineRule="auto"/>
        <w:rPr>
          <w:rFonts w:ascii="Arial" w:hAnsi="Arial" w:cs="Arial"/>
        </w:rPr>
      </w:pPr>
      <w:r>
        <w:rPr>
          <w:rFonts w:ascii="Arial" w:hAnsi="Arial" w:cs="Arial"/>
        </w:rPr>
        <w:t>Location of majority of debtor’s creditors or majority of creditors who will be affected by the relief requested</w:t>
      </w:r>
    </w:p>
    <w:p w14:paraId="5065D59C" w14:textId="54347F7C" w:rsidR="008061F5" w:rsidRDefault="008061F5" w:rsidP="00FE6C95">
      <w:pPr>
        <w:pStyle w:val="AODocTxt"/>
        <w:numPr>
          <w:ilvl w:val="0"/>
          <w:numId w:val="36"/>
        </w:numPr>
        <w:spacing w:before="0" w:line="240" w:lineRule="auto"/>
        <w:rPr>
          <w:rFonts w:ascii="Arial" w:hAnsi="Arial" w:cs="Arial"/>
        </w:rPr>
      </w:pPr>
      <w:r>
        <w:rPr>
          <w:rFonts w:ascii="Arial" w:hAnsi="Arial" w:cs="Arial"/>
        </w:rPr>
        <w:t>Jurisdiction whose law will apply to most disputes</w:t>
      </w:r>
    </w:p>
    <w:p w14:paraId="712F3669" w14:textId="77777777" w:rsidR="008061F5" w:rsidRDefault="008061F5" w:rsidP="00E97E38">
      <w:pPr>
        <w:pStyle w:val="AODocTxt"/>
        <w:spacing w:before="0" w:line="240" w:lineRule="auto"/>
        <w:rPr>
          <w:rFonts w:ascii="Arial" w:hAnsi="Arial" w:cs="Arial"/>
        </w:rPr>
      </w:pPr>
    </w:p>
    <w:p w14:paraId="3B4741C5" w14:textId="7395C85D" w:rsidR="008061F5" w:rsidRDefault="008061F5" w:rsidP="00E97E38">
      <w:pPr>
        <w:pStyle w:val="AODocTxt"/>
        <w:spacing w:before="0" w:line="240" w:lineRule="auto"/>
        <w:rPr>
          <w:rFonts w:ascii="Arial" w:hAnsi="Arial" w:cs="Arial"/>
        </w:rPr>
      </w:pPr>
      <w:r>
        <w:rPr>
          <w:rFonts w:ascii="Arial" w:hAnsi="Arial" w:cs="Arial"/>
        </w:rPr>
        <w:t>COMI should be ascertainable by debtor’s creditors</w:t>
      </w:r>
      <w:r w:rsidR="00FE6C95">
        <w:rPr>
          <w:rFonts w:ascii="Arial" w:hAnsi="Arial" w:cs="Arial"/>
        </w:rPr>
        <w:t xml:space="preserve"> </w:t>
      </w:r>
      <w:r>
        <w:rPr>
          <w:rFonts w:ascii="Arial" w:hAnsi="Arial" w:cs="Arial"/>
        </w:rPr>
        <w:t>or third parties on the basis of objective evidence.</w:t>
      </w:r>
    </w:p>
    <w:p w14:paraId="19EC3400" w14:textId="77777777" w:rsidR="008061F5" w:rsidRDefault="008061F5" w:rsidP="00E97E38">
      <w:pPr>
        <w:pStyle w:val="AODocTxt"/>
        <w:spacing w:before="0" w:line="240" w:lineRule="auto"/>
        <w:rPr>
          <w:rFonts w:ascii="Arial" w:hAnsi="Arial" w:cs="Arial"/>
        </w:rPr>
      </w:pPr>
    </w:p>
    <w:p w14:paraId="5A0D1628" w14:textId="2F931C3E" w:rsidR="008061F5" w:rsidRPr="008061F5" w:rsidRDefault="008061F5" w:rsidP="00E97E38">
      <w:pPr>
        <w:pStyle w:val="AODocTxt"/>
        <w:spacing w:before="0" w:line="240" w:lineRule="auto"/>
        <w:rPr>
          <w:rFonts w:ascii="Arial" w:hAnsi="Arial" w:cs="Arial"/>
        </w:rPr>
      </w:pPr>
      <w:r>
        <w:rPr>
          <w:rFonts w:ascii="Arial" w:hAnsi="Arial" w:cs="Arial"/>
        </w:rPr>
        <w:t xml:space="preserve">Proceedings in </w:t>
      </w:r>
      <w:r w:rsidR="00FE6C95">
        <w:rPr>
          <w:rFonts w:ascii="Arial" w:hAnsi="Arial" w:cs="Arial"/>
        </w:rPr>
        <w:t>jurisdiction</w:t>
      </w:r>
      <w:r>
        <w:rPr>
          <w:rFonts w:ascii="Arial" w:hAnsi="Arial" w:cs="Arial"/>
        </w:rPr>
        <w:t xml:space="preserve"> other than debtor’s COMI can be </w:t>
      </w:r>
      <w:r w:rsidR="00FE6C95">
        <w:rPr>
          <w:rFonts w:ascii="Arial" w:hAnsi="Arial" w:cs="Arial"/>
        </w:rPr>
        <w:t>recognized</w:t>
      </w:r>
      <w:r>
        <w:rPr>
          <w:rFonts w:ascii="Arial" w:hAnsi="Arial" w:cs="Arial"/>
        </w:rPr>
        <w:t xml:space="preserve"> as a foreign non-</w:t>
      </w:r>
      <w:r w:rsidR="00FE6C95">
        <w:rPr>
          <w:rFonts w:ascii="Arial" w:hAnsi="Arial" w:cs="Arial"/>
        </w:rPr>
        <w:t>main</w:t>
      </w:r>
      <w:r>
        <w:rPr>
          <w:rFonts w:ascii="Arial" w:hAnsi="Arial" w:cs="Arial"/>
        </w:rPr>
        <w:t xml:space="preserve"> proceedings only if the debtor has an establishment in that jurisdiction.</w:t>
      </w:r>
    </w:p>
    <w:p w14:paraId="48D61C59" w14:textId="77777777" w:rsidR="00E40583" w:rsidRDefault="00E40583"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41AC42D7" w14:textId="7EFC3FB7" w:rsidR="00805305" w:rsidRDefault="004828F4" w:rsidP="004F7B99">
      <w:pPr>
        <w:jc w:val="both"/>
        <w:rPr>
          <w:rFonts w:ascii="Arial" w:hAnsi="Arial" w:cs="Arial"/>
          <w:b/>
          <w:sz w:val="22"/>
          <w:szCs w:val="22"/>
          <w:lang w:val="en-GB"/>
        </w:rPr>
      </w:pPr>
      <w:r w:rsidRPr="002A1367">
        <w:rPr>
          <w:rFonts w:ascii="Arial" w:hAnsi="Arial" w:cs="Arial"/>
          <w:b/>
          <w:sz w:val="22"/>
          <w:szCs w:val="22"/>
          <w:lang w:val="en-GB"/>
        </w:rPr>
        <w:t>ANSWER</w:t>
      </w:r>
    </w:p>
    <w:p w14:paraId="3032B002" w14:textId="77777777" w:rsidR="00FF6144" w:rsidRDefault="00FF6144" w:rsidP="004F7B99">
      <w:pPr>
        <w:jc w:val="both"/>
        <w:rPr>
          <w:rFonts w:ascii="Arial" w:hAnsi="Arial" w:cs="Arial"/>
          <w:b/>
          <w:sz w:val="22"/>
          <w:szCs w:val="22"/>
          <w:lang w:val="en-GB"/>
        </w:rPr>
      </w:pPr>
    </w:p>
    <w:p w14:paraId="0A98E7A9" w14:textId="5684348F" w:rsidR="00B4717A" w:rsidRDefault="00D60BF2" w:rsidP="004F7B99">
      <w:pPr>
        <w:jc w:val="both"/>
        <w:rPr>
          <w:rFonts w:ascii="Arial" w:hAnsi="Arial" w:cs="Arial"/>
          <w:sz w:val="22"/>
          <w:szCs w:val="22"/>
          <w:lang w:val="en-GB"/>
        </w:rPr>
      </w:pPr>
      <w:r>
        <w:rPr>
          <w:rFonts w:ascii="Arial" w:hAnsi="Arial" w:cs="Arial"/>
          <w:sz w:val="22"/>
          <w:szCs w:val="22"/>
          <w:lang w:val="en-GB"/>
        </w:rPr>
        <w:t>Once chapter 11 petition is filed by a debtor</w:t>
      </w:r>
      <w:r w:rsidR="005D4BB2">
        <w:rPr>
          <w:rFonts w:ascii="Arial" w:hAnsi="Arial" w:cs="Arial"/>
          <w:sz w:val="22"/>
          <w:szCs w:val="22"/>
          <w:lang w:val="en-GB"/>
        </w:rPr>
        <w:t>,</w:t>
      </w:r>
      <w:r>
        <w:rPr>
          <w:rFonts w:ascii="Arial" w:hAnsi="Arial" w:cs="Arial"/>
          <w:sz w:val="22"/>
          <w:szCs w:val="22"/>
          <w:lang w:val="en-GB"/>
        </w:rPr>
        <w:t xml:space="preserve"> a worldwide automatic stay comes into effect providing breathing space to the debtor to re-organise his business through a </w:t>
      </w:r>
      <w:r w:rsidR="00B4717A">
        <w:rPr>
          <w:rFonts w:ascii="Arial" w:hAnsi="Arial" w:cs="Arial"/>
          <w:sz w:val="22"/>
          <w:szCs w:val="22"/>
          <w:lang w:val="en-GB"/>
        </w:rPr>
        <w:t>properl</w:t>
      </w:r>
      <w:r>
        <w:rPr>
          <w:rFonts w:ascii="Arial" w:hAnsi="Arial" w:cs="Arial"/>
          <w:sz w:val="22"/>
          <w:szCs w:val="22"/>
          <w:lang w:val="en-GB"/>
        </w:rPr>
        <w:t>y formu</w:t>
      </w:r>
      <w:r w:rsidR="00B4717A">
        <w:rPr>
          <w:rFonts w:ascii="Arial" w:hAnsi="Arial" w:cs="Arial"/>
          <w:sz w:val="22"/>
          <w:szCs w:val="22"/>
          <w:lang w:val="en-GB"/>
        </w:rPr>
        <w:t>lat</w:t>
      </w:r>
      <w:r>
        <w:rPr>
          <w:rFonts w:ascii="Arial" w:hAnsi="Arial" w:cs="Arial"/>
          <w:sz w:val="22"/>
          <w:szCs w:val="22"/>
          <w:lang w:val="en-GB"/>
        </w:rPr>
        <w:t xml:space="preserve">ed </w:t>
      </w:r>
      <w:r w:rsidR="00B4717A">
        <w:rPr>
          <w:rFonts w:ascii="Arial" w:hAnsi="Arial" w:cs="Arial"/>
          <w:sz w:val="22"/>
          <w:szCs w:val="22"/>
          <w:lang w:val="en-GB"/>
        </w:rPr>
        <w:t>re</w:t>
      </w:r>
      <w:r>
        <w:rPr>
          <w:rFonts w:ascii="Arial" w:hAnsi="Arial" w:cs="Arial"/>
          <w:sz w:val="22"/>
          <w:szCs w:val="22"/>
          <w:lang w:val="en-GB"/>
        </w:rPr>
        <w:t>s</w:t>
      </w:r>
      <w:r w:rsidR="00B4717A">
        <w:rPr>
          <w:rFonts w:ascii="Arial" w:hAnsi="Arial" w:cs="Arial"/>
          <w:sz w:val="22"/>
          <w:szCs w:val="22"/>
          <w:lang w:val="en-GB"/>
        </w:rPr>
        <w:t>tructuring</w:t>
      </w:r>
      <w:r>
        <w:rPr>
          <w:rFonts w:ascii="Arial" w:hAnsi="Arial" w:cs="Arial"/>
          <w:sz w:val="22"/>
          <w:szCs w:val="22"/>
          <w:lang w:val="en-GB"/>
        </w:rPr>
        <w:t xml:space="preserve"> plan</w:t>
      </w:r>
      <w:r w:rsidR="005D4BB2">
        <w:rPr>
          <w:rFonts w:ascii="Arial" w:hAnsi="Arial" w:cs="Arial"/>
          <w:sz w:val="22"/>
          <w:szCs w:val="22"/>
          <w:lang w:val="en-GB"/>
        </w:rPr>
        <w:t>, negotiate</w:t>
      </w:r>
      <w:r w:rsidR="00B4717A">
        <w:rPr>
          <w:rFonts w:ascii="Arial" w:hAnsi="Arial" w:cs="Arial"/>
          <w:sz w:val="22"/>
          <w:szCs w:val="22"/>
          <w:lang w:val="en-GB"/>
        </w:rPr>
        <w:t xml:space="preserve"> with </w:t>
      </w:r>
      <w:r w:rsidR="005D4BB2">
        <w:rPr>
          <w:rFonts w:ascii="Arial" w:hAnsi="Arial" w:cs="Arial"/>
          <w:sz w:val="22"/>
          <w:szCs w:val="22"/>
          <w:lang w:val="en-GB"/>
        </w:rPr>
        <w:t>creditors and sell assets</w:t>
      </w:r>
      <w:r w:rsidR="00B4717A">
        <w:rPr>
          <w:rFonts w:ascii="Arial" w:hAnsi="Arial" w:cs="Arial"/>
          <w:sz w:val="22"/>
          <w:szCs w:val="22"/>
          <w:lang w:val="en-GB"/>
        </w:rPr>
        <w:t xml:space="preserve"> in an orderly manner</w:t>
      </w:r>
      <w:r w:rsidR="000C7897">
        <w:rPr>
          <w:rFonts w:ascii="Arial" w:hAnsi="Arial" w:cs="Arial"/>
          <w:sz w:val="22"/>
          <w:szCs w:val="22"/>
          <w:lang w:val="en-GB"/>
        </w:rPr>
        <w:t>,</w:t>
      </w:r>
      <w:r w:rsidR="00B4717A">
        <w:rPr>
          <w:rFonts w:ascii="Arial" w:hAnsi="Arial" w:cs="Arial"/>
          <w:sz w:val="22"/>
          <w:szCs w:val="22"/>
          <w:lang w:val="en-GB"/>
        </w:rPr>
        <w:t xml:space="preserve"> </w:t>
      </w:r>
      <w:r w:rsidR="000C7897">
        <w:rPr>
          <w:rFonts w:ascii="Arial" w:hAnsi="Arial" w:cs="Arial"/>
          <w:sz w:val="22"/>
          <w:szCs w:val="22"/>
          <w:lang w:val="en-GB"/>
        </w:rPr>
        <w:t xml:space="preserve">for the process </w:t>
      </w:r>
      <w:r w:rsidR="00B4717A">
        <w:rPr>
          <w:rFonts w:ascii="Arial" w:hAnsi="Arial" w:cs="Arial"/>
          <w:sz w:val="22"/>
          <w:szCs w:val="22"/>
          <w:lang w:val="en-GB"/>
        </w:rPr>
        <w:t>culminating into settlement of creditors in accordance to the priorities set out in the Bankruptcy Code.</w:t>
      </w:r>
      <w:r w:rsidR="004339AD">
        <w:rPr>
          <w:rFonts w:ascii="Arial" w:hAnsi="Arial" w:cs="Arial"/>
          <w:sz w:val="22"/>
          <w:szCs w:val="22"/>
          <w:lang w:val="en-GB"/>
        </w:rPr>
        <w:t xml:space="preserve"> The automatic stay under chapter 11 is intended to prohibit actions related recovery of debt</w:t>
      </w:r>
      <w:r w:rsidR="00C01966">
        <w:rPr>
          <w:rFonts w:ascii="Arial" w:hAnsi="Arial" w:cs="Arial"/>
          <w:sz w:val="22"/>
          <w:szCs w:val="22"/>
          <w:lang w:val="en-GB"/>
        </w:rPr>
        <w:t xml:space="preserve"> agai</w:t>
      </w:r>
      <w:r w:rsidR="0087798C">
        <w:rPr>
          <w:rFonts w:ascii="Arial" w:hAnsi="Arial" w:cs="Arial"/>
          <w:sz w:val="22"/>
          <w:szCs w:val="22"/>
          <w:lang w:val="en-GB"/>
        </w:rPr>
        <w:t>n</w:t>
      </w:r>
      <w:r w:rsidR="00C01966">
        <w:rPr>
          <w:rFonts w:ascii="Arial" w:hAnsi="Arial" w:cs="Arial"/>
          <w:sz w:val="22"/>
          <w:szCs w:val="22"/>
          <w:lang w:val="en-GB"/>
        </w:rPr>
        <w:t>s</w:t>
      </w:r>
      <w:r w:rsidR="0087798C">
        <w:rPr>
          <w:rFonts w:ascii="Arial" w:hAnsi="Arial" w:cs="Arial"/>
          <w:sz w:val="22"/>
          <w:szCs w:val="22"/>
          <w:lang w:val="en-GB"/>
        </w:rPr>
        <w:t>t the assets of the debtor.</w:t>
      </w:r>
      <w:r w:rsidR="00CE692A">
        <w:rPr>
          <w:rFonts w:ascii="Arial" w:hAnsi="Arial" w:cs="Arial"/>
          <w:sz w:val="22"/>
          <w:szCs w:val="22"/>
          <w:lang w:val="en-GB"/>
        </w:rPr>
        <w:t xml:space="preserve"> Any proceedings that do not result in endangering, diminishing, dissipating or adversely impacting the assets of the debtor are not prohibited</w:t>
      </w:r>
      <w:r w:rsidR="00D04C67">
        <w:rPr>
          <w:rFonts w:ascii="Arial" w:hAnsi="Arial" w:cs="Arial"/>
          <w:sz w:val="22"/>
          <w:szCs w:val="22"/>
          <w:lang w:val="en-GB"/>
        </w:rPr>
        <w:t>.</w:t>
      </w:r>
    </w:p>
    <w:p w14:paraId="4D50C81E" w14:textId="26FBF312" w:rsidR="00D60BF2" w:rsidRDefault="00D60BF2" w:rsidP="004F7B99">
      <w:pPr>
        <w:jc w:val="both"/>
        <w:rPr>
          <w:rFonts w:ascii="Arial" w:hAnsi="Arial" w:cs="Arial"/>
          <w:sz w:val="22"/>
          <w:szCs w:val="22"/>
          <w:lang w:val="en-GB"/>
        </w:rPr>
      </w:pPr>
      <w:r>
        <w:rPr>
          <w:rFonts w:ascii="Arial" w:hAnsi="Arial" w:cs="Arial"/>
          <w:sz w:val="22"/>
          <w:szCs w:val="22"/>
          <w:lang w:val="en-GB"/>
        </w:rPr>
        <w:tab/>
      </w:r>
    </w:p>
    <w:p w14:paraId="4FAD90E9" w14:textId="20B9B92C" w:rsidR="00FF6144" w:rsidRPr="00FF6144" w:rsidRDefault="00FF6144" w:rsidP="004F7B99">
      <w:pPr>
        <w:jc w:val="both"/>
        <w:rPr>
          <w:rFonts w:ascii="Arial" w:hAnsi="Arial" w:cs="Arial"/>
          <w:sz w:val="22"/>
          <w:szCs w:val="22"/>
          <w:lang w:val="en-GB"/>
        </w:rPr>
      </w:pPr>
      <w:r>
        <w:rPr>
          <w:rFonts w:ascii="Arial" w:hAnsi="Arial" w:cs="Arial"/>
          <w:sz w:val="22"/>
          <w:szCs w:val="22"/>
          <w:lang w:val="en-GB"/>
        </w:rPr>
        <w:t>E</w:t>
      </w:r>
      <w:r w:rsidRPr="00FF6144">
        <w:rPr>
          <w:rFonts w:ascii="Arial" w:hAnsi="Arial" w:cs="Arial"/>
          <w:sz w:val="22"/>
          <w:szCs w:val="22"/>
          <w:lang w:val="en-GB"/>
        </w:rPr>
        <w:t>ffect of a chapter 11 petition being filed by Rental Corporation on</w:t>
      </w:r>
    </w:p>
    <w:p w14:paraId="509D17A1" w14:textId="77777777" w:rsidR="00FF6144" w:rsidRDefault="00FF6144" w:rsidP="004F7B99">
      <w:pPr>
        <w:jc w:val="both"/>
        <w:rPr>
          <w:rFonts w:ascii="Arial" w:hAnsi="Arial" w:cs="Arial"/>
          <w:b/>
          <w:sz w:val="22"/>
          <w:szCs w:val="22"/>
          <w:lang w:val="en-GB"/>
        </w:rPr>
      </w:pPr>
    </w:p>
    <w:p w14:paraId="126DA9F1" w14:textId="156B8515" w:rsidR="00FF6144" w:rsidRPr="000C7897" w:rsidRDefault="00FF6144" w:rsidP="004F7B99">
      <w:pPr>
        <w:jc w:val="both"/>
        <w:rPr>
          <w:rFonts w:ascii="Arial" w:hAnsi="Arial" w:cs="Arial"/>
          <w:sz w:val="22"/>
        </w:rPr>
      </w:pPr>
      <w:r w:rsidRPr="000C7897">
        <w:rPr>
          <w:rFonts w:ascii="Arial" w:hAnsi="Arial" w:cs="Arial"/>
          <w:sz w:val="22"/>
        </w:rPr>
        <w:lastRenderedPageBreak/>
        <w:t>(</w:t>
      </w:r>
      <w:proofErr w:type="spellStart"/>
      <w:r w:rsidRPr="000C7897">
        <w:rPr>
          <w:rFonts w:ascii="Arial" w:hAnsi="Arial" w:cs="Arial"/>
          <w:sz w:val="22"/>
        </w:rPr>
        <w:t>i</w:t>
      </w:r>
      <w:proofErr w:type="spellEnd"/>
      <w:r w:rsidRPr="000C7897">
        <w:rPr>
          <w:rFonts w:ascii="Arial" w:hAnsi="Arial" w:cs="Arial"/>
          <w:sz w:val="22"/>
        </w:rPr>
        <w:t xml:space="preserve">) </w:t>
      </w:r>
      <w:proofErr w:type="gramStart"/>
      <w:r w:rsidRPr="000C7897">
        <w:rPr>
          <w:rFonts w:ascii="Arial" w:hAnsi="Arial" w:cs="Arial"/>
          <w:sz w:val="22"/>
        </w:rPr>
        <w:t>the</w:t>
      </w:r>
      <w:proofErr w:type="gramEnd"/>
      <w:r w:rsidRPr="000C7897">
        <w:rPr>
          <w:rFonts w:ascii="Arial" w:hAnsi="Arial" w:cs="Arial"/>
          <w:sz w:val="22"/>
        </w:rPr>
        <w:t xml:space="preserve"> DOJ investigation </w:t>
      </w:r>
      <w:r w:rsidR="00D60BF2" w:rsidRPr="000C7897">
        <w:rPr>
          <w:rFonts w:ascii="Arial" w:hAnsi="Arial" w:cs="Arial"/>
          <w:sz w:val="22"/>
        </w:rPr>
        <w:t xml:space="preserve">– The </w:t>
      </w:r>
      <w:proofErr w:type="spellStart"/>
      <w:r w:rsidR="00D60BF2" w:rsidRPr="000C7897">
        <w:rPr>
          <w:rFonts w:ascii="Arial" w:hAnsi="Arial" w:cs="Arial"/>
          <w:sz w:val="22"/>
        </w:rPr>
        <w:t>DoJ</w:t>
      </w:r>
      <w:proofErr w:type="spellEnd"/>
      <w:r w:rsidR="00D60BF2" w:rsidRPr="000C7897">
        <w:rPr>
          <w:rFonts w:ascii="Arial" w:hAnsi="Arial" w:cs="Arial"/>
          <w:sz w:val="22"/>
        </w:rPr>
        <w:t xml:space="preserve"> investigation</w:t>
      </w:r>
      <w:r w:rsidR="00B56A79" w:rsidRPr="000C7897">
        <w:rPr>
          <w:rFonts w:ascii="Arial" w:hAnsi="Arial" w:cs="Arial"/>
          <w:sz w:val="22"/>
        </w:rPr>
        <w:t xml:space="preserve"> for alleged frauds</w:t>
      </w:r>
      <w:r w:rsidR="00D60BF2" w:rsidRPr="000C7897">
        <w:rPr>
          <w:rFonts w:ascii="Arial" w:hAnsi="Arial" w:cs="Arial"/>
          <w:sz w:val="22"/>
        </w:rPr>
        <w:t xml:space="preserve"> </w:t>
      </w:r>
      <w:r w:rsidR="00B56A79" w:rsidRPr="000C7897">
        <w:rPr>
          <w:rFonts w:ascii="Arial" w:hAnsi="Arial" w:cs="Arial"/>
          <w:sz w:val="22"/>
        </w:rPr>
        <w:t>is a regulatory investigation is subject to a statutory exception hence it can continue against the debtor.</w:t>
      </w:r>
    </w:p>
    <w:p w14:paraId="44530C78" w14:textId="77777777" w:rsidR="003D372E" w:rsidRPr="000C7897" w:rsidRDefault="003D372E" w:rsidP="004F7B99">
      <w:pPr>
        <w:jc w:val="both"/>
        <w:rPr>
          <w:rFonts w:ascii="Arial" w:hAnsi="Arial" w:cs="Arial"/>
          <w:sz w:val="22"/>
        </w:rPr>
      </w:pPr>
    </w:p>
    <w:p w14:paraId="6B416930" w14:textId="408DFEB3" w:rsidR="00FF6144" w:rsidRPr="000C7897" w:rsidRDefault="00FF6144" w:rsidP="004F7B99">
      <w:pPr>
        <w:jc w:val="both"/>
        <w:rPr>
          <w:rFonts w:ascii="Arial" w:hAnsi="Arial" w:cs="Arial"/>
          <w:sz w:val="22"/>
        </w:rPr>
      </w:pPr>
      <w:r w:rsidRPr="000C7897">
        <w:rPr>
          <w:rFonts w:ascii="Arial" w:hAnsi="Arial" w:cs="Arial"/>
          <w:sz w:val="22"/>
        </w:rPr>
        <w:t xml:space="preserve">(ii) </w:t>
      </w:r>
      <w:proofErr w:type="gramStart"/>
      <w:r w:rsidRPr="000C7897">
        <w:rPr>
          <w:rFonts w:ascii="Arial" w:hAnsi="Arial" w:cs="Arial"/>
          <w:sz w:val="22"/>
        </w:rPr>
        <w:t>the</w:t>
      </w:r>
      <w:proofErr w:type="gramEnd"/>
      <w:r w:rsidRPr="000C7897">
        <w:rPr>
          <w:rFonts w:ascii="Arial" w:hAnsi="Arial" w:cs="Arial"/>
          <w:sz w:val="22"/>
        </w:rPr>
        <w:t xml:space="preserve"> secu</w:t>
      </w:r>
      <w:r w:rsidR="00EE6373" w:rsidRPr="000C7897">
        <w:rPr>
          <w:rFonts w:ascii="Arial" w:hAnsi="Arial" w:cs="Arial"/>
          <w:sz w:val="22"/>
        </w:rPr>
        <w:t>rities class action litigation – securities class action suits</w:t>
      </w:r>
      <w:r w:rsidR="00F63AA4" w:rsidRPr="000C7897">
        <w:rPr>
          <w:rFonts w:ascii="Arial" w:hAnsi="Arial" w:cs="Arial"/>
          <w:sz w:val="22"/>
        </w:rPr>
        <w:t xml:space="preserve"> for</w:t>
      </w:r>
      <w:r w:rsidR="003D372E" w:rsidRPr="000C7897">
        <w:rPr>
          <w:rFonts w:ascii="Arial" w:hAnsi="Arial" w:cs="Arial"/>
          <w:sz w:val="22"/>
        </w:rPr>
        <w:t xml:space="preserve"> fraudulent</w:t>
      </w:r>
      <w:r w:rsidR="00F63AA4" w:rsidRPr="000C7897">
        <w:rPr>
          <w:rFonts w:ascii="Arial" w:hAnsi="Arial" w:cs="Arial"/>
          <w:sz w:val="22"/>
        </w:rPr>
        <w:t xml:space="preserve"> </w:t>
      </w:r>
      <w:proofErr w:type="spellStart"/>
      <w:r w:rsidR="003D372E" w:rsidRPr="000C7897">
        <w:rPr>
          <w:rFonts w:ascii="Arial" w:hAnsi="Arial" w:cs="Arial"/>
          <w:sz w:val="22"/>
        </w:rPr>
        <w:t>mis</w:t>
      </w:r>
      <w:proofErr w:type="spellEnd"/>
      <w:r w:rsidR="00744BC3">
        <w:rPr>
          <w:rFonts w:ascii="Arial" w:hAnsi="Arial" w:cs="Arial"/>
          <w:sz w:val="22"/>
        </w:rPr>
        <w:t>-</w:t>
      </w:r>
      <w:r w:rsidR="003D372E" w:rsidRPr="000C7897">
        <w:rPr>
          <w:rFonts w:ascii="Arial" w:hAnsi="Arial" w:cs="Arial"/>
          <w:sz w:val="22"/>
        </w:rPr>
        <w:t>statements</w:t>
      </w:r>
      <w:r w:rsidR="00EE6373" w:rsidRPr="000C7897">
        <w:rPr>
          <w:rFonts w:ascii="Arial" w:hAnsi="Arial" w:cs="Arial"/>
          <w:sz w:val="22"/>
        </w:rPr>
        <w:t xml:space="preserve"> are</w:t>
      </w:r>
      <w:r w:rsidR="00F63AA4" w:rsidRPr="000C7897">
        <w:rPr>
          <w:rFonts w:ascii="Arial" w:hAnsi="Arial" w:cs="Arial"/>
          <w:sz w:val="22"/>
        </w:rPr>
        <w:t xml:space="preserve"> not</w:t>
      </w:r>
      <w:r w:rsidR="00EE6373" w:rsidRPr="000C7897">
        <w:rPr>
          <w:rFonts w:ascii="Arial" w:hAnsi="Arial" w:cs="Arial"/>
          <w:sz w:val="22"/>
        </w:rPr>
        <w:t xml:space="preserve"> stayed</w:t>
      </w:r>
      <w:r w:rsidR="003D372E" w:rsidRPr="000C7897">
        <w:rPr>
          <w:rFonts w:ascii="Arial" w:hAnsi="Arial" w:cs="Arial"/>
          <w:sz w:val="22"/>
        </w:rPr>
        <w:t xml:space="preserve"> and can continue against the directors and officers of the company.</w:t>
      </w:r>
    </w:p>
    <w:p w14:paraId="4745D30C" w14:textId="77777777" w:rsidR="00FF6144" w:rsidRPr="000C7897" w:rsidRDefault="00FF6144" w:rsidP="004F7B99">
      <w:pPr>
        <w:jc w:val="both"/>
        <w:rPr>
          <w:rFonts w:ascii="Arial" w:hAnsi="Arial" w:cs="Arial"/>
          <w:sz w:val="22"/>
        </w:rPr>
      </w:pPr>
    </w:p>
    <w:p w14:paraId="0D2D4293" w14:textId="1DE6E09B" w:rsidR="007A07E6" w:rsidRPr="000C7897" w:rsidRDefault="00D60BF2" w:rsidP="004F7B99">
      <w:pPr>
        <w:jc w:val="both"/>
        <w:rPr>
          <w:rFonts w:ascii="Arial" w:hAnsi="Arial" w:cs="Arial"/>
          <w:sz w:val="22"/>
        </w:rPr>
      </w:pPr>
      <w:r w:rsidRPr="000C7897">
        <w:rPr>
          <w:rFonts w:ascii="Arial" w:hAnsi="Arial" w:cs="Arial"/>
          <w:sz w:val="22"/>
        </w:rPr>
        <w:t xml:space="preserve">(iii) the delinquent leases </w:t>
      </w:r>
      <w:r w:rsidR="00D62F69" w:rsidRPr="000C7897">
        <w:rPr>
          <w:rFonts w:ascii="Arial" w:hAnsi="Arial" w:cs="Arial"/>
          <w:sz w:val="22"/>
        </w:rPr>
        <w:t>– a automatic stay under chapter 11 prevents the landlord from taking any action to collect, assess or recover a claim against the debtor that arose before commenceme</w:t>
      </w:r>
      <w:r w:rsidR="0065512D">
        <w:rPr>
          <w:rFonts w:ascii="Arial" w:hAnsi="Arial" w:cs="Arial"/>
          <w:sz w:val="22"/>
        </w:rPr>
        <w:t>nt of the bankruptcy petition, t</w:t>
      </w:r>
      <w:r w:rsidR="00D62F69" w:rsidRPr="000C7897">
        <w:rPr>
          <w:rFonts w:ascii="Arial" w:hAnsi="Arial" w:cs="Arial"/>
          <w:sz w:val="22"/>
        </w:rPr>
        <w:t>he stay</w:t>
      </w:r>
      <w:r w:rsidR="003C5837" w:rsidRPr="000C7897">
        <w:rPr>
          <w:rFonts w:ascii="Arial" w:hAnsi="Arial" w:cs="Arial"/>
          <w:sz w:val="22"/>
        </w:rPr>
        <w:t xml:space="preserve"> further</w:t>
      </w:r>
      <w:r w:rsidR="00D62F69" w:rsidRPr="000C7897">
        <w:rPr>
          <w:rFonts w:ascii="Arial" w:hAnsi="Arial" w:cs="Arial"/>
          <w:sz w:val="22"/>
        </w:rPr>
        <w:t xml:space="preserve"> prevents the landlord from commencing eviction actions</w:t>
      </w:r>
      <w:r w:rsidR="003C5837" w:rsidRPr="000C7897">
        <w:rPr>
          <w:rFonts w:ascii="Arial" w:hAnsi="Arial" w:cs="Arial"/>
          <w:sz w:val="22"/>
        </w:rPr>
        <w:t xml:space="preserve"> or</w:t>
      </w:r>
      <w:r w:rsidR="00D62F69" w:rsidRPr="000C7897">
        <w:rPr>
          <w:rFonts w:ascii="Arial" w:hAnsi="Arial" w:cs="Arial"/>
          <w:sz w:val="22"/>
        </w:rPr>
        <w:t xml:space="preserve"> continuing unfinished evictions</w:t>
      </w:r>
      <w:r w:rsidR="003C5837" w:rsidRPr="000C7897">
        <w:rPr>
          <w:rFonts w:ascii="Arial" w:hAnsi="Arial" w:cs="Arial"/>
          <w:sz w:val="22"/>
        </w:rPr>
        <w:t>.</w:t>
      </w:r>
      <w:r w:rsidR="00DC2D50" w:rsidRPr="000C7897">
        <w:rPr>
          <w:rFonts w:ascii="Arial" w:hAnsi="Arial" w:cs="Arial"/>
          <w:sz w:val="22"/>
        </w:rPr>
        <w:t xml:space="preserve"> Landlord would need to file a claim as unsecured creditor for the pre-petition dues</w:t>
      </w:r>
      <w:r w:rsidR="00210E32" w:rsidRPr="000C7897">
        <w:rPr>
          <w:rFonts w:ascii="Arial" w:hAnsi="Arial" w:cs="Arial"/>
          <w:sz w:val="22"/>
        </w:rPr>
        <w:t>.</w:t>
      </w:r>
      <w:r w:rsidR="007A07E6" w:rsidRPr="000C7897">
        <w:rPr>
          <w:rFonts w:ascii="Arial" w:hAnsi="Arial" w:cs="Arial"/>
          <w:sz w:val="22"/>
        </w:rPr>
        <w:t xml:space="preserve"> </w:t>
      </w:r>
    </w:p>
    <w:p w14:paraId="1DB3B889" w14:textId="77777777" w:rsidR="007A07E6" w:rsidRPr="000C7897" w:rsidRDefault="007A07E6" w:rsidP="004F7B99">
      <w:pPr>
        <w:jc w:val="both"/>
        <w:rPr>
          <w:rFonts w:ascii="Arial" w:hAnsi="Arial" w:cs="Arial"/>
          <w:sz w:val="22"/>
        </w:rPr>
      </w:pPr>
    </w:p>
    <w:p w14:paraId="5CBE5A9C" w14:textId="5F7B8059" w:rsidR="00FF6144" w:rsidRPr="000C7897" w:rsidRDefault="007A07E6" w:rsidP="004F7B99">
      <w:pPr>
        <w:jc w:val="both"/>
        <w:rPr>
          <w:rFonts w:ascii="Arial" w:hAnsi="Arial" w:cs="Arial"/>
          <w:sz w:val="22"/>
        </w:rPr>
      </w:pPr>
      <w:r w:rsidRPr="000C7897">
        <w:rPr>
          <w:rFonts w:ascii="Arial" w:hAnsi="Arial" w:cs="Arial"/>
          <w:sz w:val="22"/>
        </w:rPr>
        <w:t xml:space="preserve">A tenant must prove that it can meet all future payment obligations, he must provide adequate assurance of future performance under the lease which may be </w:t>
      </w:r>
      <w:r w:rsidR="00636606" w:rsidRPr="000C7897">
        <w:rPr>
          <w:rFonts w:ascii="Arial" w:hAnsi="Arial" w:cs="Arial"/>
          <w:sz w:val="22"/>
        </w:rPr>
        <w:t>demonstrated</w:t>
      </w:r>
      <w:r w:rsidRPr="000C7897">
        <w:rPr>
          <w:rFonts w:ascii="Arial" w:hAnsi="Arial" w:cs="Arial"/>
          <w:sz w:val="22"/>
        </w:rPr>
        <w:t xml:space="preserve"> through </w:t>
      </w:r>
      <w:r w:rsidR="00636606" w:rsidRPr="000C7897">
        <w:rPr>
          <w:rFonts w:ascii="Arial" w:hAnsi="Arial" w:cs="Arial"/>
          <w:sz w:val="22"/>
        </w:rPr>
        <w:t xml:space="preserve">cash flow sufficiency </w:t>
      </w:r>
      <w:r w:rsidR="00976067" w:rsidRPr="000C7897">
        <w:rPr>
          <w:rFonts w:ascii="Arial" w:hAnsi="Arial" w:cs="Arial"/>
          <w:sz w:val="22"/>
        </w:rPr>
        <w:t xml:space="preserve">or grant additional security </w:t>
      </w:r>
      <w:r w:rsidR="00636606" w:rsidRPr="000C7897">
        <w:rPr>
          <w:rFonts w:ascii="Arial" w:hAnsi="Arial" w:cs="Arial"/>
          <w:sz w:val="22"/>
        </w:rPr>
        <w:t>in the restructuring plan</w:t>
      </w:r>
      <w:r w:rsidR="00DA07C6" w:rsidRPr="000C7897">
        <w:rPr>
          <w:rFonts w:ascii="Arial" w:hAnsi="Arial" w:cs="Arial"/>
          <w:sz w:val="22"/>
        </w:rPr>
        <w:t xml:space="preserve"> as outlined in 11 USC section 361</w:t>
      </w:r>
      <w:r w:rsidR="00D276B7" w:rsidRPr="000C7897">
        <w:rPr>
          <w:rFonts w:ascii="Arial" w:hAnsi="Arial" w:cs="Arial"/>
          <w:sz w:val="22"/>
        </w:rPr>
        <w:t xml:space="preserve"> and section 365(b)(1)</w:t>
      </w:r>
      <w:r w:rsidR="00636606" w:rsidRPr="000C7897">
        <w:rPr>
          <w:rFonts w:ascii="Arial" w:hAnsi="Arial" w:cs="Arial"/>
          <w:sz w:val="22"/>
        </w:rPr>
        <w:t>.</w:t>
      </w:r>
    </w:p>
    <w:p w14:paraId="5986DB58" w14:textId="77777777" w:rsidR="00FF6144" w:rsidRPr="000C7897" w:rsidRDefault="00FF6144" w:rsidP="004F7B99">
      <w:pPr>
        <w:jc w:val="both"/>
        <w:rPr>
          <w:rFonts w:ascii="Arial" w:hAnsi="Arial" w:cs="Arial"/>
          <w:sz w:val="22"/>
        </w:rPr>
      </w:pPr>
    </w:p>
    <w:p w14:paraId="23970D34" w14:textId="39141BF8" w:rsidR="00FF6144" w:rsidRPr="000C7897" w:rsidRDefault="00FF6144" w:rsidP="004F7B99">
      <w:pPr>
        <w:jc w:val="both"/>
        <w:rPr>
          <w:rFonts w:ascii="Arial" w:hAnsi="Arial" w:cs="Arial"/>
          <w:b/>
          <w:sz w:val="24"/>
          <w:szCs w:val="22"/>
          <w:lang w:val="en-GB"/>
        </w:rPr>
      </w:pPr>
      <w:r w:rsidRPr="000C7897">
        <w:rPr>
          <w:rFonts w:ascii="Arial" w:hAnsi="Arial" w:cs="Arial"/>
          <w:sz w:val="22"/>
        </w:rPr>
        <w:t xml:space="preserve">(iv) </w:t>
      </w:r>
      <w:proofErr w:type="gramStart"/>
      <w:r w:rsidRPr="000C7897">
        <w:rPr>
          <w:rFonts w:ascii="Arial" w:hAnsi="Arial" w:cs="Arial"/>
          <w:sz w:val="22"/>
        </w:rPr>
        <w:t>the</w:t>
      </w:r>
      <w:proofErr w:type="gramEnd"/>
      <w:r w:rsidRPr="000C7897">
        <w:rPr>
          <w:rFonts w:ascii="Arial" w:hAnsi="Arial" w:cs="Arial"/>
          <w:sz w:val="22"/>
        </w:rPr>
        <w:t xml:space="preserve"> credit facility</w:t>
      </w:r>
      <w:r w:rsidR="00A55051" w:rsidRPr="000C7897">
        <w:rPr>
          <w:rFonts w:ascii="Arial" w:hAnsi="Arial" w:cs="Arial"/>
          <w:sz w:val="22"/>
        </w:rPr>
        <w:t xml:space="preserve"> – Automatic stay </w:t>
      </w:r>
      <w:r w:rsidR="0063709F" w:rsidRPr="000C7897">
        <w:rPr>
          <w:rFonts w:ascii="Arial" w:hAnsi="Arial" w:cs="Arial"/>
          <w:sz w:val="22"/>
        </w:rPr>
        <w:t xml:space="preserve">on a credit facility </w:t>
      </w:r>
      <w:r w:rsidR="00A55051" w:rsidRPr="000C7897">
        <w:rPr>
          <w:rFonts w:ascii="Arial" w:hAnsi="Arial" w:cs="Arial"/>
          <w:sz w:val="22"/>
        </w:rPr>
        <w:t>under chapter 11</w:t>
      </w:r>
      <w:r w:rsidR="00DC2D50" w:rsidRPr="000C7897">
        <w:rPr>
          <w:rFonts w:ascii="Arial" w:hAnsi="Arial" w:cs="Arial"/>
          <w:sz w:val="22"/>
        </w:rPr>
        <w:t xml:space="preserve"> covers </w:t>
      </w:r>
      <w:r w:rsidR="00210E32" w:rsidRPr="000C7897">
        <w:rPr>
          <w:rFonts w:ascii="Arial" w:hAnsi="Arial" w:cs="Arial"/>
          <w:sz w:val="22"/>
        </w:rPr>
        <w:t>payment of principal as well as interest</w:t>
      </w:r>
      <w:r w:rsidR="0063709F" w:rsidRPr="000C7897">
        <w:rPr>
          <w:rFonts w:ascii="Arial" w:hAnsi="Arial" w:cs="Arial"/>
          <w:sz w:val="22"/>
        </w:rPr>
        <w:t xml:space="preserve">. The financial creditor will need to file a claim as a secured creditor where facility is secured or as unsecured creditor. No payments are released by the debtor to the financial creditors during the moratorium period. </w:t>
      </w:r>
      <w:r w:rsidR="00894CB6" w:rsidRPr="000C7897">
        <w:rPr>
          <w:rFonts w:ascii="Arial" w:hAnsi="Arial" w:cs="Arial"/>
          <w:sz w:val="22"/>
        </w:rPr>
        <w:t>Unsecured c</w:t>
      </w:r>
      <w:r w:rsidR="0063709F" w:rsidRPr="000C7897">
        <w:rPr>
          <w:rFonts w:ascii="Arial" w:hAnsi="Arial" w:cs="Arial"/>
          <w:sz w:val="22"/>
        </w:rPr>
        <w:t xml:space="preserve">reditors </w:t>
      </w:r>
      <w:r w:rsidR="00894CB6" w:rsidRPr="000C7897">
        <w:rPr>
          <w:rFonts w:ascii="Arial" w:hAnsi="Arial" w:cs="Arial"/>
          <w:sz w:val="22"/>
        </w:rPr>
        <w:t>will need to be a part of committee of creditors to negotiate with the debtor to formulate an acceptable restructuring plan.</w:t>
      </w:r>
    </w:p>
    <w:p w14:paraId="74E23A83" w14:textId="77777777" w:rsidR="00FF6144" w:rsidRDefault="00FF6144"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682F812A" w:rsidR="0012224B" w:rsidRPr="002A37BB" w:rsidRDefault="004828F4" w:rsidP="0012224B">
      <w:pPr>
        <w:jc w:val="both"/>
        <w:rPr>
          <w:rFonts w:ascii="Arial" w:hAnsi="Arial" w:cs="Arial"/>
          <w:sz w:val="22"/>
          <w:szCs w:val="22"/>
          <w:lang w:val="en-GB"/>
        </w:rPr>
      </w:pPr>
      <w:r w:rsidRPr="002A1367">
        <w:rPr>
          <w:rFonts w:ascii="Arial" w:hAnsi="Arial" w:cs="Arial"/>
          <w:b/>
          <w:sz w:val="22"/>
          <w:szCs w:val="22"/>
          <w:lang w:val="en-GB"/>
        </w:rPr>
        <w:t>ANSWER</w:t>
      </w:r>
    </w:p>
    <w:p w14:paraId="5C7C0778" w14:textId="64893652" w:rsidR="00BD4A58" w:rsidRDefault="00BD4A58" w:rsidP="00BD4A58">
      <w:pPr>
        <w:pStyle w:val="AODocTxt"/>
        <w:spacing w:before="0"/>
        <w:rPr>
          <w:rFonts w:ascii="Arial" w:hAnsi="Arial" w:cs="Arial"/>
          <w:color w:val="808080" w:themeColor="background1" w:themeShade="80"/>
        </w:rPr>
      </w:pPr>
    </w:p>
    <w:p w14:paraId="37B081C1" w14:textId="00E8B39C" w:rsidR="00C65581" w:rsidRPr="008B0187" w:rsidRDefault="008B2A0B" w:rsidP="00C65581">
      <w:pPr>
        <w:jc w:val="both"/>
        <w:rPr>
          <w:rFonts w:ascii="Arial" w:hAnsi="Arial" w:cs="Arial"/>
          <w:sz w:val="22"/>
        </w:rPr>
      </w:pPr>
      <w:r w:rsidRPr="008B0187">
        <w:rPr>
          <w:rFonts w:ascii="Arial" w:hAnsi="Arial" w:cs="Arial"/>
          <w:sz w:val="22"/>
        </w:rPr>
        <w:t>Lessors of office space can continue to receive rent in the period of the automatic stay</w:t>
      </w:r>
      <w:r w:rsidR="002F5B7C" w:rsidRPr="008B0187">
        <w:rPr>
          <w:rFonts w:ascii="Arial" w:hAnsi="Arial" w:cs="Arial"/>
          <w:sz w:val="22"/>
        </w:rPr>
        <w:t xml:space="preserve"> and Rental Corp is required to pay the post</w:t>
      </w:r>
      <w:r w:rsidR="00AC25CD" w:rsidRPr="008B0187">
        <w:rPr>
          <w:rFonts w:ascii="Arial" w:hAnsi="Arial" w:cs="Arial"/>
          <w:sz w:val="22"/>
        </w:rPr>
        <w:t>-</w:t>
      </w:r>
      <w:r w:rsidR="002F5B7C" w:rsidRPr="008B0187">
        <w:rPr>
          <w:rFonts w:ascii="Arial" w:hAnsi="Arial" w:cs="Arial"/>
          <w:sz w:val="22"/>
        </w:rPr>
        <w:t>petition rents and keep those rent payment current as long as the premises is occupied</w:t>
      </w:r>
      <w:r w:rsidRPr="008B0187">
        <w:rPr>
          <w:rFonts w:ascii="Arial" w:hAnsi="Arial" w:cs="Arial"/>
          <w:sz w:val="22"/>
        </w:rPr>
        <w:t>. Accrued rents are considered as administrative expense receiving preference over other debts.</w:t>
      </w:r>
      <w:r w:rsidR="00C65581" w:rsidRPr="008B0187">
        <w:rPr>
          <w:rFonts w:ascii="Arial" w:hAnsi="Arial" w:cs="Arial"/>
          <w:sz w:val="22"/>
        </w:rPr>
        <w:t xml:space="preserve"> </w:t>
      </w:r>
      <w:r w:rsidR="00D34068" w:rsidRPr="008B0187">
        <w:rPr>
          <w:rFonts w:ascii="Arial" w:hAnsi="Arial" w:cs="Arial"/>
          <w:sz w:val="22"/>
        </w:rPr>
        <w:t xml:space="preserve">Rental Corp </w:t>
      </w:r>
      <w:r w:rsidR="00C65581" w:rsidRPr="008B0187">
        <w:rPr>
          <w:rFonts w:ascii="Arial" w:hAnsi="Arial" w:cs="Arial"/>
          <w:sz w:val="22"/>
        </w:rPr>
        <w:t>must prove that it can meet all future payment obligations</w:t>
      </w:r>
      <w:r w:rsidR="00D34068" w:rsidRPr="008B0187">
        <w:rPr>
          <w:rFonts w:ascii="Arial" w:hAnsi="Arial" w:cs="Arial"/>
          <w:sz w:val="22"/>
        </w:rPr>
        <w:t xml:space="preserve"> and </w:t>
      </w:r>
      <w:r w:rsidR="00C65581" w:rsidRPr="008B0187">
        <w:rPr>
          <w:rFonts w:ascii="Arial" w:hAnsi="Arial" w:cs="Arial"/>
          <w:sz w:val="22"/>
        </w:rPr>
        <w:t>must provide adequate assurance of future performance under the lease as outlined in 11 USC section 361 and section 365(b)(1).</w:t>
      </w:r>
    </w:p>
    <w:p w14:paraId="1B01EDE7" w14:textId="77777777" w:rsidR="00C65581" w:rsidRDefault="00C65581" w:rsidP="008B2A0B">
      <w:pPr>
        <w:pStyle w:val="AODocTxt"/>
        <w:spacing w:before="0" w:line="240" w:lineRule="auto"/>
        <w:rPr>
          <w:rFonts w:ascii="Arial" w:hAnsi="Arial" w:cs="Arial"/>
        </w:rPr>
      </w:pPr>
    </w:p>
    <w:p w14:paraId="3746FFE3" w14:textId="34108452" w:rsidR="00DE5E34" w:rsidRDefault="00AC25CD" w:rsidP="008B2A0B">
      <w:pPr>
        <w:pStyle w:val="AODocTxt"/>
        <w:spacing w:before="0" w:line="240" w:lineRule="auto"/>
        <w:rPr>
          <w:rFonts w:ascii="Arial" w:hAnsi="Arial" w:cs="Arial"/>
        </w:rPr>
      </w:pPr>
      <w:r>
        <w:rPr>
          <w:rFonts w:ascii="Arial" w:hAnsi="Arial" w:cs="Arial"/>
        </w:rPr>
        <w:t>Alternatively, l</w:t>
      </w:r>
      <w:r w:rsidR="008B2A0B">
        <w:rPr>
          <w:rFonts w:ascii="Arial" w:hAnsi="Arial" w:cs="Arial"/>
        </w:rPr>
        <w:t>essors can request the bankruptcy court to lift the automatic stay provided they are able to prove that they will suffer irreparable damage if the stay isn’t lifted.</w:t>
      </w:r>
    </w:p>
    <w:p w14:paraId="2A3C8C94" w14:textId="77777777" w:rsidR="008B2A0B" w:rsidRDefault="008B2A0B" w:rsidP="008B2A0B">
      <w:pPr>
        <w:pStyle w:val="AODocTxt"/>
        <w:spacing w:before="0" w:line="240" w:lineRule="auto"/>
        <w:rPr>
          <w:rFonts w:ascii="Arial" w:hAnsi="Arial" w:cs="Arial"/>
        </w:rPr>
      </w:pPr>
    </w:p>
    <w:p w14:paraId="6FE9DAC3" w14:textId="16477136" w:rsidR="008B2A0B" w:rsidRDefault="008B2A0B" w:rsidP="008B2A0B">
      <w:pPr>
        <w:pStyle w:val="AODocTxt"/>
        <w:spacing w:before="0" w:line="240" w:lineRule="auto"/>
        <w:rPr>
          <w:rFonts w:ascii="Arial" w:hAnsi="Arial" w:cs="Arial"/>
        </w:rPr>
      </w:pPr>
      <w:r>
        <w:rPr>
          <w:rFonts w:ascii="Arial" w:hAnsi="Arial" w:cs="Arial"/>
        </w:rPr>
        <w:t xml:space="preserve">Since lessors take rental/security deposits they are secured creditors </w:t>
      </w:r>
      <w:r w:rsidR="000F46B6">
        <w:rPr>
          <w:rFonts w:ascii="Arial" w:hAnsi="Arial" w:cs="Arial"/>
        </w:rPr>
        <w:t xml:space="preserve">must file a claim under the claims process with the claims manager </w:t>
      </w:r>
      <w:r>
        <w:rPr>
          <w:rFonts w:ascii="Arial" w:hAnsi="Arial" w:cs="Arial"/>
        </w:rPr>
        <w:t xml:space="preserve">and </w:t>
      </w:r>
      <w:r w:rsidR="00AC25CD">
        <w:rPr>
          <w:rFonts w:ascii="Arial" w:hAnsi="Arial" w:cs="Arial"/>
        </w:rPr>
        <w:t xml:space="preserve">can </w:t>
      </w:r>
      <w:r>
        <w:rPr>
          <w:rFonts w:ascii="Arial" w:hAnsi="Arial" w:cs="Arial"/>
        </w:rPr>
        <w:t>proceed to recover due fr</w:t>
      </w:r>
      <w:r w:rsidR="009A7825">
        <w:rPr>
          <w:rFonts w:ascii="Arial" w:hAnsi="Arial" w:cs="Arial"/>
        </w:rPr>
        <w:t>om guarantors/sureties in case o</w:t>
      </w:r>
      <w:r>
        <w:rPr>
          <w:rFonts w:ascii="Arial" w:hAnsi="Arial" w:cs="Arial"/>
        </w:rPr>
        <w:t>f shortfall in rent collection since there is no stay on recoveries from guarantors.</w:t>
      </w:r>
    </w:p>
    <w:p w14:paraId="1415C6C6" w14:textId="77777777" w:rsidR="001F09E8" w:rsidRDefault="001F09E8" w:rsidP="008B2A0B">
      <w:pPr>
        <w:pStyle w:val="AODocTxt"/>
        <w:spacing w:before="0" w:line="240" w:lineRule="auto"/>
        <w:rPr>
          <w:rFonts w:ascii="Arial" w:hAnsi="Arial" w:cs="Arial"/>
        </w:rPr>
      </w:pPr>
    </w:p>
    <w:p w14:paraId="22774F81" w14:textId="6C5C8354" w:rsidR="001F09E8" w:rsidRPr="008B2A0B" w:rsidRDefault="001F09E8" w:rsidP="008B2A0B">
      <w:pPr>
        <w:pStyle w:val="AODocTxt"/>
        <w:spacing w:before="0" w:line="240" w:lineRule="auto"/>
        <w:rPr>
          <w:rFonts w:ascii="Arial" w:hAnsi="Arial" w:cs="Arial"/>
        </w:rPr>
      </w:pPr>
      <w:r>
        <w:rPr>
          <w:rFonts w:ascii="Arial" w:hAnsi="Arial" w:cs="Arial"/>
        </w:rPr>
        <w:t>Since the lessor is a secured creditor, Rental Corp may move to classify rental payments in suspect period as preferential transaction however the landlord can contest this claim, firstly, showing that payments received were in the ordinary course of business between Rental Corp and landlord; secondly landlord can show that the rental payments in suspect period were made according to ordinary business terms</w:t>
      </w:r>
      <w:r w:rsidR="00D90BA5">
        <w:rPr>
          <w:rFonts w:ascii="Arial" w:hAnsi="Arial" w:cs="Arial"/>
        </w:rPr>
        <w:t>/customary business practice</w:t>
      </w:r>
      <w:r>
        <w:rPr>
          <w:rFonts w:ascii="Arial" w:hAnsi="Arial" w:cs="Arial"/>
        </w:rPr>
        <w:t xml:space="preserve"> between them. </w:t>
      </w:r>
    </w:p>
    <w:p w14:paraId="40555B60" w14:textId="77777777" w:rsidR="003A744B" w:rsidRDefault="003A744B"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lastRenderedPageBreak/>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91B977A" w14:textId="017B168E" w:rsidR="00455018" w:rsidRPr="00BD4A58" w:rsidRDefault="004828F4" w:rsidP="00BD4A58">
      <w:pPr>
        <w:autoSpaceDE w:val="0"/>
        <w:autoSpaceDN w:val="0"/>
        <w:adjustRightInd w:val="0"/>
        <w:jc w:val="both"/>
        <w:rPr>
          <w:rFonts w:ascii="Arial" w:hAnsi="Arial" w:cs="Arial"/>
          <w:color w:val="808080" w:themeColor="background1" w:themeShade="80"/>
          <w:sz w:val="22"/>
          <w:szCs w:val="22"/>
          <w:lang w:val="en-GB"/>
        </w:rPr>
      </w:pPr>
      <w:r w:rsidRPr="002A1367">
        <w:rPr>
          <w:rFonts w:ascii="Arial" w:hAnsi="Arial" w:cs="Arial"/>
          <w:b/>
          <w:sz w:val="22"/>
          <w:szCs w:val="22"/>
          <w:lang w:val="en-GB"/>
        </w:rPr>
        <w:t>ANSWER</w:t>
      </w:r>
    </w:p>
    <w:p w14:paraId="70C6A8B6" w14:textId="1261BD9D" w:rsidR="00126A4D" w:rsidRDefault="00126A4D" w:rsidP="00BD4A58">
      <w:pPr>
        <w:autoSpaceDE w:val="0"/>
        <w:autoSpaceDN w:val="0"/>
        <w:adjustRightInd w:val="0"/>
        <w:jc w:val="both"/>
        <w:rPr>
          <w:rFonts w:ascii="Arial" w:hAnsi="Arial" w:cs="Arial"/>
          <w:color w:val="808080" w:themeColor="background1" w:themeShade="80"/>
          <w:sz w:val="22"/>
          <w:szCs w:val="22"/>
          <w:lang w:val="en-GB"/>
        </w:rPr>
      </w:pPr>
    </w:p>
    <w:p w14:paraId="781B3C03" w14:textId="2FBA0968" w:rsidR="00572294" w:rsidRDefault="004C7C66" w:rsidP="00BD4A58">
      <w:pPr>
        <w:autoSpaceDE w:val="0"/>
        <w:autoSpaceDN w:val="0"/>
        <w:adjustRightInd w:val="0"/>
        <w:jc w:val="both"/>
        <w:rPr>
          <w:rFonts w:ascii="Arial" w:hAnsi="Arial" w:cs="Arial"/>
          <w:sz w:val="22"/>
          <w:szCs w:val="22"/>
          <w:lang w:val="en-GB"/>
        </w:rPr>
      </w:pPr>
      <w:r>
        <w:rPr>
          <w:rFonts w:ascii="Arial" w:hAnsi="Arial" w:cs="Arial"/>
          <w:sz w:val="22"/>
          <w:szCs w:val="22"/>
          <w:lang w:val="en-GB"/>
        </w:rPr>
        <w:t>Section 363 of the US Bankruptcy Code permits a debtor to sell assets free and clear of claims, lien and interest outside of the Chapter 11 restructuring plan. Section 363 sale offers the purchaser an opportunity to acquire clean title to the assets</w:t>
      </w:r>
      <w:r w:rsidR="00572294">
        <w:rPr>
          <w:rFonts w:ascii="Arial" w:hAnsi="Arial" w:cs="Arial"/>
          <w:sz w:val="22"/>
          <w:szCs w:val="22"/>
          <w:lang w:val="en-GB"/>
        </w:rPr>
        <w:t xml:space="preserve">. The process for sale under section 363 is relatively </w:t>
      </w:r>
      <w:r w:rsidR="002E3438">
        <w:rPr>
          <w:rFonts w:ascii="Arial" w:hAnsi="Arial" w:cs="Arial"/>
          <w:sz w:val="22"/>
          <w:szCs w:val="22"/>
          <w:lang w:val="en-GB"/>
        </w:rPr>
        <w:t xml:space="preserve">simple and </w:t>
      </w:r>
      <w:r w:rsidR="00572294">
        <w:rPr>
          <w:rFonts w:ascii="Arial" w:hAnsi="Arial" w:cs="Arial"/>
          <w:sz w:val="22"/>
          <w:szCs w:val="22"/>
          <w:lang w:val="en-GB"/>
        </w:rPr>
        <w:t>shorter t</w:t>
      </w:r>
      <w:r w:rsidR="002E3438">
        <w:rPr>
          <w:rFonts w:ascii="Arial" w:hAnsi="Arial" w:cs="Arial"/>
          <w:sz w:val="22"/>
          <w:szCs w:val="22"/>
          <w:lang w:val="en-GB"/>
        </w:rPr>
        <w:t>han the</w:t>
      </w:r>
      <w:r w:rsidR="00572294">
        <w:rPr>
          <w:rFonts w:ascii="Arial" w:hAnsi="Arial" w:cs="Arial"/>
          <w:sz w:val="22"/>
          <w:szCs w:val="22"/>
          <w:lang w:val="en-GB"/>
        </w:rPr>
        <w:t xml:space="preserve"> sales under a chapter 11 restructuring plan.</w:t>
      </w:r>
      <w:r w:rsidR="006A370A">
        <w:rPr>
          <w:rFonts w:ascii="Arial" w:hAnsi="Arial" w:cs="Arial"/>
          <w:sz w:val="22"/>
          <w:szCs w:val="22"/>
          <w:lang w:val="en-GB"/>
        </w:rPr>
        <w:t xml:space="preserve"> The sale is mostly on a going concern basis</w:t>
      </w:r>
      <w:r w:rsidR="00DC70EE">
        <w:rPr>
          <w:rFonts w:ascii="Arial" w:hAnsi="Arial" w:cs="Arial"/>
          <w:sz w:val="22"/>
          <w:szCs w:val="22"/>
          <w:lang w:val="en-GB"/>
        </w:rPr>
        <w:t xml:space="preserve"> based on sound business judgement demonstrated by the debtor in possession</w:t>
      </w:r>
      <w:r w:rsidR="006A370A">
        <w:rPr>
          <w:rFonts w:ascii="Arial" w:hAnsi="Arial" w:cs="Arial"/>
          <w:sz w:val="22"/>
          <w:szCs w:val="22"/>
          <w:lang w:val="en-GB"/>
        </w:rPr>
        <w:t>.</w:t>
      </w:r>
    </w:p>
    <w:p w14:paraId="18764C1F" w14:textId="77777777" w:rsidR="00572294" w:rsidRDefault="00572294" w:rsidP="00BD4A58">
      <w:pPr>
        <w:autoSpaceDE w:val="0"/>
        <w:autoSpaceDN w:val="0"/>
        <w:adjustRightInd w:val="0"/>
        <w:jc w:val="both"/>
        <w:rPr>
          <w:rFonts w:ascii="Arial" w:hAnsi="Arial" w:cs="Arial"/>
          <w:sz w:val="22"/>
          <w:szCs w:val="22"/>
          <w:lang w:val="en-GB"/>
        </w:rPr>
      </w:pPr>
    </w:p>
    <w:p w14:paraId="47B69053" w14:textId="5028F5A0" w:rsidR="00D07D5A" w:rsidRPr="00E33A98" w:rsidRDefault="001B66B2" w:rsidP="00BD4A58">
      <w:pPr>
        <w:autoSpaceDE w:val="0"/>
        <w:autoSpaceDN w:val="0"/>
        <w:adjustRightInd w:val="0"/>
        <w:jc w:val="both"/>
        <w:rPr>
          <w:rFonts w:ascii="Arial" w:hAnsi="Arial" w:cs="Arial"/>
          <w:sz w:val="22"/>
          <w:szCs w:val="22"/>
          <w:lang w:val="en-GB"/>
        </w:rPr>
      </w:pPr>
      <w:r w:rsidRPr="00E33A98">
        <w:rPr>
          <w:rFonts w:ascii="Arial" w:hAnsi="Arial" w:cs="Arial"/>
          <w:sz w:val="22"/>
          <w:szCs w:val="22"/>
          <w:lang w:val="en-GB"/>
        </w:rPr>
        <w:t>In the instant case</w:t>
      </w:r>
      <w:r w:rsidR="00042F8B" w:rsidRPr="00E33A98">
        <w:rPr>
          <w:rFonts w:ascii="Arial" w:hAnsi="Arial" w:cs="Arial"/>
          <w:sz w:val="22"/>
          <w:szCs w:val="22"/>
          <w:lang w:val="en-GB"/>
        </w:rPr>
        <w:t xml:space="preserve">, Home Corporation is interested in buying the business of Paint Corp. Acquisition envisaged in this case is limited to the </w:t>
      </w:r>
      <w:r w:rsidR="00042F8B" w:rsidRPr="00E33A98">
        <w:rPr>
          <w:rFonts w:ascii="Arial" w:hAnsi="Arial" w:cs="Arial"/>
          <w:sz w:val="22"/>
          <w:szCs w:val="22"/>
        </w:rPr>
        <w:t>proprietary and patented recipes</w:t>
      </w:r>
      <w:r w:rsidR="007502A3" w:rsidRPr="00E33A98">
        <w:rPr>
          <w:rFonts w:ascii="Arial" w:hAnsi="Arial" w:cs="Arial"/>
          <w:sz w:val="22"/>
          <w:szCs w:val="22"/>
        </w:rPr>
        <w:t xml:space="preserve"> (fo</w:t>
      </w:r>
      <w:r w:rsidR="00754BEC" w:rsidRPr="00E33A98">
        <w:rPr>
          <w:rFonts w:ascii="Arial" w:hAnsi="Arial" w:cs="Arial"/>
          <w:sz w:val="22"/>
          <w:szCs w:val="22"/>
        </w:rPr>
        <w:t>r</w:t>
      </w:r>
      <w:r w:rsidR="007502A3" w:rsidRPr="00E33A98">
        <w:rPr>
          <w:rFonts w:ascii="Arial" w:hAnsi="Arial" w:cs="Arial"/>
          <w:sz w:val="22"/>
          <w:szCs w:val="22"/>
        </w:rPr>
        <w:t>mulations)</w:t>
      </w:r>
      <w:r w:rsidR="00042F8B" w:rsidRPr="00E33A98">
        <w:rPr>
          <w:rFonts w:ascii="Arial" w:hAnsi="Arial" w:cs="Arial"/>
          <w:sz w:val="22"/>
          <w:szCs w:val="22"/>
        </w:rPr>
        <w:t xml:space="preserve"> and distribution contracts</w:t>
      </w:r>
      <w:r w:rsidR="00C62BDD" w:rsidRPr="00E33A98">
        <w:rPr>
          <w:rFonts w:ascii="Arial" w:hAnsi="Arial" w:cs="Arial"/>
          <w:sz w:val="22"/>
          <w:szCs w:val="22"/>
        </w:rPr>
        <w:t>.</w:t>
      </w:r>
      <w:r w:rsidR="00BD2035" w:rsidRPr="00E33A98">
        <w:rPr>
          <w:rFonts w:ascii="Arial" w:hAnsi="Arial" w:cs="Arial"/>
          <w:sz w:val="22"/>
          <w:szCs w:val="22"/>
        </w:rPr>
        <w:t xml:space="preserve"> </w:t>
      </w:r>
      <w:r w:rsidR="00D07D5A" w:rsidRPr="00E33A98">
        <w:rPr>
          <w:rFonts w:ascii="Arial" w:hAnsi="Arial" w:cs="Arial"/>
          <w:sz w:val="22"/>
          <w:szCs w:val="22"/>
        </w:rPr>
        <w:t xml:space="preserve">For the purpose of a sale under section 363, </w:t>
      </w:r>
      <w:r w:rsidR="00D07D5A" w:rsidRPr="00E33A98">
        <w:rPr>
          <w:rFonts w:ascii="Arial" w:hAnsi="Arial" w:cs="Arial"/>
          <w:sz w:val="22"/>
          <w:szCs w:val="22"/>
          <w:lang w:val="en-GB"/>
        </w:rPr>
        <w:t>Home Corporation is the stalking horse</w:t>
      </w:r>
      <w:r w:rsidR="00766E82" w:rsidRPr="00E33A98">
        <w:rPr>
          <w:rFonts w:ascii="Arial" w:hAnsi="Arial" w:cs="Arial"/>
          <w:sz w:val="22"/>
          <w:szCs w:val="22"/>
          <w:lang w:val="en-GB"/>
        </w:rPr>
        <w:t xml:space="preserve"> since the company has evinced interest in the business acquisition</w:t>
      </w:r>
      <w:r w:rsidR="007502A3" w:rsidRPr="00E33A98">
        <w:rPr>
          <w:rFonts w:ascii="Arial" w:hAnsi="Arial" w:cs="Arial"/>
          <w:sz w:val="22"/>
          <w:szCs w:val="22"/>
          <w:lang w:val="en-GB"/>
        </w:rPr>
        <w:t xml:space="preserve"> of </w:t>
      </w:r>
      <w:r w:rsidR="007502A3" w:rsidRPr="00E33A98">
        <w:rPr>
          <w:rFonts w:ascii="Arial" w:hAnsi="Arial" w:cs="Arial"/>
          <w:sz w:val="22"/>
          <w:szCs w:val="22"/>
        </w:rPr>
        <w:t>Paint Corporation</w:t>
      </w:r>
      <w:r w:rsidR="00766E82" w:rsidRPr="00E33A98">
        <w:rPr>
          <w:rFonts w:ascii="Arial" w:hAnsi="Arial" w:cs="Arial"/>
          <w:sz w:val="22"/>
          <w:szCs w:val="22"/>
          <w:lang w:val="en-GB"/>
        </w:rPr>
        <w:t>.</w:t>
      </w:r>
      <w:r w:rsidR="00BD2035" w:rsidRPr="00E33A98">
        <w:rPr>
          <w:rFonts w:ascii="Arial" w:hAnsi="Arial" w:cs="Arial"/>
          <w:sz w:val="22"/>
          <w:szCs w:val="22"/>
          <w:lang w:val="en-GB"/>
        </w:rPr>
        <w:t xml:space="preserve"> </w:t>
      </w:r>
    </w:p>
    <w:p w14:paraId="7FD47424" w14:textId="77777777" w:rsidR="00BD2035" w:rsidRPr="00E33A98" w:rsidRDefault="00BD2035" w:rsidP="00BD4A58">
      <w:pPr>
        <w:autoSpaceDE w:val="0"/>
        <w:autoSpaceDN w:val="0"/>
        <w:adjustRightInd w:val="0"/>
        <w:jc w:val="both"/>
        <w:rPr>
          <w:rFonts w:ascii="Arial" w:hAnsi="Arial" w:cs="Arial"/>
          <w:sz w:val="22"/>
          <w:szCs w:val="22"/>
          <w:lang w:val="en-GB"/>
        </w:rPr>
      </w:pPr>
    </w:p>
    <w:p w14:paraId="14788C81" w14:textId="19C209EB" w:rsidR="00BD2035" w:rsidRPr="00E33A98" w:rsidRDefault="00090894" w:rsidP="00BD4A58">
      <w:pPr>
        <w:autoSpaceDE w:val="0"/>
        <w:autoSpaceDN w:val="0"/>
        <w:adjustRightInd w:val="0"/>
        <w:jc w:val="both"/>
        <w:rPr>
          <w:rFonts w:ascii="Arial" w:hAnsi="Arial" w:cs="Arial"/>
          <w:sz w:val="22"/>
          <w:szCs w:val="22"/>
          <w:lang w:val="en-GB"/>
        </w:rPr>
      </w:pPr>
      <w:r w:rsidRPr="00E33A98">
        <w:rPr>
          <w:rFonts w:ascii="Arial" w:hAnsi="Arial" w:cs="Arial"/>
          <w:sz w:val="22"/>
          <w:szCs w:val="22"/>
          <w:lang w:val="en-GB"/>
        </w:rPr>
        <w:t>Some of the</w:t>
      </w:r>
      <w:r w:rsidR="00BD2035" w:rsidRPr="00E33A98">
        <w:rPr>
          <w:rFonts w:ascii="Arial" w:hAnsi="Arial" w:cs="Arial"/>
          <w:sz w:val="22"/>
          <w:szCs w:val="22"/>
          <w:lang w:val="en-GB"/>
        </w:rPr>
        <w:t xml:space="preserve"> benefits for acquisition under section 363</w:t>
      </w:r>
      <w:r w:rsidRPr="00E33A98">
        <w:rPr>
          <w:rFonts w:ascii="Arial" w:hAnsi="Arial" w:cs="Arial"/>
          <w:sz w:val="22"/>
          <w:szCs w:val="22"/>
          <w:lang w:val="en-GB"/>
        </w:rPr>
        <w:t xml:space="preserve"> in the instant case</w:t>
      </w:r>
      <w:r w:rsidR="00BD2035" w:rsidRPr="00E33A98">
        <w:rPr>
          <w:rFonts w:ascii="Arial" w:hAnsi="Arial" w:cs="Arial"/>
          <w:sz w:val="22"/>
          <w:szCs w:val="22"/>
          <w:lang w:val="en-GB"/>
        </w:rPr>
        <w:t xml:space="preserve"> are as follows:</w:t>
      </w:r>
    </w:p>
    <w:p w14:paraId="2BBD2629" w14:textId="3E0046AD" w:rsidR="00BD2035" w:rsidRPr="00E33A98" w:rsidRDefault="00090894" w:rsidP="00090894">
      <w:pPr>
        <w:pStyle w:val="ListParagraph"/>
        <w:numPr>
          <w:ilvl w:val="0"/>
          <w:numId w:val="37"/>
        </w:numPr>
        <w:autoSpaceDE w:val="0"/>
        <w:autoSpaceDN w:val="0"/>
        <w:adjustRightInd w:val="0"/>
        <w:jc w:val="both"/>
        <w:rPr>
          <w:rFonts w:ascii="Arial" w:hAnsi="Arial" w:cs="Arial"/>
          <w:sz w:val="22"/>
          <w:szCs w:val="22"/>
        </w:rPr>
      </w:pPr>
      <w:r w:rsidRPr="00E33A98">
        <w:rPr>
          <w:rFonts w:ascii="Arial" w:hAnsi="Arial" w:cs="Arial"/>
          <w:sz w:val="22"/>
          <w:szCs w:val="22"/>
        </w:rPr>
        <w:t>Simple shorter process</w:t>
      </w:r>
    </w:p>
    <w:p w14:paraId="4B173E28" w14:textId="59EC1460" w:rsidR="00A664CD" w:rsidRPr="00E33A98" w:rsidRDefault="00A664CD" w:rsidP="00090894">
      <w:pPr>
        <w:pStyle w:val="ListParagraph"/>
        <w:numPr>
          <w:ilvl w:val="0"/>
          <w:numId w:val="37"/>
        </w:numPr>
        <w:autoSpaceDE w:val="0"/>
        <w:autoSpaceDN w:val="0"/>
        <w:adjustRightInd w:val="0"/>
        <w:jc w:val="both"/>
        <w:rPr>
          <w:rFonts w:ascii="Arial" w:hAnsi="Arial" w:cs="Arial"/>
          <w:sz w:val="22"/>
          <w:szCs w:val="22"/>
        </w:rPr>
      </w:pPr>
      <w:r w:rsidRPr="00E33A98">
        <w:rPr>
          <w:rFonts w:ascii="Arial" w:hAnsi="Arial" w:cs="Arial"/>
          <w:sz w:val="22"/>
          <w:szCs w:val="22"/>
        </w:rPr>
        <w:t>Acquisition of intangible assets free and clear of liens</w:t>
      </w:r>
    </w:p>
    <w:p w14:paraId="23A2F791" w14:textId="5387DC87" w:rsidR="00090894" w:rsidRPr="00E33A98" w:rsidRDefault="00090894" w:rsidP="00090894">
      <w:pPr>
        <w:pStyle w:val="ListParagraph"/>
        <w:numPr>
          <w:ilvl w:val="0"/>
          <w:numId w:val="37"/>
        </w:numPr>
        <w:autoSpaceDE w:val="0"/>
        <w:autoSpaceDN w:val="0"/>
        <w:adjustRightInd w:val="0"/>
        <w:jc w:val="both"/>
        <w:rPr>
          <w:rFonts w:ascii="Arial" w:hAnsi="Arial" w:cs="Arial"/>
          <w:sz w:val="22"/>
          <w:szCs w:val="22"/>
        </w:rPr>
      </w:pPr>
      <w:r w:rsidRPr="00E33A98">
        <w:rPr>
          <w:rFonts w:ascii="Arial" w:hAnsi="Arial" w:cs="Arial"/>
          <w:sz w:val="22"/>
          <w:szCs w:val="22"/>
        </w:rPr>
        <w:t>Sanctioned by the bankruptcy court</w:t>
      </w:r>
    </w:p>
    <w:p w14:paraId="2BA42763" w14:textId="660EF219" w:rsidR="00090894" w:rsidRPr="00E33A98" w:rsidRDefault="00090894" w:rsidP="00090894">
      <w:pPr>
        <w:pStyle w:val="ListParagraph"/>
        <w:numPr>
          <w:ilvl w:val="0"/>
          <w:numId w:val="37"/>
        </w:numPr>
        <w:autoSpaceDE w:val="0"/>
        <w:autoSpaceDN w:val="0"/>
        <w:adjustRightInd w:val="0"/>
        <w:jc w:val="both"/>
        <w:rPr>
          <w:rFonts w:ascii="Arial" w:hAnsi="Arial" w:cs="Arial"/>
          <w:sz w:val="22"/>
          <w:szCs w:val="22"/>
        </w:rPr>
      </w:pPr>
      <w:r w:rsidRPr="00E33A98">
        <w:rPr>
          <w:rFonts w:ascii="Arial" w:hAnsi="Arial" w:cs="Arial"/>
          <w:sz w:val="22"/>
          <w:szCs w:val="22"/>
        </w:rPr>
        <w:t>Ability to cherry pick assets</w:t>
      </w:r>
    </w:p>
    <w:p w14:paraId="1E23FF89" w14:textId="53EC9314" w:rsidR="00090894" w:rsidRPr="00E33A98" w:rsidRDefault="00090894" w:rsidP="00090894">
      <w:pPr>
        <w:pStyle w:val="ListParagraph"/>
        <w:numPr>
          <w:ilvl w:val="0"/>
          <w:numId w:val="37"/>
        </w:numPr>
        <w:autoSpaceDE w:val="0"/>
        <w:autoSpaceDN w:val="0"/>
        <w:adjustRightInd w:val="0"/>
        <w:jc w:val="both"/>
        <w:rPr>
          <w:rFonts w:ascii="Arial" w:hAnsi="Arial" w:cs="Arial"/>
          <w:sz w:val="22"/>
          <w:szCs w:val="22"/>
        </w:rPr>
      </w:pPr>
      <w:r w:rsidRPr="00E33A98">
        <w:rPr>
          <w:rFonts w:ascii="Arial" w:hAnsi="Arial" w:cs="Arial"/>
          <w:sz w:val="22"/>
          <w:szCs w:val="22"/>
        </w:rPr>
        <w:t xml:space="preserve">Flexibility in assuming </w:t>
      </w:r>
      <w:r w:rsidR="00F90FAD" w:rsidRPr="00E33A98">
        <w:rPr>
          <w:rFonts w:ascii="Arial" w:hAnsi="Arial" w:cs="Arial"/>
          <w:sz w:val="22"/>
          <w:szCs w:val="22"/>
        </w:rPr>
        <w:t xml:space="preserve">executory </w:t>
      </w:r>
      <w:r w:rsidRPr="00E33A98">
        <w:rPr>
          <w:rFonts w:ascii="Arial" w:hAnsi="Arial" w:cs="Arial"/>
          <w:sz w:val="22"/>
          <w:szCs w:val="22"/>
        </w:rPr>
        <w:t>contracts</w:t>
      </w:r>
    </w:p>
    <w:p w14:paraId="39F2C067" w14:textId="77777777" w:rsidR="00D07D5A" w:rsidRPr="00E33A98" w:rsidRDefault="00D07D5A" w:rsidP="00BD4A58">
      <w:pPr>
        <w:autoSpaceDE w:val="0"/>
        <w:autoSpaceDN w:val="0"/>
        <w:adjustRightInd w:val="0"/>
        <w:jc w:val="both"/>
        <w:rPr>
          <w:rFonts w:ascii="Arial" w:hAnsi="Arial" w:cs="Arial"/>
          <w:sz w:val="22"/>
          <w:szCs w:val="22"/>
        </w:rPr>
      </w:pPr>
    </w:p>
    <w:p w14:paraId="50D6977E" w14:textId="0E35BA2A" w:rsidR="00A664CD" w:rsidRPr="00E33A98" w:rsidRDefault="00754BEC" w:rsidP="00BD4A58">
      <w:pPr>
        <w:autoSpaceDE w:val="0"/>
        <w:autoSpaceDN w:val="0"/>
        <w:adjustRightInd w:val="0"/>
        <w:jc w:val="both"/>
        <w:rPr>
          <w:rFonts w:ascii="Arial" w:hAnsi="Arial" w:cs="Arial"/>
          <w:sz w:val="22"/>
          <w:szCs w:val="22"/>
        </w:rPr>
      </w:pPr>
      <w:r w:rsidRPr="00E33A98">
        <w:rPr>
          <w:rFonts w:ascii="Arial" w:hAnsi="Arial" w:cs="Arial"/>
          <w:sz w:val="22"/>
          <w:szCs w:val="22"/>
        </w:rPr>
        <w:t>Concerns</w:t>
      </w:r>
      <w:r w:rsidR="00797B64" w:rsidRPr="00E33A98">
        <w:rPr>
          <w:rFonts w:ascii="Arial" w:hAnsi="Arial" w:cs="Arial"/>
          <w:sz w:val="22"/>
          <w:szCs w:val="22"/>
        </w:rPr>
        <w:t xml:space="preserve"> addressed under section 363 sales</w:t>
      </w:r>
      <w:r w:rsidRPr="00E33A98">
        <w:rPr>
          <w:rFonts w:ascii="Arial" w:hAnsi="Arial" w:cs="Arial"/>
          <w:sz w:val="22"/>
          <w:szCs w:val="22"/>
        </w:rPr>
        <w:t>:</w:t>
      </w:r>
    </w:p>
    <w:p w14:paraId="3407A01F" w14:textId="77777777" w:rsidR="00754BEC" w:rsidRPr="00E33A98" w:rsidRDefault="00754BEC" w:rsidP="00BD4A58">
      <w:pPr>
        <w:autoSpaceDE w:val="0"/>
        <w:autoSpaceDN w:val="0"/>
        <w:adjustRightInd w:val="0"/>
        <w:jc w:val="both"/>
        <w:rPr>
          <w:rFonts w:ascii="Arial" w:hAnsi="Arial" w:cs="Arial"/>
          <w:sz w:val="22"/>
          <w:szCs w:val="22"/>
        </w:rPr>
      </w:pPr>
    </w:p>
    <w:p w14:paraId="65904C89" w14:textId="4621676B" w:rsidR="00754BEC" w:rsidRPr="00E33A98" w:rsidRDefault="00754BEC" w:rsidP="00754BEC">
      <w:pPr>
        <w:pStyle w:val="ListParagraph"/>
        <w:numPr>
          <w:ilvl w:val="0"/>
          <w:numId w:val="38"/>
        </w:numPr>
        <w:autoSpaceDE w:val="0"/>
        <w:autoSpaceDN w:val="0"/>
        <w:adjustRightInd w:val="0"/>
        <w:jc w:val="both"/>
        <w:rPr>
          <w:rFonts w:ascii="Arial" w:hAnsi="Arial" w:cs="Arial"/>
          <w:sz w:val="22"/>
          <w:szCs w:val="22"/>
        </w:rPr>
      </w:pPr>
      <w:r w:rsidRPr="00E33A98">
        <w:rPr>
          <w:rFonts w:ascii="Arial" w:hAnsi="Arial" w:cs="Arial"/>
          <w:sz w:val="22"/>
          <w:szCs w:val="22"/>
        </w:rPr>
        <w:t>Obtaining consent from all the home improvement stores to assign the distribution contracts</w:t>
      </w:r>
    </w:p>
    <w:p w14:paraId="30CC110D" w14:textId="77777777" w:rsidR="00D07D5A" w:rsidRPr="00E33A98" w:rsidRDefault="00D07D5A" w:rsidP="00BD4A58">
      <w:pPr>
        <w:autoSpaceDE w:val="0"/>
        <w:autoSpaceDN w:val="0"/>
        <w:adjustRightInd w:val="0"/>
        <w:jc w:val="both"/>
        <w:rPr>
          <w:rFonts w:ascii="Arial" w:hAnsi="Arial" w:cs="Arial"/>
          <w:sz w:val="22"/>
          <w:szCs w:val="22"/>
        </w:rPr>
      </w:pPr>
    </w:p>
    <w:p w14:paraId="7E433538" w14:textId="0BB75F12" w:rsidR="00754BEC" w:rsidRPr="00E33A98" w:rsidRDefault="00754BEC" w:rsidP="00754BEC">
      <w:pPr>
        <w:autoSpaceDE w:val="0"/>
        <w:autoSpaceDN w:val="0"/>
        <w:adjustRightInd w:val="0"/>
        <w:ind w:firstLine="360"/>
        <w:jc w:val="both"/>
        <w:rPr>
          <w:rFonts w:ascii="Arial" w:hAnsi="Arial" w:cs="Arial"/>
          <w:sz w:val="22"/>
          <w:szCs w:val="22"/>
        </w:rPr>
      </w:pPr>
      <w:r w:rsidRPr="00E33A98">
        <w:rPr>
          <w:rFonts w:ascii="Arial" w:hAnsi="Arial" w:cs="Arial"/>
          <w:sz w:val="22"/>
          <w:szCs w:val="22"/>
        </w:rPr>
        <w:t xml:space="preserve">Flexibility in assuming </w:t>
      </w:r>
      <w:r w:rsidR="00905D46" w:rsidRPr="00E33A98">
        <w:rPr>
          <w:rFonts w:ascii="Arial" w:hAnsi="Arial" w:cs="Arial"/>
          <w:sz w:val="22"/>
          <w:szCs w:val="22"/>
        </w:rPr>
        <w:t xml:space="preserve">executory </w:t>
      </w:r>
      <w:r w:rsidRPr="00E33A98">
        <w:rPr>
          <w:rFonts w:ascii="Arial" w:hAnsi="Arial" w:cs="Arial"/>
          <w:sz w:val="22"/>
          <w:szCs w:val="22"/>
        </w:rPr>
        <w:t>contracts</w:t>
      </w:r>
    </w:p>
    <w:p w14:paraId="2D4FB4F2" w14:textId="77777777" w:rsidR="00754BEC" w:rsidRPr="00E33A98" w:rsidRDefault="00754BEC" w:rsidP="00BD4A58">
      <w:pPr>
        <w:autoSpaceDE w:val="0"/>
        <w:autoSpaceDN w:val="0"/>
        <w:adjustRightInd w:val="0"/>
        <w:jc w:val="both"/>
        <w:rPr>
          <w:rFonts w:ascii="Arial" w:hAnsi="Arial" w:cs="Arial"/>
          <w:sz w:val="22"/>
          <w:szCs w:val="22"/>
        </w:rPr>
      </w:pPr>
    </w:p>
    <w:p w14:paraId="4DCC9550" w14:textId="77777777" w:rsidR="007C0E54" w:rsidRPr="00E33A98" w:rsidRDefault="00754BEC" w:rsidP="00754BEC">
      <w:pPr>
        <w:autoSpaceDE w:val="0"/>
        <w:autoSpaceDN w:val="0"/>
        <w:adjustRightInd w:val="0"/>
        <w:ind w:left="360"/>
        <w:jc w:val="both"/>
        <w:rPr>
          <w:rFonts w:ascii="Arial" w:hAnsi="Arial" w:cs="Arial"/>
          <w:sz w:val="22"/>
          <w:szCs w:val="22"/>
        </w:rPr>
      </w:pPr>
      <w:r w:rsidRPr="00E33A98">
        <w:rPr>
          <w:rFonts w:ascii="Arial" w:hAnsi="Arial" w:cs="Arial"/>
          <w:sz w:val="22"/>
          <w:szCs w:val="22"/>
        </w:rPr>
        <w:t xml:space="preserve">Section 365 of the US Bankruptcy Code permits the debtor viz, Paint Corporation to assume and assign executory contracts as it deem fit providing buyer enhanced leverage while dealing with contact counter parties, who may agree to compromise in order </w:t>
      </w:r>
      <w:r w:rsidR="007C0E54" w:rsidRPr="00E33A98">
        <w:rPr>
          <w:rFonts w:ascii="Arial" w:hAnsi="Arial" w:cs="Arial"/>
          <w:sz w:val="22"/>
          <w:szCs w:val="22"/>
        </w:rPr>
        <w:t>to avoid having their contracts rejected.</w:t>
      </w:r>
    </w:p>
    <w:p w14:paraId="6F169984" w14:textId="77777777" w:rsidR="007C0E54" w:rsidRPr="00E33A98" w:rsidRDefault="007C0E54" w:rsidP="00754BEC">
      <w:pPr>
        <w:autoSpaceDE w:val="0"/>
        <w:autoSpaceDN w:val="0"/>
        <w:adjustRightInd w:val="0"/>
        <w:ind w:left="360"/>
        <w:jc w:val="both"/>
        <w:rPr>
          <w:rFonts w:ascii="Arial" w:hAnsi="Arial" w:cs="Arial"/>
          <w:sz w:val="22"/>
          <w:szCs w:val="22"/>
        </w:rPr>
      </w:pPr>
    </w:p>
    <w:p w14:paraId="6C070E01" w14:textId="2057870C" w:rsidR="00C62BDD" w:rsidRPr="00E33A98" w:rsidRDefault="007C2E36" w:rsidP="00BC1278">
      <w:pPr>
        <w:pStyle w:val="ListParagraph"/>
        <w:numPr>
          <w:ilvl w:val="0"/>
          <w:numId w:val="38"/>
        </w:numPr>
        <w:autoSpaceDE w:val="0"/>
        <w:autoSpaceDN w:val="0"/>
        <w:adjustRightInd w:val="0"/>
        <w:jc w:val="both"/>
        <w:rPr>
          <w:rFonts w:ascii="Arial" w:hAnsi="Arial" w:cs="Arial"/>
          <w:sz w:val="22"/>
          <w:szCs w:val="22"/>
        </w:rPr>
      </w:pPr>
      <w:r w:rsidRPr="00E33A98">
        <w:rPr>
          <w:rFonts w:ascii="Arial" w:hAnsi="Arial" w:cs="Arial"/>
          <w:sz w:val="22"/>
          <w:szCs w:val="22"/>
        </w:rPr>
        <w:t>US Environmental Protection Agency is investigating whether Paint Corporation’s operations are causing harmful chemicals to contaminate a nearby river</w:t>
      </w:r>
    </w:p>
    <w:p w14:paraId="65B13C90" w14:textId="77777777" w:rsidR="00C62BDD" w:rsidRPr="00E33A98" w:rsidRDefault="00C62BDD" w:rsidP="007C2E36">
      <w:pPr>
        <w:pStyle w:val="ListParagraph"/>
        <w:autoSpaceDE w:val="0"/>
        <w:autoSpaceDN w:val="0"/>
        <w:adjustRightInd w:val="0"/>
        <w:ind w:left="360"/>
        <w:jc w:val="both"/>
        <w:rPr>
          <w:rFonts w:ascii="Arial" w:hAnsi="Arial" w:cs="Arial"/>
          <w:sz w:val="22"/>
          <w:szCs w:val="22"/>
        </w:rPr>
      </w:pPr>
    </w:p>
    <w:p w14:paraId="5D3AD79D" w14:textId="790D99EB" w:rsidR="007E5BB8" w:rsidRPr="00E33A98" w:rsidRDefault="007E5BB8" w:rsidP="007C2E36">
      <w:pPr>
        <w:pStyle w:val="ListParagraph"/>
        <w:autoSpaceDE w:val="0"/>
        <w:autoSpaceDN w:val="0"/>
        <w:adjustRightInd w:val="0"/>
        <w:ind w:left="360"/>
        <w:jc w:val="both"/>
        <w:rPr>
          <w:rFonts w:ascii="Arial" w:hAnsi="Arial" w:cs="Arial"/>
          <w:sz w:val="22"/>
          <w:szCs w:val="22"/>
        </w:rPr>
      </w:pPr>
      <w:r w:rsidRPr="00E33A98">
        <w:rPr>
          <w:rFonts w:ascii="Arial" w:hAnsi="Arial" w:cs="Arial"/>
          <w:sz w:val="22"/>
          <w:szCs w:val="22"/>
        </w:rPr>
        <w:t xml:space="preserve">Section 363 does not specifically deal with environmental liabilities or </w:t>
      </w:r>
      <w:r w:rsidR="00BC1278" w:rsidRPr="00E33A98">
        <w:rPr>
          <w:rFonts w:ascii="Arial" w:hAnsi="Arial" w:cs="Arial"/>
          <w:sz w:val="22"/>
          <w:szCs w:val="22"/>
        </w:rPr>
        <w:t xml:space="preserve">toxic torts or successor liabilities. Since the sale envisaged above is of the formulations business and distribution contracts and not the </w:t>
      </w:r>
      <w:r w:rsidR="009E051B" w:rsidRPr="00E33A98">
        <w:rPr>
          <w:rFonts w:ascii="Arial" w:hAnsi="Arial" w:cs="Arial"/>
          <w:sz w:val="22"/>
          <w:szCs w:val="22"/>
        </w:rPr>
        <w:t xml:space="preserve">contaminated </w:t>
      </w:r>
      <w:r w:rsidR="00BC1278" w:rsidRPr="00E33A98">
        <w:rPr>
          <w:rFonts w:ascii="Arial" w:hAnsi="Arial" w:cs="Arial"/>
          <w:sz w:val="22"/>
          <w:szCs w:val="22"/>
        </w:rPr>
        <w:t>land</w:t>
      </w:r>
      <w:r w:rsidR="009E051B" w:rsidRPr="00E33A98">
        <w:rPr>
          <w:rFonts w:ascii="Arial" w:hAnsi="Arial" w:cs="Arial"/>
          <w:sz w:val="22"/>
          <w:szCs w:val="22"/>
        </w:rPr>
        <w:t xml:space="preserve"> and building, no liability would devolve upon </w:t>
      </w:r>
      <w:r w:rsidR="009E051B" w:rsidRPr="00E33A98">
        <w:rPr>
          <w:rFonts w:ascii="Arial" w:hAnsi="Arial" w:cs="Arial"/>
          <w:sz w:val="22"/>
          <w:szCs w:val="22"/>
          <w:lang w:val="en-GB"/>
        </w:rPr>
        <w:t>Home Corporation since they would get the title</w:t>
      </w:r>
      <w:r w:rsidR="0018706E" w:rsidRPr="00E33A98">
        <w:rPr>
          <w:rFonts w:ascii="Arial" w:hAnsi="Arial" w:cs="Arial"/>
          <w:sz w:val="22"/>
          <w:szCs w:val="22"/>
          <w:lang w:val="en-GB"/>
        </w:rPr>
        <w:t xml:space="preserve"> to the intangibles</w:t>
      </w:r>
      <w:r w:rsidR="009E051B" w:rsidRPr="00E33A98">
        <w:rPr>
          <w:rFonts w:ascii="Arial" w:hAnsi="Arial" w:cs="Arial"/>
          <w:sz w:val="22"/>
          <w:szCs w:val="22"/>
          <w:lang w:val="en-GB"/>
        </w:rPr>
        <w:t xml:space="preserve"> free from any</w:t>
      </w:r>
      <w:r w:rsidR="00D33FE2" w:rsidRPr="00E33A98">
        <w:rPr>
          <w:rFonts w:ascii="Arial" w:hAnsi="Arial" w:cs="Arial"/>
          <w:sz w:val="22"/>
          <w:szCs w:val="22"/>
          <w:lang w:val="en-GB"/>
        </w:rPr>
        <w:t xml:space="preserve"> claims,</w:t>
      </w:r>
      <w:r w:rsidR="009E051B" w:rsidRPr="00E33A98">
        <w:rPr>
          <w:rFonts w:ascii="Arial" w:hAnsi="Arial" w:cs="Arial"/>
          <w:sz w:val="22"/>
          <w:szCs w:val="22"/>
          <w:lang w:val="en-GB"/>
        </w:rPr>
        <w:t xml:space="preserve"> liens</w:t>
      </w:r>
      <w:r w:rsidR="00D33FE2" w:rsidRPr="00E33A98">
        <w:rPr>
          <w:rFonts w:ascii="Arial" w:hAnsi="Arial" w:cs="Arial"/>
          <w:sz w:val="22"/>
          <w:szCs w:val="22"/>
          <w:lang w:val="en-GB"/>
        </w:rPr>
        <w:t xml:space="preserve"> or </w:t>
      </w:r>
      <w:r w:rsidR="00E75476" w:rsidRPr="00E33A98">
        <w:rPr>
          <w:rFonts w:ascii="Arial" w:hAnsi="Arial" w:cs="Arial"/>
          <w:sz w:val="22"/>
          <w:szCs w:val="22"/>
          <w:lang w:val="en-GB"/>
        </w:rPr>
        <w:t>encumbrances</w:t>
      </w:r>
      <w:r w:rsidR="009E051B" w:rsidRPr="00E33A98">
        <w:rPr>
          <w:rFonts w:ascii="Arial" w:hAnsi="Arial" w:cs="Arial"/>
          <w:sz w:val="22"/>
          <w:szCs w:val="22"/>
          <w:lang w:val="en-GB"/>
        </w:rPr>
        <w:t xml:space="preserve"> and </w:t>
      </w:r>
      <w:r w:rsidR="009E051B" w:rsidRPr="00E33A98">
        <w:rPr>
          <w:rFonts w:ascii="Arial" w:hAnsi="Arial" w:cs="Arial"/>
          <w:sz w:val="22"/>
          <w:szCs w:val="22"/>
        </w:rPr>
        <w:t xml:space="preserve">Paint Corporation would continue to be liable to perform clean-up action recommended by the US Environmental Protection Agency from the proceeds of sale or </w:t>
      </w:r>
      <w:r w:rsidR="005A5959" w:rsidRPr="00E33A98">
        <w:rPr>
          <w:rFonts w:ascii="Arial" w:hAnsi="Arial" w:cs="Arial"/>
          <w:sz w:val="22"/>
          <w:szCs w:val="22"/>
        </w:rPr>
        <w:t>the federal or s</w:t>
      </w:r>
      <w:bookmarkStart w:id="1" w:name="_GoBack"/>
      <w:bookmarkEnd w:id="1"/>
      <w:r w:rsidR="005A5959" w:rsidRPr="00E33A98">
        <w:rPr>
          <w:rFonts w:ascii="Arial" w:hAnsi="Arial" w:cs="Arial"/>
          <w:sz w:val="22"/>
          <w:szCs w:val="22"/>
        </w:rPr>
        <w:t xml:space="preserve">tate agency may perform the necessary clean-up </w:t>
      </w:r>
      <w:r w:rsidR="005A5959" w:rsidRPr="00E33A98">
        <w:rPr>
          <w:rFonts w:ascii="Arial" w:hAnsi="Arial" w:cs="Arial"/>
          <w:sz w:val="22"/>
          <w:szCs w:val="22"/>
        </w:rPr>
        <w:lastRenderedPageBreak/>
        <w:t>activity and charge Paint Corporation for the clean-up</w:t>
      </w:r>
      <w:r w:rsidR="00E75476" w:rsidRPr="00E33A98">
        <w:rPr>
          <w:rFonts w:ascii="Arial" w:hAnsi="Arial" w:cs="Arial"/>
          <w:sz w:val="22"/>
          <w:szCs w:val="22"/>
        </w:rPr>
        <w:t xml:space="preserve"> since such obligations survive bankruptcy</w:t>
      </w:r>
      <w:r w:rsidR="005A5959" w:rsidRPr="00E33A98">
        <w:rPr>
          <w:rFonts w:ascii="Arial" w:hAnsi="Arial" w:cs="Arial"/>
          <w:sz w:val="22"/>
          <w:szCs w:val="22"/>
        </w:rPr>
        <w:t>.</w:t>
      </w:r>
    </w:p>
    <w:p w14:paraId="6EAB6E4E" w14:textId="47DA3028" w:rsidR="009A054C" w:rsidRPr="00E33A98" w:rsidRDefault="004C7C66" w:rsidP="00BD4A58">
      <w:pPr>
        <w:autoSpaceDE w:val="0"/>
        <w:autoSpaceDN w:val="0"/>
        <w:adjustRightInd w:val="0"/>
        <w:jc w:val="both"/>
        <w:rPr>
          <w:rFonts w:ascii="Arial" w:hAnsi="Arial" w:cs="Arial"/>
          <w:sz w:val="22"/>
          <w:szCs w:val="22"/>
          <w:lang w:val="en-GB"/>
        </w:rPr>
      </w:pPr>
      <w:r w:rsidRPr="00E33A98">
        <w:rPr>
          <w:rFonts w:ascii="Arial" w:hAnsi="Arial" w:cs="Arial"/>
          <w:sz w:val="22"/>
          <w:szCs w:val="22"/>
          <w:lang w:val="en-GB"/>
        </w:rPr>
        <w:t xml:space="preserve"> </w:t>
      </w:r>
    </w:p>
    <w:bookmarkEnd w:id="0"/>
    <w:p w14:paraId="35D8F287" w14:textId="77777777" w:rsidR="0077498C" w:rsidRPr="00E33A9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AEC11" w14:textId="77777777" w:rsidR="00E45CB7" w:rsidRDefault="00E45CB7" w:rsidP="00241B44">
      <w:r>
        <w:separator/>
      </w:r>
    </w:p>
  </w:endnote>
  <w:endnote w:type="continuationSeparator" w:id="0">
    <w:p w14:paraId="7EE11A04" w14:textId="77777777" w:rsidR="00E45CB7" w:rsidRDefault="00E45CB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E33A98">
          <w:rPr>
            <w:rStyle w:val="PageNumber"/>
            <w:rFonts w:ascii="Arial" w:hAnsi="Arial" w:cs="Arial"/>
            <w:noProof/>
            <w:sz w:val="18"/>
            <w:szCs w:val="18"/>
          </w:rPr>
          <w:t>13</w:t>
        </w:r>
        <w:r w:rsidRPr="009B4976">
          <w:rPr>
            <w:rStyle w:val="PageNumber"/>
            <w:rFonts w:ascii="Arial" w:hAnsi="Arial" w:cs="Arial"/>
            <w:sz w:val="18"/>
            <w:szCs w:val="18"/>
          </w:rPr>
          <w:fldChar w:fldCharType="end"/>
        </w:r>
      </w:p>
    </w:sdtContent>
  </w:sdt>
  <w:p w14:paraId="30F05E79" w14:textId="3E872997" w:rsidR="00241FA3" w:rsidRPr="009B4976" w:rsidRDefault="003F3139" w:rsidP="009B4976">
    <w:pPr>
      <w:pStyle w:val="Footer"/>
      <w:ind w:right="360"/>
      <w:rPr>
        <w:rFonts w:ascii="Arial" w:hAnsi="Arial" w:cs="Arial"/>
        <w:sz w:val="18"/>
        <w:szCs w:val="18"/>
        <w:lang w:val="en-GB"/>
      </w:rPr>
    </w:pPr>
    <w:r>
      <w:rPr>
        <w:rFonts w:ascii="Arial" w:hAnsi="Arial" w:cs="Arial"/>
        <w:sz w:val="18"/>
        <w:szCs w:val="18"/>
      </w:rPr>
      <w:t>202021IFU-329</w:t>
    </w:r>
    <w:r w:rsidRPr="00784B4B">
      <w:rPr>
        <w:rFonts w:ascii="Arial" w:hAnsi="Arial" w:cs="Arial"/>
        <w:sz w:val="18"/>
        <w:szCs w:val="18"/>
      </w:rPr>
      <w:t>.</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782E" w14:textId="77777777" w:rsidR="003F3139" w:rsidRDefault="003F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B27B4" w14:textId="77777777" w:rsidR="00E45CB7" w:rsidRDefault="00E45CB7" w:rsidP="00241B44">
      <w:r>
        <w:separator/>
      </w:r>
    </w:p>
  </w:footnote>
  <w:footnote w:type="continuationSeparator" w:id="0">
    <w:p w14:paraId="7433ECFA" w14:textId="77777777" w:rsidR="00E45CB7" w:rsidRDefault="00E45CB7" w:rsidP="0024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0DDC" w14:textId="77777777" w:rsidR="003F3139" w:rsidRDefault="003F3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4160" w14:textId="77777777" w:rsidR="003F3139" w:rsidRDefault="003F3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4F38" w14:textId="77777777" w:rsidR="003F3139" w:rsidRDefault="003F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1086A"/>
    <w:multiLevelType w:val="hybridMultilevel"/>
    <w:tmpl w:val="DD849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AB39AD"/>
    <w:multiLevelType w:val="hybridMultilevel"/>
    <w:tmpl w:val="DFEAA7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5E4AE4"/>
    <w:multiLevelType w:val="hybridMultilevel"/>
    <w:tmpl w:val="08920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B61DB"/>
    <w:multiLevelType w:val="hybridMultilevel"/>
    <w:tmpl w:val="BECE5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53743D"/>
    <w:multiLevelType w:val="hybridMultilevel"/>
    <w:tmpl w:val="2A9CF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23"/>
  </w:num>
  <w:num w:numId="5">
    <w:abstractNumId w:val="16"/>
  </w:num>
  <w:num w:numId="6">
    <w:abstractNumId w:val="0"/>
  </w:num>
  <w:num w:numId="7">
    <w:abstractNumId w:val="12"/>
  </w:num>
  <w:num w:numId="8">
    <w:abstractNumId w:val="1"/>
  </w:num>
  <w:num w:numId="9">
    <w:abstractNumId w:val="6"/>
  </w:num>
  <w:num w:numId="10">
    <w:abstractNumId w:val="7"/>
  </w:num>
  <w:num w:numId="11">
    <w:abstractNumId w:val="17"/>
  </w:num>
  <w:num w:numId="12">
    <w:abstractNumId w:val="29"/>
  </w:num>
  <w:num w:numId="13">
    <w:abstractNumId w:val="36"/>
  </w:num>
  <w:num w:numId="14">
    <w:abstractNumId w:val="8"/>
  </w:num>
  <w:num w:numId="15">
    <w:abstractNumId w:val="9"/>
  </w:num>
  <w:num w:numId="16">
    <w:abstractNumId w:val="13"/>
  </w:num>
  <w:num w:numId="17">
    <w:abstractNumId w:val="35"/>
  </w:num>
  <w:num w:numId="18">
    <w:abstractNumId w:val="19"/>
  </w:num>
  <w:num w:numId="19">
    <w:abstractNumId w:val="26"/>
  </w:num>
  <w:num w:numId="20">
    <w:abstractNumId w:val="4"/>
  </w:num>
  <w:num w:numId="21">
    <w:abstractNumId w:val="11"/>
  </w:num>
  <w:num w:numId="22">
    <w:abstractNumId w:val="30"/>
  </w:num>
  <w:num w:numId="23">
    <w:abstractNumId w:val="2"/>
  </w:num>
  <w:num w:numId="24">
    <w:abstractNumId w:val="22"/>
  </w:num>
  <w:num w:numId="25">
    <w:abstractNumId w:val="3"/>
  </w:num>
  <w:num w:numId="26">
    <w:abstractNumId w:val="15"/>
  </w:num>
  <w:num w:numId="27">
    <w:abstractNumId w:val="25"/>
  </w:num>
  <w:num w:numId="28">
    <w:abstractNumId w:val="21"/>
  </w:num>
  <w:num w:numId="29">
    <w:abstractNumId w:val="14"/>
  </w:num>
  <w:num w:numId="30">
    <w:abstractNumId w:val="37"/>
  </w:num>
  <w:num w:numId="31">
    <w:abstractNumId w:val="10"/>
  </w:num>
  <w:num w:numId="32">
    <w:abstractNumId w:val="34"/>
  </w:num>
  <w:num w:numId="33">
    <w:abstractNumId w:val="18"/>
  </w:num>
  <w:num w:numId="34">
    <w:abstractNumId w:val="5"/>
  </w:num>
  <w:num w:numId="35">
    <w:abstractNumId w:val="27"/>
  </w:num>
  <w:num w:numId="36">
    <w:abstractNumId w:val="32"/>
  </w:num>
  <w:num w:numId="37">
    <w:abstractNumId w:val="24"/>
  </w:num>
  <w:num w:numId="3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0ACC"/>
    <w:rsid w:val="00021FC2"/>
    <w:rsid w:val="00022E00"/>
    <w:rsid w:val="000250C7"/>
    <w:rsid w:val="00026F16"/>
    <w:rsid w:val="000326CE"/>
    <w:rsid w:val="00037621"/>
    <w:rsid w:val="00037671"/>
    <w:rsid w:val="00042F8B"/>
    <w:rsid w:val="0004474C"/>
    <w:rsid w:val="00044D46"/>
    <w:rsid w:val="00045088"/>
    <w:rsid w:val="00045904"/>
    <w:rsid w:val="00047D6B"/>
    <w:rsid w:val="000502FD"/>
    <w:rsid w:val="0005602F"/>
    <w:rsid w:val="00063752"/>
    <w:rsid w:val="00065166"/>
    <w:rsid w:val="00075D86"/>
    <w:rsid w:val="00082609"/>
    <w:rsid w:val="0008373D"/>
    <w:rsid w:val="000851CC"/>
    <w:rsid w:val="000877F6"/>
    <w:rsid w:val="000901C7"/>
    <w:rsid w:val="00090894"/>
    <w:rsid w:val="00093BE8"/>
    <w:rsid w:val="00097B45"/>
    <w:rsid w:val="000A407B"/>
    <w:rsid w:val="000A636A"/>
    <w:rsid w:val="000A68ED"/>
    <w:rsid w:val="000B5FF1"/>
    <w:rsid w:val="000B609F"/>
    <w:rsid w:val="000B7D0A"/>
    <w:rsid w:val="000C4C5B"/>
    <w:rsid w:val="000C7897"/>
    <w:rsid w:val="000D39C8"/>
    <w:rsid w:val="000D4648"/>
    <w:rsid w:val="000D55A8"/>
    <w:rsid w:val="000E4841"/>
    <w:rsid w:val="000E6DFF"/>
    <w:rsid w:val="000F1677"/>
    <w:rsid w:val="000F279C"/>
    <w:rsid w:val="000F3D6C"/>
    <w:rsid w:val="000F46B6"/>
    <w:rsid w:val="000F7F86"/>
    <w:rsid w:val="000F7FC2"/>
    <w:rsid w:val="00101707"/>
    <w:rsid w:val="00102CC9"/>
    <w:rsid w:val="0011180C"/>
    <w:rsid w:val="001136C3"/>
    <w:rsid w:val="0011473D"/>
    <w:rsid w:val="00115238"/>
    <w:rsid w:val="00115C85"/>
    <w:rsid w:val="0012224B"/>
    <w:rsid w:val="00123855"/>
    <w:rsid w:val="00126A4D"/>
    <w:rsid w:val="00127CA5"/>
    <w:rsid w:val="00131E63"/>
    <w:rsid w:val="001341E7"/>
    <w:rsid w:val="00136E19"/>
    <w:rsid w:val="001374DF"/>
    <w:rsid w:val="0014108A"/>
    <w:rsid w:val="0014171F"/>
    <w:rsid w:val="0014622C"/>
    <w:rsid w:val="00152348"/>
    <w:rsid w:val="00153AF5"/>
    <w:rsid w:val="0015456D"/>
    <w:rsid w:val="00155FA2"/>
    <w:rsid w:val="00157836"/>
    <w:rsid w:val="00160679"/>
    <w:rsid w:val="00161F1B"/>
    <w:rsid w:val="00162829"/>
    <w:rsid w:val="00180548"/>
    <w:rsid w:val="00180AC4"/>
    <w:rsid w:val="00180CCE"/>
    <w:rsid w:val="0018267A"/>
    <w:rsid w:val="00182779"/>
    <w:rsid w:val="001830DF"/>
    <w:rsid w:val="00184D86"/>
    <w:rsid w:val="00185887"/>
    <w:rsid w:val="0018706E"/>
    <w:rsid w:val="001966D9"/>
    <w:rsid w:val="0019779F"/>
    <w:rsid w:val="001A05A3"/>
    <w:rsid w:val="001A128D"/>
    <w:rsid w:val="001A3281"/>
    <w:rsid w:val="001A7E9A"/>
    <w:rsid w:val="001B0F70"/>
    <w:rsid w:val="001B41F8"/>
    <w:rsid w:val="001B5016"/>
    <w:rsid w:val="001B5AFF"/>
    <w:rsid w:val="001B66B2"/>
    <w:rsid w:val="001C45FC"/>
    <w:rsid w:val="001D0469"/>
    <w:rsid w:val="001D4862"/>
    <w:rsid w:val="001D4B4F"/>
    <w:rsid w:val="001E25B9"/>
    <w:rsid w:val="001E49E0"/>
    <w:rsid w:val="001E7B5A"/>
    <w:rsid w:val="001F0912"/>
    <w:rsid w:val="001F09E8"/>
    <w:rsid w:val="001F7412"/>
    <w:rsid w:val="00202DFE"/>
    <w:rsid w:val="00205EC4"/>
    <w:rsid w:val="0020725B"/>
    <w:rsid w:val="00210E32"/>
    <w:rsid w:val="002110F1"/>
    <w:rsid w:val="00211B6A"/>
    <w:rsid w:val="0021526B"/>
    <w:rsid w:val="0022189C"/>
    <w:rsid w:val="00223917"/>
    <w:rsid w:val="00230996"/>
    <w:rsid w:val="0023230D"/>
    <w:rsid w:val="00232925"/>
    <w:rsid w:val="00236E10"/>
    <w:rsid w:val="00240166"/>
    <w:rsid w:val="0024116D"/>
    <w:rsid w:val="00241B44"/>
    <w:rsid w:val="00241FA3"/>
    <w:rsid w:val="00245EFB"/>
    <w:rsid w:val="0025386E"/>
    <w:rsid w:val="00256B74"/>
    <w:rsid w:val="002601CC"/>
    <w:rsid w:val="002619E8"/>
    <w:rsid w:val="002638B0"/>
    <w:rsid w:val="002657AA"/>
    <w:rsid w:val="0026647A"/>
    <w:rsid w:val="002668D3"/>
    <w:rsid w:val="0027299F"/>
    <w:rsid w:val="00284EBE"/>
    <w:rsid w:val="00286F94"/>
    <w:rsid w:val="0029010A"/>
    <w:rsid w:val="002903A7"/>
    <w:rsid w:val="002908B1"/>
    <w:rsid w:val="00293A71"/>
    <w:rsid w:val="0029433F"/>
    <w:rsid w:val="00294829"/>
    <w:rsid w:val="0029690F"/>
    <w:rsid w:val="00297C8A"/>
    <w:rsid w:val="002A1367"/>
    <w:rsid w:val="002A2A60"/>
    <w:rsid w:val="002A37BB"/>
    <w:rsid w:val="002B1C45"/>
    <w:rsid w:val="002C13C8"/>
    <w:rsid w:val="002C3547"/>
    <w:rsid w:val="002C73CA"/>
    <w:rsid w:val="002D0021"/>
    <w:rsid w:val="002D24DE"/>
    <w:rsid w:val="002D299D"/>
    <w:rsid w:val="002D3473"/>
    <w:rsid w:val="002D3DE7"/>
    <w:rsid w:val="002D4849"/>
    <w:rsid w:val="002D6789"/>
    <w:rsid w:val="002D78C5"/>
    <w:rsid w:val="002E3438"/>
    <w:rsid w:val="002E3CA4"/>
    <w:rsid w:val="002E60CC"/>
    <w:rsid w:val="002F1956"/>
    <w:rsid w:val="002F3440"/>
    <w:rsid w:val="002F5B7C"/>
    <w:rsid w:val="002F7289"/>
    <w:rsid w:val="002F75A3"/>
    <w:rsid w:val="002F7A86"/>
    <w:rsid w:val="00301D2B"/>
    <w:rsid w:val="00301F04"/>
    <w:rsid w:val="00303C2F"/>
    <w:rsid w:val="00306BA8"/>
    <w:rsid w:val="003144EF"/>
    <w:rsid w:val="00326292"/>
    <w:rsid w:val="00326415"/>
    <w:rsid w:val="00330937"/>
    <w:rsid w:val="00330F31"/>
    <w:rsid w:val="00331593"/>
    <w:rsid w:val="00334648"/>
    <w:rsid w:val="0033768C"/>
    <w:rsid w:val="00337938"/>
    <w:rsid w:val="00340769"/>
    <w:rsid w:val="00341AA6"/>
    <w:rsid w:val="00343BA6"/>
    <w:rsid w:val="00345D60"/>
    <w:rsid w:val="003502EB"/>
    <w:rsid w:val="00355B00"/>
    <w:rsid w:val="00361A0A"/>
    <w:rsid w:val="003628FD"/>
    <w:rsid w:val="00364836"/>
    <w:rsid w:val="0036565C"/>
    <w:rsid w:val="0036625E"/>
    <w:rsid w:val="0037465A"/>
    <w:rsid w:val="00376BF3"/>
    <w:rsid w:val="00380192"/>
    <w:rsid w:val="00382C98"/>
    <w:rsid w:val="0038533C"/>
    <w:rsid w:val="00386568"/>
    <w:rsid w:val="003878FB"/>
    <w:rsid w:val="00390B57"/>
    <w:rsid w:val="00394172"/>
    <w:rsid w:val="003946A7"/>
    <w:rsid w:val="003948D5"/>
    <w:rsid w:val="00396821"/>
    <w:rsid w:val="00397D3A"/>
    <w:rsid w:val="003A051E"/>
    <w:rsid w:val="003A744B"/>
    <w:rsid w:val="003B170F"/>
    <w:rsid w:val="003B3149"/>
    <w:rsid w:val="003B3C5F"/>
    <w:rsid w:val="003B6798"/>
    <w:rsid w:val="003B7E4B"/>
    <w:rsid w:val="003C0B61"/>
    <w:rsid w:val="003C4471"/>
    <w:rsid w:val="003C53FE"/>
    <w:rsid w:val="003C5837"/>
    <w:rsid w:val="003D0A6D"/>
    <w:rsid w:val="003D372E"/>
    <w:rsid w:val="003E0B16"/>
    <w:rsid w:val="003E67D1"/>
    <w:rsid w:val="003F3139"/>
    <w:rsid w:val="003F4B05"/>
    <w:rsid w:val="00402941"/>
    <w:rsid w:val="004036B2"/>
    <w:rsid w:val="00404329"/>
    <w:rsid w:val="00405DC1"/>
    <w:rsid w:val="00415F1F"/>
    <w:rsid w:val="0042108F"/>
    <w:rsid w:val="004248F6"/>
    <w:rsid w:val="004273B0"/>
    <w:rsid w:val="00427ABB"/>
    <w:rsid w:val="00430FED"/>
    <w:rsid w:val="004339AD"/>
    <w:rsid w:val="00433A55"/>
    <w:rsid w:val="00434A8C"/>
    <w:rsid w:val="00437297"/>
    <w:rsid w:val="00440467"/>
    <w:rsid w:val="00444284"/>
    <w:rsid w:val="00445CE6"/>
    <w:rsid w:val="004534C2"/>
    <w:rsid w:val="0045446F"/>
    <w:rsid w:val="00455018"/>
    <w:rsid w:val="0045683E"/>
    <w:rsid w:val="00463698"/>
    <w:rsid w:val="00477C72"/>
    <w:rsid w:val="004828F4"/>
    <w:rsid w:val="00491675"/>
    <w:rsid w:val="00492DB0"/>
    <w:rsid w:val="00493855"/>
    <w:rsid w:val="00495E79"/>
    <w:rsid w:val="004A05B9"/>
    <w:rsid w:val="004A57DD"/>
    <w:rsid w:val="004A68B0"/>
    <w:rsid w:val="004A7B51"/>
    <w:rsid w:val="004A7D71"/>
    <w:rsid w:val="004A7EF3"/>
    <w:rsid w:val="004B11FD"/>
    <w:rsid w:val="004B23A2"/>
    <w:rsid w:val="004C19AE"/>
    <w:rsid w:val="004C1B92"/>
    <w:rsid w:val="004C7C66"/>
    <w:rsid w:val="004D1A5A"/>
    <w:rsid w:val="004D2FFF"/>
    <w:rsid w:val="004D3721"/>
    <w:rsid w:val="004D3B3B"/>
    <w:rsid w:val="004D64F9"/>
    <w:rsid w:val="004E3A6B"/>
    <w:rsid w:val="004E55D2"/>
    <w:rsid w:val="004E5AF5"/>
    <w:rsid w:val="004E622C"/>
    <w:rsid w:val="004F1EB5"/>
    <w:rsid w:val="004F5FDF"/>
    <w:rsid w:val="004F7B99"/>
    <w:rsid w:val="00515810"/>
    <w:rsid w:val="005176FF"/>
    <w:rsid w:val="005177FE"/>
    <w:rsid w:val="00521882"/>
    <w:rsid w:val="0052263B"/>
    <w:rsid w:val="00524728"/>
    <w:rsid w:val="00524E1A"/>
    <w:rsid w:val="005331CA"/>
    <w:rsid w:val="00533F43"/>
    <w:rsid w:val="00537970"/>
    <w:rsid w:val="00540E3A"/>
    <w:rsid w:val="00541B45"/>
    <w:rsid w:val="00544127"/>
    <w:rsid w:val="005463A9"/>
    <w:rsid w:val="00553EB2"/>
    <w:rsid w:val="00554887"/>
    <w:rsid w:val="00560534"/>
    <w:rsid w:val="0056391B"/>
    <w:rsid w:val="005650B9"/>
    <w:rsid w:val="005650E2"/>
    <w:rsid w:val="0056599F"/>
    <w:rsid w:val="00565F7C"/>
    <w:rsid w:val="00567AD7"/>
    <w:rsid w:val="00572294"/>
    <w:rsid w:val="00575B2D"/>
    <w:rsid w:val="005802A8"/>
    <w:rsid w:val="0058099E"/>
    <w:rsid w:val="005833D0"/>
    <w:rsid w:val="00583D8E"/>
    <w:rsid w:val="005846F3"/>
    <w:rsid w:val="0058622F"/>
    <w:rsid w:val="00587019"/>
    <w:rsid w:val="00592F82"/>
    <w:rsid w:val="005971E6"/>
    <w:rsid w:val="005A0CCA"/>
    <w:rsid w:val="005A5959"/>
    <w:rsid w:val="005A6A68"/>
    <w:rsid w:val="005A6FF2"/>
    <w:rsid w:val="005A726D"/>
    <w:rsid w:val="005B2720"/>
    <w:rsid w:val="005B67AC"/>
    <w:rsid w:val="005B79F4"/>
    <w:rsid w:val="005C5C2A"/>
    <w:rsid w:val="005D1293"/>
    <w:rsid w:val="005D43E0"/>
    <w:rsid w:val="005D4BB2"/>
    <w:rsid w:val="005D58A3"/>
    <w:rsid w:val="005D6642"/>
    <w:rsid w:val="005E1B79"/>
    <w:rsid w:val="005E6076"/>
    <w:rsid w:val="005E7008"/>
    <w:rsid w:val="005F026D"/>
    <w:rsid w:val="005F2AEA"/>
    <w:rsid w:val="005F2D0B"/>
    <w:rsid w:val="005F4B31"/>
    <w:rsid w:val="005F6CC3"/>
    <w:rsid w:val="00605522"/>
    <w:rsid w:val="00610388"/>
    <w:rsid w:val="00610AC7"/>
    <w:rsid w:val="00612CA5"/>
    <w:rsid w:val="006153EC"/>
    <w:rsid w:val="00621A17"/>
    <w:rsid w:val="00624206"/>
    <w:rsid w:val="006245E3"/>
    <w:rsid w:val="00627025"/>
    <w:rsid w:val="00627CC9"/>
    <w:rsid w:val="00627E7B"/>
    <w:rsid w:val="00630542"/>
    <w:rsid w:val="006319E6"/>
    <w:rsid w:val="00632E44"/>
    <w:rsid w:val="006340E6"/>
    <w:rsid w:val="00634277"/>
    <w:rsid w:val="00634622"/>
    <w:rsid w:val="00636606"/>
    <w:rsid w:val="00636808"/>
    <w:rsid w:val="0063709F"/>
    <w:rsid w:val="00641515"/>
    <w:rsid w:val="00654C2F"/>
    <w:rsid w:val="0065512D"/>
    <w:rsid w:val="00657087"/>
    <w:rsid w:val="006624CD"/>
    <w:rsid w:val="006639DB"/>
    <w:rsid w:val="006661EF"/>
    <w:rsid w:val="00675A03"/>
    <w:rsid w:val="0067646B"/>
    <w:rsid w:val="00677AEB"/>
    <w:rsid w:val="00680EF2"/>
    <w:rsid w:val="0068187F"/>
    <w:rsid w:val="00681F48"/>
    <w:rsid w:val="00687A1D"/>
    <w:rsid w:val="00697EA1"/>
    <w:rsid w:val="006A0DDF"/>
    <w:rsid w:val="006A2646"/>
    <w:rsid w:val="006A34CF"/>
    <w:rsid w:val="006A370A"/>
    <w:rsid w:val="006A6530"/>
    <w:rsid w:val="006B3571"/>
    <w:rsid w:val="006B435A"/>
    <w:rsid w:val="006B4AD5"/>
    <w:rsid w:val="006B4C64"/>
    <w:rsid w:val="006C6A32"/>
    <w:rsid w:val="006D24F1"/>
    <w:rsid w:val="006D303F"/>
    <w:rsid w:val="006D6BD5"/>
    <w:rsid w:val="006E349A"/>
    <w:rsid w:val="006E481A"/>
    <w:rsid w:val="006E5298"/>
    <w:rsid w:val="006E5FB2"/>
    <w:rsid w:val="006F2D48"/>
    <w:rsid w:val="006F4A78"/>
    <w:rsid w:val="006F734A"/>
    <w:rsid w:val="00700D83"/>
    <w:rsid w:val="00704852"/>
    <w:rsid w:val="007074E9"/>
    <w:rsid w:val="00713DA4"/>
    <w:rsid w:val="00714BF1"/>
    <w:rsid w:val="00717BB5"/>
    <w:rsid w:val="00717C2C"/>
    <w:rsid w:val="00720B6E"/>
    <w:rsid w:val="00721383"/>
    <w:rsid w:val="0073158B"/>
    <w:rsid w:val="0073265C"/>
    <w:rsid w:val="00732A62"/>
    <w:rsid w:val="007333CC"/>
    <w:rsid w:val="0073399A"/>
    <w:rsid w:val="00742CBE"/>
    <w:rsid w:val="00744BC3"/>
    <w:rsid w:val="007502A3"/>
    <w:rsid w:val="00752A5F"/>
    <w:rsid w:val="00754BEC"/>
    <w:rsid w:val="007603F5"/>
    <w:rsid w:val="0076079C"/>
    <w:rsid w:val="00764DB0"/>
    <w:rsid w:val="00766E82"/>
    <w:rsid w:val="0076764D"/>
    <w:rsid w:val="0077498C"/>
    <w:rsid w:val="00777C53"/>
    <w:rsid w:val="007809BC"/>
    <w:rsid w:val="00784128"/>
    <w:rsid w:val="00787BCC"/>
    <w:rsid w:val="00793173"/>
    <w:rsid w:val="0079635D"/>
    <w:rsid w:val="00797B64"/>
    <w:rsid w:val="007A07E6"/>
    <w:rsid w:val="007A2A33"/>
    <w:rsid w:val="007A2FBD"/>
    <w:rsid w:val="007B5C89"/>
    <w:rsid w:val="007B6C81"/>
    <w:rsid w:val="007B7FD4"/>
    <w:rsid w:val="007C0E54"/>
    <w:rsid w:val="007C1FCC"/>
    <w:rsid w:val="007C2E36"/>
    <w:rsid w:val="007C6201"/>
    <w:rsid w:val="007D10DE"/>
    <w:rsid w:val="007D7C92"/>
    <w:rsid w:val="007E1154"/>
    <w:rsid w:val="007E1A15"/>
    <w:rsid w:val="007E5BB8"/>
    <w:rsid w:val="007E6BA4"/>
    <w:rsid w:val="007F1118"/>
    <w:rsid w:val="007F12AB"/>
    <w:rsid w:val="007F1FA9"/>
    <w:rsid w:val="007F3374"/>
    <w:rsid w:val="007F41F8"/>
    <w:rsid w:val="007F659B"/>
    <w:rsid w:val="008029D0"/>
    <w:rsid w:val="0080454E"/>
    <w:rsid w:val="00804C32"/>
    <w:rsid w:val="00805305"/>
    <w:rsid w:val="008061F5"/>
    <w:rsid w:val="00806302"/>
    <w:rsid w:val="00807119"/>
    <w:rsid w:val="008164A5"/>
    <w:rsid w:val="008247AB"/>
    <w:rsid w:val="0082483F"/>
    <w:rsid w:val="00825794"/>
    <w:rsid w:val="00825EE0"/>
    <w:rsid w:val="008279C0"/>
    <w:rsid w:val="00837A30"/>
    <w:rsid w:val="00842ACE"/>
    <w:rsid w:val="008453C6"/>
    <w:rsid w:val="00851F44"/>
    <w:rsid w:val="00865D24"/>
    <w:rsid w:val="008723F3"/>
    <w:rsid w:val="00872AC0"/>
    <w:rsid w:val="00873B80"/>
    <w:rsid w:val="0087675B"/>
    <w:rsid w:val="0087798C"/>
    <w:rsid w:val="00881DE6"/>
    <w:rsid w:val="008837A6"/>
    <w:rsid w:val="00883E58"/>
    <w:rsid w:val="0089145D"/>
    <w:rsid w:val="00894CB6"/>
    <w:rsid w:val="008A486E"/>
    <w:rsid w:val="008A4DF2"/>
    <w:rsid w:val="008A56D7"/>
    <w:rsid w:val="008A6CFE"/>
    <w:rsid w:val="008A718D"/>
    <w:rsid w:val="008B0187"/>
    <w:rsid w:val="008B2A0B"/>
    <w:rsid w:val="008B5333"/>
    <w:rsid w:val="008B6223"/>
    <w:rsid w:val="008C40D4"/>
    <w:rsid w:val="008C66E0"/>
    <w:rsid w:val="008D546F"/>
    <w:rsid w:val="008E1048"/>
    <w:rsid w:val="008E3339"/>
    <w:rsid w:val="008F20FC"/>
    <w:rsid w:val="008F5FFE"/>
    <w:rsid w:val="00902FA7"/>
    <w:rsid w:val="00905A43"/>
    <w:rsid w:val="00905D46"/>
    <w:rsid w:val="00906429"/>
    <w:rsid w:val="00907924"/>
    <w:rsid w:val="00912C79"/>
    <w:rsid w:val="00914EF6"/>
    <w:rsid w:val="00921B8C"/>
    <w:rsid w:val="0092565E"/>
    <w:rsid w:val="0093467C"/>
    <w:rsid w:val="00936541"/>
    <w:rsid w:val="00942123"/>
    <w:rsid w:val="00945F70"/>
    <w:rsid w:val="009463F5"/>
    <w:rsid w:val="0095207B"/>
    <w:rsid w:val="0095646B"/>
    <w:rsid w:val="0095765E"/>
    <w:rsid w:val="0096083D"/>
    <w:rsid w:val="0096131F"/>
    <w:rsid w:val="00962045"/>
    <w:rsid w:val="00967BB6"/>
    <w:rsid w:val="00976067"/>
    <w:rsid w:val="00980E61"/>
    <w:rsid w:val="00980E78"/>
    <w:rsid w:val="00983726"/>
    <w:rsid w:val="00986DA1"/>
    <w:rsid w:val="00991428"/>
    <w:rsid w:val="00992676"/>
    <w:rsid w:val="009954B2"/>
    <w:rsid w:val="00996691"/>
    <w:rsid w:val="009A054C"/>
    <w:rsid w:val="009A7825"/>
    <w:rsid w:val="009B0723"/>
    <w:rsid w:val="009B07AD"/>
    <w:rsid w:val="009B0883"/>
    <w:rsid w:val="009B15E2"/>
    <w:rsid w:val="009B4976"/>
    <w:rsid w:val="009C0B8E"/>
    <w:rsid w:val="009C1BC8"/>
    <w:rsid w:val="009C2442"/>
    <w:rsid w:val="009C2C61"/>
    <w:rsid w:val="009D0811"/>
    <w:rsid w:val="009D0EE1"/>
    <w:rsid w:val="009D260D"/>
    <w:rsid w:val="009E051B"/>
    <w:rsid w:val="009E2AEB"/>
    <w:rsid w:val="009E2E27"/>
    <w:rsid w:val="009E45DF"/>
    <w:rsid w:val="009E4DE3"/>
    <w:rsid w:val="009E6B2F"/>
    <w:rsid w:val="009F275E"/>
    <w:rsid w:val="009F46CB"/>
    <w:rsid w:val="00A015FB"/>
    <w:rsid w:val="00A024E7"/>
    <w:rsid w:val="00A047EE"/>
    <w:rsid w:val="00A2274A"/>
    <w:rsid w:val="00A235B7"/>
    <w:rsid w:val="00A27A7A"/>
    <w:rsid w:val="00A3165E"/>
    <w:rsid w:val="00A34ABE"/>
    <w:rsid w:val="00A36A62"/>
    <w:rsid w:val="00A407EF"/>
    <w:rsid w:val="00A46B4C"/>
    <w:rsid w:val="00A46ECB"/>
    <w:rsid w:val="00A50B89"/>
    <w:rsid w:val="00A5117B"/>
    <w:rsid w:val="00A55051"/>
    <w:rsid w:val="00A56D34"/>
    <w:rsid w:val="00A57F44"/>
    <w:rsid w:val="00A60074"/>
    <w:rsid w:val="00A6627C"/>
    <w:rsid w:val="00A664CD"/>
    <w:rsid w:val="00A6735F"/>
    <w:rsid w:val="00A71019"/>
    <w:rsid w:val="00A748A8"/>
    <w:rsid w:val="00A81029"/>
    <w:rsid w:val="00A95463"/>
    <w:rsid w:val="00A96489"/>
    <w:rsid w:val="00AA19B0"/>
    <w:rsid w:val="00AA7BE3"/>
    <w:rsid w:val="00AB1B65"/>
    <w:rsid w:val="00AB2425"/>
    <w:rsid w:val="00AB685C"/>
    <w:rsid w:val="00AB6C2D"/>
    <w:rsid w:val="00AC08F7"/>
    <w:rsid w:val="00AC25CD"/>
    <w:rsid w:val="00AC3839"/>
    <w:rsid w:val="00AC3AEF"/>
    <w:rsid w:val="00AC7082"/>
    <w:rsid w:val="00AD4BE8"/>
    <w:rsid w:val="00AD5D1C"/>
    <w:rsid w:val="00AE16F0"/>
    <w:rsid w:val="00AE2872"/>
    <w:rsid w:val="00AE2CEB"/>
    <w:rsid w:val="00AF228E"/>
    <w:rsid w:val="00B016A8"/>
    <w:rsid w:val="00B10961"/>
    <w:rsid w:val="00B12612"/>
    <w:rsid w:val="00B14819"/>
    <w:rsid w:val="00B149D6"/>
    <w:rsid w:val="00B15E2F"/>
    <w:rsid w:val="00B17AA9"/>
    <w:rsid w:val="00B229DA"/>
    <w:rsid w:val="00B27E6E"/>
    <w:rsid w:val="00B31768"/>
    <w:rsid w:val="00B3494E"/>
    <w:rsid w:val="00B44713"/>
    <w:rsid w:val="00B44E15"/>
    <w:rsid w:val="00B463E5"/>
    <w:rsid w:val="00B4717A"/>
    <w:rsid w:val="00B56103"/>
    <w:rsid w:val="00B567CA"/>
    <w:rsid w:val="00B56A79"/>
    <w:rsid w:val="00B611CC"/>
    <w:rsid w:val="00B64929"/>
    <w:rsid w:val="00B65737"/>
    <w:rsid w:val="00B736DF"/>
    <w:rsid w:val="00B743D6"/>
    <w:rsid w:val="00B74FBD"/>
    <w:rsid w:val="00B75CE1"/>
    <w:rsid w:val="00B77F46"/>
    <w:rsid w:val="00B82586"/>
    <w:rsid w:val="00B829A3"/>
    <w:rsid w:val="00B853A5"/>
    <w:rsid w:val="00B86DB1"/>
    <w:rsid w:val="00B87869"/>
    <w:rsid w:val="00B946EF"/>
    <w:rsid w:val="00B9639B"/>
    <w:rsid w:val="00B96F7E"/>
    <w:rsid w:val="00BA0D04"/>
    <w:rsid w:val="00BA6B0E"/>
    <w:rsid w:val="00BB0F2B"/>
    <w:rsid w:val="00BB1A8C"/>
    <w:rsid w:val="00BC1278"/>
    <w:rsid w:val="00BC6899"/>
    <w:rsid w:val="00BD2035"/>
    <w:rsid w:val="00BD4A58"/>
    <w:rsid w:val="00BD5047"/>
    <w:rsid w:val="00BD7337"/>
    <w:rsid w:val="00BE4FF3"/>
    <w:rsid w:val="00BF50F7"/>
    <w:rsid w:val="00C01966"/>
    <w:rsid w:val="00C02F29"/>
    <w:rsid w:val="00C20AFE"/>
    <w:rsid w:val="00C21E1D"/>
    <w:rsid w:val="00C22A25"/>
    <w:rsid w:val="00C23EDE"/>
    <w:rsid w:val="00C27321"/>
    <w:rsid w:val="00C328A7"/>
    <w:rsid w:val="00C35671"/>
    <w:rsid w:val="00C35B77"/>
    <w:rsid w:val="00C362AA"/>
    <w:rsid w:val="00C376EB"/>
    <w:rsid w:val="00C413C2"/>
    <w:rsid w:val="00C43EF0"/>
    <w:rsid w:val="00C46A92"/>
    <w:rsid w:val="00C46EC1"/>
    <w:rsid w:val="00C51102"/>
    <w:rsid w:val="00C51E20"/>
    <w:rsid w:val="00C52796"/>
    <w:rsid w:val="00C53E2C"/>
    <w:rsid w:val="00C54345"/>
    <w:rsid w:val="00C54B1B"/>
    <w:rsid w:val="00C550C8"/>
    <w:rsid w:val="00C55CE3"/>
    <w:rsid w:val="00C56B61"/>
    <w:rsid w:val="00C57F0C"/>
    <w:rsid w:val="00C606C3"/>
    <w:rsid w:val="00C620F4"/>
    <w:rsid w:val="00C62B56"/>
    <w:rsid w:val="00C62BDD"/>
    <w:rsid w:val="00C651D6"/>
    <w:rsid w:val="00C65581"/>
    <w:rsid w:val="00C65AF8"/>
    <w:rsid w:val="00C65D31"/>
    <w:rsid w:val="00C675B2"/>
    <w:rsid w:val="00C72848"/>
    <w:rsid w:val="00C74C89"/>
    <w:rsid w:val="00C7736C"/>
    <w:rsid w:val="00C82D87"/>
    <w:rsid w:val="00C8712A"/>
    <w:rsid w:val="00C87E0A"/>
    <w:rsid w:val="00C902C8"/>
    <w:rsid w:val="00C919D1"/>
    <w:rsid w:val="00C963D3"/>
    <w:rsid w:val="00CA5C61"/>
    <w:rsid w:val="00CA6696"/>
    <w:rsid w:val="00CB1983"/>
    <w:rsid w:val="00CB2CBB"/>
    <w:rsid w:val="00CB6578"/>
    <w:rsid w:val="00CB7CAC"/>
    <w:rsid w:val="00CC0254"/>
    <w:rsid w:val="00CC1606"/>
    <w:rsid w:val="00CC4818"/>
    <w:rsid w:val="00CC5335"/>
    <w:rsid w:val="00CC5BA4"/>
    <w:rsid w:val="00CD07CF"/>
    <w:rsid w:val="00CD4998"/>
    <w:rsid w:val="00CE1035"/>
    <w:rsid w:val="00CE692A"/>
    <w:rsid w:val="00CE6E50"/>
    <w:rsid w:val="00CF2819"/>
    <w:rsid w:val="00CF4F9D"/>
    <w:rsid w:val="00CF70DC"/>
    <w:rsid w:val="00D00853"/>
    <w:rsid w:val="00D041E0"/>
    <w:rsid w:val="00D04C67"/>
    <w:rsid w:val="00D07D5A"/>
    <w:rsid w:val="00D13769"/>
    <w:rsid w:val="00D14336"/>
    <w:rsid w:val="00D148DC"/>
    <w:rsid w:val="00D17FDC"/>
    <w:rsid w:val="00D21021"/>
    <w:rsid w:val="00D21D8C"/>
    <w:rsid w:val="00D220BF"/>
    <w:rsid w:val="00D2712A"/>
    <w:rsid w:val="00D276B7"/>
    <w:rsid w:val="00D316F2"/>
    <w:rsid w:val="00D33FE2"/>
    <w:rsid w:val="00D34068"/>
    <w:rsid w:val="00D406ED"/>
    <w:rsid w:val="00D53719"/>
    <w:rsid w:val="00D5676C"/>
    <w:rsid w:val="00D60BF2"/>
    <w:rsid w:val="00D62F69"/>
    <w:rsid w:val="00D63EFD"/>
    <w:rsid w:val="00D66B0E"/>
    <w:rsid w:val="00D71F93"/>
    <w:rsid w:val="00D73034"/>
    <w:rsid w:val="00D735CA"/>
    <w:rsid w:val="00D77C00"/>
    <w:rsid w:val="00D81C8A"/>
    <w:rsid w:val="00D84752"/>
    <w:rsid w:val="00D86B3B"/>
    <w:rsid w:val="00D8748A"/>
    <w:rsid w:val="00D90BA5"/>
    <w:rsid w:val="00D93196"/>
    <w:rsid w:val="00D939DF"/>
    <w:rsid w:val="00DA07C6"/>
    <w:rsid w:val="00DA0DC0"/>
    <w:rsid w:val="00DA1D45"/>
    <w:rsid w:val="00DB243C"/>
    <w:rsid w:val="00DB482A"/>
    <w:rsid w:val="00DB50FB"/>
    <w:rsid w:val="00DB56F2"/>
    <w:rsid w:val="00DB6EF5"/>
    <w:rsid w:val="00DC2D50"/>
    <w:rsid w:val="00DC3089"/>
    <w:rsid w:val="00DC4420"/>
    <w:rsid w:val="00DC70EE"/>
    <w:rsid w:val="00DD0802"/>
    <w:rsid w:val="00DD2E11"/>
    <w:rsid w:val="00DD3295"/>
    <w:rsid w:val="00DE03AF"/>
    <w:rsid w:val="00DE121C"/>
    <w:rsid w:val="00DE5357"/>
    <w:rsid w:val="00DE5E34"/>
    <w:rsid w:val="00DE6633"/>
    <w:rsid w:val="00DF158F"/>
    <w:rsid w:val="00DF580D"/>
    <w:rsid w:val="00DF75F8"/>
    <w:rsid w:val="00DF7A3A"/>
    <w:rsid w:val="00E00C00"/>
    <w:rsid w:val="00E07C5A"/>
    <w:rsid w:val="00E13F43"/>
    <w:rsid w:val="00E15BA9"/>
    <w:rsid w:val="00E161A5"/>
    <w:rsid w:val="00E26E10"/>
    <w:rsid w:val="00E26E19"/>
    <w:rsid w:val="00E31DF3"/>
    <w:rsid w:val="00E32A69"/>
    <w:rsid w:val="00E33A98"/>
    <w:rsid w:val="00E36206"/>
    <w:rsid w:val="00E36CC5"/>
    <w:rsid w:val="00E36DBE"/>
    <w:rsid w:val="00E40583"/>
    <w:rsid w:val="00E40A54"/>
    <w:rsid w:val="00E43165"/>
    <w:rsid w:val="00E450A4"/>
    <w:rsid w:val="00E45CB7"/>
    <w:rsid w:val="00E504F5"/>
    <w:rsid w:val="00E506BE"/>
    <w:rsid w:val="00E52EE3"/>
    <w:rsid w:val="00E55547"/>
    <w:rsid w:val="00E61F00"/>
    <w:rsid w:val="00E6302B"/>
    <w:rsid w:val="00E6452F"/>
    <w:rsid w:val="00E64F45"/>
    <w:rsid w:val="00E653A0"/>
    <w:rsid w:val="00E6742D"/>
    <w:rsid w:val="00E70605"/>
    <w:rsid w:val="00E71CB0"/>
    <w:rsid w:val="00E72E1A"/>
    <w:rsid w:val="00E74D0D"/>
    <w:rsid w:val="00E74D17"/>
    <w:rsid w:val="00E75476"/>
    <w:rsid w:val="00E77C3D"/>
    <w:rsid w:val="00E84119"/>
    <w:rsid w:val="00E843B6"/>
    <w:rsid w:val="00E905E3"/>
    <w:rsid w:val="00E90991"/>
    <w:rsid w:val="00E909F0"/>
    <w:rsid w:val="00E90D47"/>
    <w:rsid w:val="00E9313A"/>
    <w:rsid w:val="00E93993"/>
    <w:rsid w:val="00E9597C"/>
    <w:rsid w:val="00E97E38"/>
    <w:rsid w:val="00EA0913"/>
    <w:rsid w:val="00EA0FA0"/>
    <w:rsid w:val="00EA5B00"/>
    <w:rsid w:val="00EB146B"/>
    <w:rsid w:val="00EB45AC"/>
    <w:rsid w:val="00EC3984"/>
    <w:rsid w:val="00EC441F"/>
    <w:rsid w:val="00EC4755"/>
    <w:rsid w:val="00EC6104"/>
    <w:rsid w:val="00ED0BC4"/>
    <w:rsid w:val="00ED447D"/>
    <w:rsid w:val="00ED738F"/>
    <w:rsid w:val="00ED74BC"/>
    <w:rsid w:val="00EE4971"/>
    <w:rsid w:val="00EE6373"/>
    <w:rsid w:val="00EF090E"/>
    <w:rsid w:val="00EF5572"/>
    <w:rsid w:val="00F033DA"/>
    <w:rsid w:val="00F07088"/>
    <w:rsid w:val="00F13691"/>
    <w:rsid w:val="00F13FB1"/>
    <w:rsid w:val="00F2405F"/>
    <w:rsid w:val="00F27CD8"/>
    <w:rsid w:val="00F30351"/>
    <w:rsid w:val="00F3323E"/>
    <w:rsid w:val="00F341F4"/>
    <w:rsid w:val="00F34F9D"/>
    <w:rsid w:val="00F35CCE"/>
    <w:rsid w:val="00F37A72"/>
    <w:rsid w:val="00F5524B"/>
    <w:rsid w:val="00F60538"/>
    <w:rsid w:val="00F61DD2"/>
    <w:rsid w:val="00F63AA4"/>
    <w:rsid w:val="00F66AFF"/>
    <w:rsid w:val="00F70353"/>
    <w:rsid w:val="00F71433"/>
    <w:rsid w:val="00F7169C"/>
    <w:rsid w:val="00F9052C"/>
    <w:rsid w:val="00F90FAD"/>
    <w:rsid w:val="00F97C5B"/>
    <w:rsid w:val="00FA0454"/>
    <w:rsid w:val="00FA2285"/>
    <w:rsid w:val="00FA3D50"/>
    <w:rsid w:val="00FA4B8B"/>
    <w:rsid w:val="00FB18B0"/>
    <w:rsid w:val="00FB7FBD"/>
    <w:rsid w:val="00FC1993"/>
    <w:rsid w:val="00FC374A"/>
    <w:rsid w:val="00FC43EC"/>
    <w:rsid w:val="00FC7AC7"/>
    <w:rsid w:val="00FC7B47"/>
    <w:rsid w:val="00FD035C"/>
    <w:rsid w:val="00FD1787"/>
    <w:rsid w:val="00FD1A35"/>
    <w:rsid w:val="00FD238D"/>
    <w:rsid w:val="00FD2EA4"/>
    <w:rsid w:val="00FD2F82"/>
    <w:rsid w:val="00FD36A3"/>
    <w:rsid w:val="00FD36C5"/>
    <w:rsid w:val="00FD6310"/>
    <w:rsid w:val="00FD7C7B"/>
    <w:rsid w:val="00FE1D12"/>
    <w:rsid w:val="00FE2122"/>
    <w:rsid w:val="00FE2A86"/>
    <w:rsid w:val="00FE2DE2"/>
    <w:rsid w:val="00FE3A8A"/>
    <w:rsid w:val="00FE45A4"/>
    <w:rsid w:val="00FE5DB8"/>
    <w:rsid w:val="00FE6C95"/>
    <w:rsid w:val="00FF1D13"/>
    <w:rsid w:val="00FF26AF"/>
    <w:rsid w:val="00FF296F"/>
    <w:rsid w:val="00FF4B4E"/>
    <w:rsid w:val="00FF5E23"/>
    <w:rsid w:val="00FF614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PlaceholderText">
    <w:name w:val="Placeholder Text"/>
    <w:basedOn w:val="DefaultParagraphFont"/>
    <w:uiPriority w:val="99"/>
    <w:semiHidden/>
    <w:rsid w:val="00240166"/>
    <w:rPr>
      <w:color w:val="808080"/>
    </w:rPr>
  </w:style>
  <w:style w:type="table" w:styleId="TableGrid">
    <w:name w:val="Table Grid"/>
    <w:basedOn w:val="TableNormal"/>
    <w:uiPriority w:val="39"/>
    <w:rsid w:val="00E7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35A5-FB78-4ECE-9F82-3260FF67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13</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Walmik Vaidya</cp:lastModifiedBy>
  <cp:revision>360</cp:revision>
  <cp:lastPrinted>2019-08-27T05:42:00Z</cp:lastPrinted>
  <dcterms:created xsi:type="dcterms:W3CDTF">2021-03-01T09:57:00Z</dcterms:created>
  <dcterms:modified xsi:type="dcterms:W3CDTF">2021-06-17T04:34:00Z</dcterms:modified>
</cp:coreProperties>
</file>