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796A57" w:rsidRDefault="00C7729F" w:rsidP="003C4BCB">
      <w:pPr>
        <w:pStyle w:val="ListParagraph"/>
        <w:numPr>
          <w:ilvl w:val="0"/>
          <w:numId w:val="2"/>
        </w:numPr>
        <w:ind w:left="426"/>
        <w:jc w:val="both"/>
        <w:rPr>
          <w:rFonts w:ascii="Arial" w:hAnsi="Arial" w:cs="Arial"/>
          <w:sz w:val="22"/>
          <w:szCs w:val="22"/>
          <w:highlight w:val="yellow"/>
          <w:lang w:val="en-GB"/>
        </w:rPr>
      </w:pPr>
      <w:r w:rsidRPr="00796A57">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796A57">
        <w:rPr>
          <w:rFonts w:ascii="Arial" w:hAnsi="Arial" w:cs="Arial"/>
          <w:sz w:val="22"/>
          <w:szCs w:val="22"/>
          <w:highlight w:val="yellow"/>
          <w:lang w:val="en-GB"/>
        </w:rPr>
        <w:t>1960s,</w:t>
      </w:r>
      <w:r w:rsidRPr="00796A57">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796A57" w:rsidRDefault="00BB38D1" w:rsidP="003C4BCB">
      <w:pPr>
        <w:pStyle w:val="ListParagraph"/>
        <w:numPr>
          <w:ilvl w:val="0"/>
          <w:numId w:val="3"/>
        </w:numPr>
        <w:ind w:left="426"/>
        <w:jc w:val="both"/>
        <w:rPr>
          <w:rFonts w:ascii="Arial" w:hAnsi="Arial" w:cs="Arial"/>
          <w:iCs/>
          <w:sz w:val="22"/>
          <w:szCs w:val="22"/>
          <w:highlight w:val="yellow"/>
          <w:lang w:val="en-GB"/>
        </w:rPr>
      </w:pPr>
      <w:r w:rsidRPr="00796A57">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31 EIR Recast (“</w:t>
      </w:r>
      <w:r w:rsidRPr="001E5F8A">
        <w:rPr>
          <w:rFonts w:ascii="Arial" w:hAnsi="Arial" w:cs="Arial"/>
          <w:bCs/>
          <w:sz w:val="22"/>
          <w:szCs w:val="22"/>
          <w:lang w:val="en-GB"/>
        </w:rPr>
        <w:t>Honouring of an obligation to a debtor”</w:t>
      </w:r>
      <w:r w:rsidRPr="001E5F8A">
        <w:rPr>
          <w:rFonts w:ascii="Arial" w:hAnsi="Arial" w:cs="Arial"/>
          <w:sz w:val="22"/>
          <w:szCs w:val="22"/>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527021" w:rsidRDefault="00874240" w:rsidP="003C4BCB">
      <w:pPr>
        <w:pStyle w:val="ListParagraph"/>
        <w:numPr>
          <w:ilvl w:val="0"/>
          <w:numId w:val="4"/>
        </w:numPr>
        <w:ind w:left="426"/>
        <w:jc w:val="both"/>
        <w:rPr>
          <w:rFonts w:ascii="Arial" w:hAnsi="Arial" w:cs="Arial"/>
          <w:sz w:val="22"/>
          <w:szCs w:val="22"/>
          <w:highlight w:val="yellow"/>
          <w:lang w:val="en-GB"/>
        </w:rPr>
      </w:pPr>
      <w:r w:rsidRPr="00527021">
        <w:rPr>
          <w:rFonts w:ascii="Arial" w:hAnsi="Arial" w:cs="Arial"/>
          <w:sz w:val="22"/>
          <w:szCs w:val="22"/>
          <w:highlight w:val="yellow"/>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390039" w:rsidRDefault="00874240" w:rsidP="003C4BCB">
      <w:pPr>
        <w:pStyle w:val="ListParagraph"/>
        <w:numPr>
          <w:ilvl w:val="0"/>
          <w:numId w:val="5"/>
        </w:numPr>
        <w:ind w:left="426"/>
        <w:jc w:val="both"/>
        <w:rPr>
          <w:rFonts w:ascii="Arial" w:hAnsi="Arial" w:cs="Arial"/>
          <w:sz w:val="22"/>
          <w:szCs w:val="22"/>
          <w:highlight w:val="yellow"/>
          <w:lang w:val="en-GB"/>
        </w:rPr>
      </w:pPr>
      <w:r w:rsidRPr="00390039">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390039" w:rsidRDefault="00874240" w:rsidP="003C4BCB">
      <w:pPr>
        <w:pStyle w:val="ListParagraph"/>
        <w:numPr>
          <w:ilvl w:val="0"/>
          <w:numId w:val="6"/>
        </w:numPr>
        <w:ind w:left="426"/>
        <w:jc w:val="both"/>
        <w:rPr>
          <w:rFonts w:ascii="Arial" w:hAnsi="Arial" w:cs="Arial"/>
          <w:sz w:val="22"/>
          <w:szCs w:val="22"/>
          <w:highlight w:val="yellow"/>
          <w:lang w:val="en-GB"/>
        </w:rPr>
      </w:pPr>
      <w:r w:rsidRPr="00390039">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Pr="00CA59FC" w:rsidRDefault="00113E29" w:rsidP="003C4BCB">
      <w:pPr>
        <w:pStyle w:val="ListParagraph"/>
        <w:numPr>
          <w:ilvl w:val="0"/>
          <w:numId w:val="7"/>
        </w:numPr>
        <w:ind w:left="426"/>
        <w:jc w:val="both"/>
        <w:rPr>
          <w:rFonts w:ascii="Arial" w:hAnsi="Arial" w:cs="Arial"/>
          <w:sz w:val="22"/>
          <w:szCs w:val="22"/>
          <w:highlight w:val="yellow"/>
          <w:lang w:val="en-GB"/>
        </w:rPr>
      </w:pPr>
      <w:r w:rsidRPr="00CA59FC">
        <w:rPr>
          <w:rFonts w:ascii="Arial" w:hAnsi="Arial" w:cs="Arial"/>
          <w:sz w:val="22"/>
          <w:szCs w:val="22"/>
          <w:highlight w:val="yellow"/>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3C4342"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CA59FC" w:rsidRDefault="00967219" w:rsidP="003C4BCB">
      <w:pPr>
        <w:pStyle w:val="ListParagraph"/>
        <w:numPr>
          <w:ilvl w:val="0"/>
          <w:numId w:val="8"/>
        </w:numPr>
        <w:ind w:left="426"/>
        <w:jc w:val="both"/>
        <w:rPr>
          <w:rFonts w:ascii="Arial" w:hAnsi="Arial" w:cs="Arial"/>
          <w:sz w:val="22"/>
          <w:szCs w:val="22"/>
          <w:highlight w:val="yellow"/>
          <w:lang w:val="en-GB"/>
        </w:rPr>
      </w:pPr>
      <w:r w:rsidRPr="00CA59FC">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Actio pauliana</w:t>
      </w:r>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Fema GmbH (Germany), concerning an action to set aside two payments (“contested payments”) in the amount of EUR 800,000, made pursuant to a sales agreement of 10 September 2019, governed by English law. The contested payments had been made by Abogados SA to Fema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r w:rsidR="00967219" w:rsidRPr="008500BD">
        <w:rPr>
          <w:rFonts w:ascii="Arial" w:hAnsi="Arial" w:cs="Arial"/>
          <w:sz w:val="22"/>
          <w:szCs w:val="22"/>
          <w:lang w:val="en-GB"/>
        </w:rPr>
        <w:t>Fema</w:t>
      </w:r>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The contested payments shall not be avoided if Fema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r w:rsidR="00967219" w:rsidRPr="00544F6E">
        <w:rPr>
          <w:rFonts w:ascii="Arial" w:hAnsi="Arial" w:cs="Arial"/>
          <w:sz w:val="22"/>
          <w:szCs w:val="22"/>
          <w:lang w:val="en-GB"/>
        </w:rPr>
        <w:t>Fema</w:t>
      </w:r>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lex causae</w:t>
      </w:r>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Fema GmbH can prove that the </w:t>
      </w:r>
      <w:r w:rsidRPr="00544F6E">
        <w:rPr>
          <w:rFonts w:ascii="Arial" w:hAnsi="Arial" w:cs="Arial"/>
          <w:i/>
          <w:sz w:val="22"/>
          <w:szCs w:val="22"/>
          <w:lang w:val="en-GB"/>
        </w:rPr>
        <w:t>lex causae</w:t>
      </w:r>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3C07DC" w:rsidRDefault="00967219" w:rsidP="003C4BCB">
      <w:pPr>
        <w:pStyle w:val="ListParagraph"/>
        <w:numPr>
          <w:ilvl w:val="0"/>
          <w:numId w:val="9"/>
        </w:numPr>
        <w:ind w:left="426"/>
        <w:jc w:val="both"/>
        <w:rPr>
          <w:rFonts w:ascii="Arial" w:hAnsi="Arial" w:cs="Arial"/>
          <w:sz w:val="22"/>
          <w:szCs w:val="22"/>
          <w:highlight w:val="yellow"/>
          <w:lang w:val="en-GB"/>
        </w:rPr>
      </w:pPr>
      <w:r w:rsidRPr="003C07DC">
        <w:rPr>
          <w:rFonts w:ascii="Arial" w:hAnsi="Arial" w:cs="Arial"/>
          <w:sz w:val="22"/>
          <w:szCs w:val="22"/>
          <w:highlight w:val="yellow"/>
          <w:lang w:val="en-GB"/>
        </w:rPr>
        <w:t xml:space="preserve">The insolvency practitioner will always succeed in his claim if he can clearly prove that under the </w:t>
      </w:r>
      <w:r w:rsidRPr="003C07DC">
        <w:rPr>
          <w:rFonts w:ascii="Arial" w:hAnsi="Arial" w:cs="Arial"/>
          <w:i/>
          <w:sz w:val="22"/>
          <w:szCs w:val="22"/>
          <w:highlight w:val="yellow"/>
          <w:lang w:val="en-GB"/>
        </w:rPr>
        <w:t>lex concursus</w:t>
      </w:r>
      <w:r w:rsidRPr="003C07DC">
        <w:rPr>
          <w:rFonts w:ascii="Arial" w:hAnsi="Arial" w:cs="Arial"/>
          <w:sz w:val="22"/>
          <w:szCs w:val="22"/>
          <w:highlight w:val="yellow"/>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831408" w:rsidRDefault="00FC48D8" w:rsidP="003C4BCB">
      <w:pPr>
        <w:pStyle w:val="ListParagraph"/>
        <w:numPr>
          <w:ilvl w:val="0"/>
          <w:numId w:val="10"/>
        </w:numPr>
        <w:ind w:left="426"/>
        <w:jc w:val="both"/>
        <w:rPr>
          <w:rFonts w:ascii="Arial" w:hAnsi="Arial" w:cs="Arial"/>
          <w:sz w:val="22"/>
          <w:szCs w:val="22"/>
          <w:highlight w:val="yellow"/>
          <w:lang w:val="en-GB"/>
        </w:rPr>
      </w:pPr>
      <w:r w:rsidRPr="00831408">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r w:rsidRPr="008500BD">
        <w:rPr>
          <w:rFonts w:ascii="Arial" w:hAnsi="Arial" w:cs="Arial"/>
          <w:i/>
          <w:sz w:val="22"/>
          <w:szCs w:val="22"/>
          <w:lang w:val="en-GB"/>
        </w:rPr>
        <w:t>Concurso</w:t>
      </w:r>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831408" w:rsidRDefault="00FC48D8" w:rsidP="003C4BCB">
      <w:pPr>
        <w:pStyle w:val="ListParagraph"/>
        <w:numPr>
          <w:ilvl w:val="0"/>
          <w:numId w:val="11"/>
        </w:numPr>
        <w:ind w:left="426"/>
        <w:jc w:val="both"/>
        <w:rPr>
          <w:rFonts w:ascii="Arial" w:hAnsi="Arial" w:cs="Arial"/>
          <w:sz w:val="22"/>
          <w:szCs w:val="22"/>
          <w:highlight w:val="yellow"/>
          <w:lang w:val="en-GB"/>
        </w:rPr>
      </w:pPr>
      <w:r w:rsidRPr="00831408">
        <w:rPr>
          <w:rFonts w:ascii="Arial" w:hAnsi="Arial" w:cs="Arial"/>
          <w:sz w:val="22"/>
          <w:szCs w:val="22"/>
          <w:highlight w:val="yellow"/>
          <w:lang w:val="en-GB"/>
        </w:rPr>
        <w:t xml:space="preserve">Within 15 days, as stipulated in the applicable </w:t>
      </w:r>
      <w:r w:rsidRPr="00831408">
        <w:rPr>
          <w:rFonts w:ascii="Arial" w:hAnsi="Arial" w:cs="Arial"/>
          <w:i/>
          <w:sz w:val="22"/>
          <w:szCs w:val="22"/>
          <w:highlight w:val="yellow"/>
          <w:lang w:val="en-GB"/>
        </w:rPr>
        <w:t>lex concursus secundarii</w:t>
      </w:r>
      <w:r w:rsidRPr="00831408">
        <w:rPr>
          <w:rFonts w:ascii="Arial" w:hAnsi="Arial" w:cs="Arial"/>
          <w:sz w:val="22"/>
          <w:szCs w:val="22"/>
          <w:highlight w:val="yellow"/>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689AE14A" w14:textId="23224138" w:rsidR="004507CB" w:rsidRDefault="00636C15" w:rsidP="00636C15">
      <w:pPr>
        <w:ind w:left="720" w:hanging="720"/>
        <w:jc w:val="both"/>
        <w:rPr>
          <w:rFonts w:ascii="Arial" w:hAnsi="Arial" w:cs="Arial"/>
          <w:color w:val="7B7B7B" w:themeColor="accent3" w:themeShade="BF"/>
          <w:sz w:val="22"/>
          <w:szCs w:val="22"/>
        </w:rPr>
      </w:pPr>
      <w:r w:rsidRPr="008500BD">
        <w:rPr>
          <w:rFonts w:ascii="Arial" w:hAnsi="Arial" w:cs="Arial"/>
          <w:color w:val="7B7B7B" w:themeColor="accent3" w:themeShade="BF"/>
          <w:sz w:val="22"/>
          <w:szCs w:val="22"/>
        </w:rPr>
        <w:t>[</w:t>
      </w:r>
      <w:r w:rsidR="004507CB">
        <w:rPr>
          <w:rFonts w:ascii="Arial" w:hAnsi="Arial" w:cs="Arial"/>
          <w:color w:val="7B7B7B" w:themeColor="accent3" w:themeShade="BF"/>
          <w:sz w:val="22"/>
          <w:szCs w:val="22"/>
        </w:rPr>
        <w:t>Statement 1 – International Jurisdiction – Article 3(1) of the EIR Recast</w:t>
      </w:r>
    </w:p>
    <w:p w14:paraId="5C7DD9F3" w14:textId="04FE196E" w:rsidR="00636C15" w:rsidRPr="008500BD" w:rsidRDefault="004507CB" w:rsidP="00636C15">
      <w:pPr>
        <w:ind w:left="720" w:hanging="720"/>
        <w:jc w:val="both"/>
        <w:rPr>
          <w:rFonts w:ascii="Arial" w:hAnsi="Arial" w:cs="Arial"/>
          <w:sz w:val="22"/>
          <w:szCs w:val="22"/>
        </w:rPr>
      </w:pPr>
      <w:r>
        <w:rPr>
          <w:rFonts w:ascii="Arial" w:hAnsi="Arial" w:cs="Arial"/>
          <w:color w:val="7B7B7B" w:themeColor="accent3" w:themeShade="BF"/>
          <w:sz w:val="22"/>
          <w:szCs w:val="22"/>
        </w:rPr>
        <w:t xml:space="preserve"> Statement 2 - </w:t>
      </w:r>
      <w:r w:rsidR="00636C15" w:rsidRPr="008500BD">
        <w:rPr>
          <w:rFonts w:ascii="Arial" w:hAnsi="Arial" w:cs="Arial"/>
          <w:color w:val="7B7B7B" w:themeColor="accent3" w:themeShade="BF"/>
          <w:sz w:val="22"/>
          <w:szCs w:val="22"/>
        </w:rPr>
        <w:t>]</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321825B1" w14:textId="31BA0AA1" w:rsidR="00AB3268" w:rsidRDefault="00636C15" w:rsidP="00636C15">
      <w:pPr>
        <w:ind w:left="720" w:hanging="72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AB3268">
        <w:rPr>
          <w:rFonts w:ascii="Arial" w:hAnsi="Arial" w:cs="Arial"/>
          <w:color w:val="7B7B7B" w:themeColor="accent3" w:themeShade="BF"/>
          <w:sz w:val="22"/>
          <w:szCs w:val="22"/>
          <w:lang w:val="en-GB"/>
        </w:rPr>
        <w:t xml:space="preserve">1. </w:t>
      </w:r>
      <w:r w:rsidR="00AB3268" w:rsidRPr="00AB3268">
        <w:rPr>
          <w:rFonts w:ascii="Arial" w:hAnsi="Arial" w:cs="Arial"/>
          <w:color w:val="7B7B7B" w:themeColor="accent3" w:themeShade="BF"/>
          <w:sz w:val="22"/>
          <w:szCs w:val="22"/>
          <w:lang w:val="en-GB"/>
        </w:rPr>
        <w:t>Article 41(1)</w:t>
      </w:r>
      <w:r w:rsidR="00AB3268">
        <w:rPr>
          <w:rFonts w:ascii="Arial" w:hAnsi="Arial" w:cs="Arial"/>
          <w:color w:val="7B7B7B" w:themeColor="accent3" w:themeShade="BF"/>
          <w:sz w:val="22"/>
          <w:szCs w:val="22"/>
          <w:lang w:val="en-GB"/>
        </w:rPr>
        <w:t xml:space="preserve"> of the</w:t>
      </w:r>
      <w:r w:rsidR="00AB3268" w:rsidRPr="00AB3268">
        <w:rPr>
          <w:rFonts w:ascii="Arial" w:hAnsi="Arial" w:cs="Arial"/>
          <w:color w:val="7B7B7B" w:themeColor="accent3" w:themeShade="BF"/>
          <w:sz w:val="22"/>
          <w:szCs w:val="22"/>
          <w:lang w:val="en-GB"/>
        </w:rPr>
        <w:t xml:space="preserve"> EIR Recast</w:t>
      </w:r>
      <w:r w:rsidR="00AB3268">
        <w:rPr>
          <w:rFonts w:ascii="Arial" w:hAnsi="Arial" w:cs="Arial"/>
          <w:color w:val="7B7B7B" w:themeColor="accent3" w:themeShade="BF"/>
          <w:sz w:val="22"/>
          <w:szCs w:val="22"/>
          <w:lang w:val="en-GB"/>
        </w:rPr>
        <w:t xml:space="preserve"> states: </w:t>
      </w:r>
    </w:p>
    <w:p w14:paraId="12A9F1FB" w14:textId="77777777" w:rsidR="00AB3268" w:rsidRDefault="00AB3268"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AB3268">
        <w:rPr>
          <w:rFonts w:ascii="Arial" w:hAnsi="Arial" w:cs="Arial"/>
          <w:color w:val="7B7B7B" w:themeColor="accent3" w:themeShade="BF"/>
          <w:sz w:val="22"/>
          <w:szCs w:val="22"/>
          <w:lang w:val="en-GB"/>
        </w:rPr>
        <w:t xml:space="preserve">The insolvency practitioner in the main insolvency proceedings and the insolvency </w:t>
      </w:r>
    </w:p>
    <w:p w14:paraId="6088FAFF" w14:textId="77777777" w:rsidR="00AB3268" w:rsidRDefault="00AB3268" w:rsidP="00636C15">
      <w:pPr>
        <w:ind w:left="720" w:hanging="720"/>
        <w:jc w:val="both"/>
        <w:rPr>
          <w:rFonts w:ascii="Arial" w:hAnsi="Arial" w:cs="Arial"/>
          <w:color w:val="7B7B7B" w:themeColor="accent3" w:themeShade="BF"/>
          <w:sz w:val="22"/>
          <w:szCs w:val="22"/>
          <w:lang w:val="en-GB"/>
        </w:rPr>
      </w:pPr>
      <w:r w:rsidRPr="00AB3268">
        <w:rPr>
          <w:rFonts w:ascii="Arial" w:hAnsi="Arial" w:cs="Arial"/>
          <w:color w:val="7B7B7B" w:themeColor="accent3" w:themeShade="BF"/>
          <w:sz w:val="22"/>
          <w:szCs w:val="22"/>
          <w:lang w:val="en-GB"/>
        </w:rPr>
        <w:t xml:space="preserve">practitioner or practitioners in secondary insolvency proceedings concerning the same debtor </w:t>
      </w:r>
    </w:p>
    <w:p w14:paraId="075D43A1" w14:textId="77777777" w:rsidR="00AB3268" w:rsidRDefault="00AB3268" w:rsidP="00636C15">
      <w:pPr>
        <w:ind w:left="720" w:hanging="720"/>
        <w:jc w:val="both"/>
        <w:rPr>
          <w:rFonts w:ascii="Arial" w:hAnsi="Arial" w:cs="Arial"/>
          <w:color w:val="7B7B7B" w:themeColor="accent3" w:themeShade="BF"/>
          <w:sz w:val="22"/>
          <w:szCs w:val="22"/>
          <w:lang w:val="en-GB"/>
        </w:rPr>
      </w:pPr>
      <w:r w:rsidRPr="00AB3268">
        <w:rPr>
          <w:rFonts w:ascii="Arial" w:hAnsi="Arial" w:cs="Arial"/>
          <w:color w:val="7B7B7B" w:themeColor="accent3" w:themeShade="BF"/>
          <w:sz w:val="22"/>
          <w:szCs w:val="22"/>
          <w:lang w:val="en-GB"/>
        </w:rPr>
        <w:t xml:space="preserve">shall cooperate with each other to the extent such cooperation is not incompatible with the </w:t>
      </w:r>
    </w:p>
    <w:p w14:paraId="0D813AD1" w14:textId="77777777" w:rsidR="00AB3268" w:rsidRDefault="00AB3268" w:rsidP="00636C15">
      <w:pPr>
        <w:ind w:left="720" w:hanging="720"/>
        <w:jc w:val="both"/>
        <w:rPr>
          <w:rFonts w:ascii="Arial" w:hAnsi="Arial" w:cs="Arial"/>
          <w:color w:val="7B7B7B" w:themeColor="accent3" w:themeShade="BF"/>
          <w:sz w:val="22"/>
          <w:szCs w:val="22"/>
          <w:lang w:val="en-GB"/>
        </w:rPr>
      </w:pPr>
      <w:r w:rsidRPr="00AB3268">
        <w:rPr>
          <w:rFonts w:ascii="Arial" w:hAnsi="Arial" w:cs="Arial"/>
          <w:color w:val="7B7B7B" w:themeColor="accent3" w:themeShade="BF"/>
          <w:sz w:val="22"/>
          <w:szCs w:val="22"/>
          <w:lang w:val="en-GB"/>
        </w:rPr>
        <w:t xml:space="preserve">rules applicable to the respective proceedings. Such cooperation may take any form, including </w:t>
      </w:r>
    </w:p>
    <w:p w14:paraId="4B2B7163" w14:textId="77777777" w:rsidR="00AB3268" w:rsidRDefault="00AB3268" w:rsidP="00636C15">
      <w:pPr>
        <w:ind w:left="720" w:hanging="720"/>
        <w:jc w:val="both"/>
        <w:rPr>
          <w:rFonts w:ascii="Arial" w:hAnsi="Arial" w:cs="Arial"/>
          <w:color w:val="7B7B7B" w:themeColor="accent3" w:themeShade="BF"/>
          <w:sz w:val="22"/>
          <w:szCs w:val="22"/>
          <w:lang w:val="en-GB"/>
        </w:rPr>
      </w:pPr>
      <w:r w:rsidRPr="00AB3268">
        <w:rPr>
          <w:rFonts w:ascii="Arial" w:hAnsi="Arial" w:cs="Arial"/>
          <w:color w:val="7B7B7B" w:themeColor="accent3" w:themeShade="BF"/>
          <w:sz w:val="22"/>
          <w:szCs w:val="22"/>
          <w:lang w:val="en-GB"/>
        </w:rPr>
        <w:t>the conclusion of agreements or protocols.</w:t>
      </w:r>
      <w:r>
        <w:rPr>
          <w:rFonts w:ascii="Arial" w:hAnsi="Arial" w:cs="Arial"/>
          <w:color w:val="7B7B7B" w:themeColor="accent3" w:themeShade="BF"/>
          <w:sz w:val="22"/>
          <w:szCs w:val="22"/>
          <w:lang w:val="en-GB"/>
        </w:rPr>
        <w:t>”</w:t>
      </w:r>
    </w:p>
    <w:p w14:paraId="76EDDA4E" w14:textId="77777777" w:rsidR="00AB3268" w:rsidRDefault="00AB3268" w:rsidP="00636C15">
      <w:pPr>
        <w:ind w:left="720" w:hanging="720"/>
        <w:jc w:val="both"/>
        <w:rPr>
          <w:rFonts w:ascii="Arial" w:hAnsi="Arial" w:cs="Arial"/>
          <w:color w:val="7B7B7B" w:themeColor="accent3" w:themeShade="BF"/>
          <w:sz w:val="22"/>
          <w:szCs w:val="22"/>
          <w:lang w:val="en-GB"/>
        </w:rPr>
      </w:pPr>
    </w:p>
    <w:p w14:paraId="3CE033C4" w14:textId="77777777" w:rsidR="0005404A" w:rsidRDefault="00AB3268"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Pr="00AB3268">
        <w:rPr>
          <w:rFonts w:ascii="Arial" w:hAnsi="Arial" w:cs="Arial"/>
          <w:color w:val="7B7B7B" w:themeColor="accent3" w:themeShade="BF"/>
          <w:sz w:val="22"/>
          <w:szCs w:val="22"/>
          <w:lang w:val="en-GB"/>
        </w:rPr>
        <w:t>Article 4</w:t>
      </w:r>
      <w:r>
        <w:rPr>
          <w:rFonts w:ascii="Arial" w:hAnsi="Arial" w:cs="Arial"/>
          <w:color w:val="7B7B7B" w:themeColor="accent3" w:themeShade="BF"/>
          <w:sz w:val="22"/>
          <w:szCs w:val="22"/>
          <w:lang w:val="en-GB"/>
        </w:rPr>
        <w:t>3</w:t>
      </w:r>
      <w:r w:rsidRPr="00AB3268">
        <w:rPr>
          <w:rFonts w:ascii="Arial" w:hAnsi="Arial" w:cs="Arial"/>
          <w:color w:val="7B7B7B" w:themeColor="accent3" w:themeShade="BF"/>
          <w:sz w:val="22"/>
          <w:szCs w:val="22"/>
          <w:lang w:val="en-GB"/>
        </w:rPr>
        <w:t>(1) of the EIR Recast states:</w:t>
      </w:r>
    </w:p>
    <w:p w14:paraId="25FD4D0C" w14:textId="77777777" w:rsidR="0005404A" w:rsidRDefault="0005404A" w:rsidP="0005404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05404A">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w:t>
      </w:r>
      <w:r w:rsidRPr="0005404A">
        <w:rPr>
          <w:rFonts w:ascii="Arial" w:hAnsi="Arial" w:cs="Arial"/>
          <w:color w:val="7B7B7B" w:themeColor="accent3" w:themeShade="BF"/>
          <w:sz w:val="22"/>
          <w:szCs w:val="22"/>
          <w:lang w:val="en-GB"/>
        </w:rPr>
        <w:t xml:space="preserve">In order to facilitate the coordination of main, territorial and secondary insolvency </w:t>
      </w:r>
    </w:p>
    <w:p w14:paraId="364F1C86" w14:textId="08FE7C90" w:rsidR="0005404A" w:rsidRPr="0005404A" w:rsidRDefault="0005404A" w:rsidP="0005404A">
      <w:pPr>
        <w:ind w:left="720" w:hanging="720"/>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proceedings opened in respect of the same debtor:</w:t>
      </w:r>
    </w:p>
    <w:p w14:paraId="14062383" w14:textId="77777777" w:rsidR="0005404A" w:rsidRPr="0005404A" w:rsidRDefault="0005404A" w:rsidP="0005404A">
      <w:pPr>
        <w:ind w:left="720" w:hanging="720"/>
        <w:jc w:val="both"/>
        <w:rPr>
          <w:rFonts w:ascii="Arial" w:hAnsi="Arial" w:cs="Arial"/>
          <w:color w:val="7B7B7B" w:themeColor="accent3" w:themeShade="BF"/>
          <w:sz w:val="22"/>
          <w:szCs w:val="22"/>
          <w:lang w:val="en-GB"/>
        </w:rPr>
      </w:pPr>
    </w:p>
    <w:p w14:paraId="22684088" w14:textId="5D7B25A5" w:rsidR="0005404A" w:rsidRPr="0005404A" w:rsidRDefault="0005404A" w:rsidP="0005404A">
      <w:pPr>
        <w:pStyle w:val="ListParagraph"/>
        <w:numPr>
          <w:ilvl w:val="0"/>
          <w:numId w:val="12"/>
        </w:numPr>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an insolvency practitioner in main insolvency proceedings shall cooperate and communicate with any court before which a request to open secondary insolvency proceedings is pending or which has opened such proceedings;</w:t>
      </w:r>
    </w:p>
    <w:p w14:paraId="14806C90" w14:textId="77777777" w:rsidR="0005404A" w:rsidRPr="0005404A" w:rsidRDefault="0005404A" w:rsidP="0005404A">
      <w:pPr>
        <w:ind w:left="720" w:hanging="720"/>
        <w:jc w:val="both"/>
        <w:rPr>
          <w:rFonts w:ascii="Arial" w:hAnsi="Arial" w:cs="Arial"/>
          <w:color w:val="7B7B7B" w:themeColor="accent3" w:themeShade="BF"/>
          <w:sz w:val="22"/>
          <w:szCs w:val="22"/>
          <w:lang w:val="en-GB"/>
        </w:rPr>
      </w:pPr>
    </w:p>
    <w:p w14:paraId="1F787417" w14:textId="53A348CC" w:rsidR="0005404A" w:rsidRPr="0005404A" w:rsidRDefault="0005404A" w:rsidP="0005404A">
      <w:pPr>
        <w:pStyle w:val="ListParagraph"/>
        <w:numPr>
          <w:ilvl w:val="0"/>
          <w:numId w:val="12"/>
        </w:numPr>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an insolvency practitioner in territorial or secondary insolvency proceedings shall cooperate and communicate with the court before which a request to open main insolvency proceedings is pending or which has opened such proceedings; and</w:t>
      </w:r>
    </w:p>
    <w:p w14:paraId="6B0A61CE" w14:textId="77777777" w:rsidR="0005404A" w:rsidRPr="0005404A" w:rsidRDefault="0005404A" w:rsidP="0005404A">
      <w:pPr>
        <w:ind w:left="720" w:hanging="720"/>
        <w:jc w:val="both"/>
        <w:rPr>
          <w:rFonts w:ascii="Arial" w:hAnsi="Arial" w:cs="Arial"/>
          <w:color w:val="7B7B7B" w:themeColor="accent3" w:themeShade="BF"/>
          <w:sz w:val="22"/>
          <w:szCs w:val="22"/>
          <w:lang w:val="en-GB"/>
        </w:rPr>
      </w:pPr>
    </w:p>
    <w:p w14:paraId="6D081562" w14:textId="1EF298FC" w:rsidR="0005404A" w:rsidRPr="0005404A" w:rsidRDefault="0005404A" w:rsidP="0005404A">
      <w:pPr>
        <w:pStyle w:val="ListParagraph"/>
        <w:numPr>
          <w:ilvl w:val="0"/>
          <w:numId w:val="12"/>
        </w:numPr>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an insolvency practitioner in territorial or secondary insolvency proceedings shall cooperate and communicate with the court before which a request to open other territorial or secondary insolvency proceedings is pending or which has opened such proceedings;</w:t>
      </w:r>
    </w:p>
    <w:p w14:paraId="6A295273" w14:textId="77777777" w:rsidR="0005404A" w:rsidRPr="0005404A" w:rsidRDefault="0005404A" w:rsidP="0005404A">
      <w:pPr>
        <w:ind w:left="720" w:hanging="720"/>
        <w:jc w:val="both"/>
        <w:rPr>
          <w:rFonts w:ascii="Arial" w:hAnsi="Arial" w:cs="Arial"/>
          <w:color w:val="7B7B7B" w:themeColor="accent3" w:themeShade="BF"/>
          <w:sz w:val="22"/>
          <w:szCs w:val="22"/>
          <w:lang w:val="en-GB"/>
        </w:rPr>
      </w:pPr>
    </w:p>
    <w:p w14:paraId="06D5EA9F" w14:textId="77777777" w:rsidR="0005404A" w:rsidRDefault="0005404A" w:rsidP="0005404A">
      <w:pPr>
        <w:ind w:left="720" w:hanging="360"/>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 xml:space="preserve">to the extent that such cooperation and communication are not incompatible with the rules </w:t>
      </w:r>
    </w:p>
    <w:p w14:paraId="16675D5F" w14:textId="57967EBF" w:rsidR="00636C15" w:rsidRDefault="0005404A" w:rsidP="0005404A">
      <w:pPr>
        <w:ind w:left="720" w:hanging="360"/>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applicable to each of the proceedings and do not entail any conflict of interest.</w:t>
      </w:r>
      <w:r>
        <w:rPr>
          <w:rFonts w:ascii="Arial" w:hAnsi="Arial" w:cs="Arial"/>
          <w:color w:val="7B7B7B" w:themeColor="accent3" w:themeShade="BF"/>
          <w:sz w:val="22"/>
          <w:szCs w:val="22"/>
          <w:lang w:val="en-GB"/>
        </w:rPr>
        <w:t>”</w:t>
      </w:r>
      <w:r w:rsidR="00636C15" w:rsidRPr="008500BD">
        <w:rPr>
          <w:rFonts w:ascii="Arial" w:hAnsi="Arial" w:cs="Arial"/>
          <w:color w:val="7B7B7B" w:themeColor="accent3" w:themeShade="BF"/>
          <w:sz w:val="22"/>
          <w:szCs w:val="22"/>
          <w:lang w:val="en-GB"/>
        </w:rPr>
        <w:t>]</w:t>
      </w:r>
    </w:p>
    <w:p w14:paraId="52E0B567" w14:textId="5288683D" w:rsidR="0005404A" w:rsidRDefault="0005404A" w:rsidP="0005404A">
      <w:pPr>
        <w:jc w:val="both"/>
        <w:rPr>
          <w:rFonts w:ascii="Arial" w:hAnsi="Arial" w:cs="Arial"/>
          <w:color w:val="7B7B7B" w:themeColor="accent3" w:themeShade="BF"/>
          <w:sz w:val="22"/>
          <w:szCs w:val="22"/>
          <w:lang w:val="en-GB"/>
        </w:rPr>
      </w:pPr>
    </w:p>
    <w:p w14:paraId="5613BAFC" w14:textId="77777777" w:rsidR="0005404A" w:rsidRDefault="0005404A" w:rsidP="0005404A">
      <w:pPr>
        <w:jc w:val="both"/>
        <w:rPr>
          <w:rFonts w:ascii="Arial" w:hAnsi="Arial" w:cs="Arial"/>
          <w:color w:val="7B7B7B" w:themeColor="accent3" w:themeShade="BF"/>
          <w:sz w:val="22"/>
          <w:szCs w:val="22"/>
          <w:lang w:val="en-GB"/>
        </w:rPr>
      </w:pPr>
    </w:p>
    <w:p w14:paraId="2D0B3794" w14:textId="4DF932AF" w:rsidR="0005404A" w:rsidRDefault="0005404A" w:rsidP="000540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3. Article 56 of the EIR Recast states:</w:t>
      </w:r>
    </w:p>
    <w:p w14:paraId="14BC9A2B" w14:textId="77777777" w:rsidR="0005404A" w:rsidRDefault="0005404A" w:rsidP="0005404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05404A">
        <w:rPr>
          <w:rFonts w:ascii="Arial" w:hAnsi="Arial" w:cs="Arial"/>
          <w:color w:val="7B7B7B" w:themeColor="accent3" w:themeShade="BF"/>
          <w:sz w:val="22"/>
          <w:szCs w:val="22"/>
          <w:lang w:val="en-GB"/>
        </w:rPr>
        <w:t xml:space="preserve">1.   Where insolvency proceedings relate to two or more members of a group of companies, </w:t>
      </w:r>
    </w:p>
    <w:p w14:paraId="68CBF4DB" w14:textId="2F5CC349" w:rsidR="0005404A" w:rsidRPr="0005404A" w:rsidRDefault="0005404A" w:rsidP="0005404A">
      <w:pPr>
        <w:ind w:left="720"/>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an insolvency practitioner appointed in proceedings concerning a member of the group shall cooperate with any insolvency practitioner appointed in proceedings concerning another member of the same group to the extent that such cooperation is appropriate to facilitate the effective administration of those proceedings, is not incompatible with the rules applicable to such proceedings and does not entail any conflict of interest. That cooperation may take any form, including the conclusion of agreements or protocols.</w:t>
      </w:r>
    </w:p>
    <w:p w14:paraId="737D6786" w14:textId="77777777" w:rsidR="0005404A" w:rsidRPr="0005404A" w:rsidRDefault="0005404A" w:rsidP="0005404A">
      <w:pPr>
        <w:jc w:val="both"/>
        <w:rPr>
          <w:rFonts w:ascii="Arial" w:hAnsi="Arial" w:cs="Arial"/>
          <w:color w:val="7B7B7B" w:themeColor="accent3" w:themeShade="BF"/>
          <w:sz w:val="22"/>
          <w:szCs w:val="22"/>
          <w:lang w:val="en-GB"/>
        </w:rPr>
      </w:pPr>
    </w:p>
    <w:p w14:paraId="2CF96416" w14:textId="77777777" w:rsidR="0005404A" w:rsidRPr="0005404A" w:rsidRDefault="0005404A" w:rsidP="0005404A">
      <w:pPr>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2.   In implementing the cooperation set out in paragraph 1, insolvency practitioners shall:</w:t>
      </w:r>
    </w:p>
    <w:p w14:paraId="768162C0" w14:textId="77777777" w:rsidR="0005404A" w:rsidRPr="0005404A" w:rsidRDefault="0005404A" w:rsidP="0005404A">
      <w:pPr>
        <w:jc w:val="both"/>
        <w:rPr>
          <w:rFonts w:ascii="Arial" w:hAnsi="Arial" w:cs="Arial"/>
          <w:color w:val="7B7B7B" w:themeColor="accent3" w:themeShade="BF"/>
          <w:sz w:val="22"/>
          <w:szCs w:val="22"/>
          <w:lang w:val="en-GB"/>
        </w:rPr>
      </w:pPr>
    </w:p>
    <w:p w14:paraId="3CA7460D" w14:textId="5ECA97B0" w:rsidR="0005404A" w:rsidRPr="0005404A" w:rsidRDefault="0005404A" w:rsidP="0005404A">
      <w:pPr>
        <w:pStyle w:val="ListParagraph"/>
        <w:numPr>
          <w:ilvl w:val="0"/>
          <w:numId w:val="13"/>
        </w:numPr>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as soon as possible communicate to each other any information which may be relevant to the other proceedings, provided appropriate arrangements are made to protect confidential information;</w:t>
      </w:r>
    </w:p>
    <w:p w14:paraId="78372EB8" w14:textId="77777777" w:rsidR="0005404A" w:rsidRPr="0005404A" w:rsidRDefault="0005404A" w:rsidP="0005404A">
      <w:pPr>
        <w:jc w:val="both"/>
        <w:rPr>
          <w:rFonts w:ascii="Arial" w:hAnsi="Arial" w:cs="Arial"/>
          <w:color w:val="7B7B7B" w:themeColor="accent3" w:themeShade="BF"/>
          <w:sz w:val="22"/>
          <w:szCs w:val="22"/>
          <w:lang w:val="en-GB"/>
        </w:rPr>
      </w:pPr>
    </w:p>
    <w:p w14:paraId="50986073" w14:textId="16B5643D" w:rsidR="0005404A" w:rsidRPr="0005404A" w:rsidRDefault="0005404A" w:rsidP="0005404A">
      <w:pPr>
        <w:pStyle w:val="ListParagraph"/>
        <w:numPr>
          <w:ilvl w:val="0"/>
          <w:numId w:val="13"/>
        </w:numPr>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consider whether possibilities exist for coordinating the administration and supervision of the affairs of the group members which are subject to insolvency proceedings, and if so, coordinate such administration and supervision;</w:t>
      </w:r>
    </w:p>
    <w:p w14:paraId="00B901E9" w14:textId="77777777" w:rsidR="0005404A" w:rsidRPr="0005404A" w:rsidRDefault="0005404A" w:rsidP="0005404A">
      <w:pPr>
        <w:jc w:val="both"/>
        <w:rPr>
          <w:rFonts w:ascii="Arial" w:hAnsi="Arial" w:cs="Arial"/>
          <w:color w:val="7B7B7B" w:themeColor="accent3" w:themeShade="BF"/>
          <w:sz w:val="22"/>
          <w:szCs w:val="22"/>
          <w:lang w:val="en-GB"/>
        </w:rPr>
      </w:pPr>
    </w:p>
    <w:p w14:paraId="4FCAE467" w14:textId="13A29803" w:rsidR="0005404A" w:rsidRPr="0005404A" w:rsidRDefault="0005404A" w:rsidP="0005404A">
      <w:pPr>
        <w:pStyle w:val="ListParagraph"/>
        <w:numPr>
          <w:ilvl w:val="0"/>
          <w:numId w:val="13"/>
        </w:numPr>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consider whether possibilities exist for restructuring group members which are subject to insolvency proceedings and, if so, coordinate with regard to the proposal and negotiation of a coordinated restructuring plan.</w:t>
      </w:r>
    </w:p>
    <w:p w14:paraId="35A92B7F" w14:textId="77777777" w:rsidR="0005404A" w:rsidRPr="0005404A" w:rsidRDefault="0005404A" w:rsidP="0005404A">
      <w:pPr>
        <w:jc w:val="both"/>
        <w:rPr>
          <w:rFonts w:ascii="Arial" w:hAnsi="Arial" w:cs="Arial"/>
          <w:color w:val="7B7B7B" w:themeColor="accent3" w:themeShade="BF"/>
          <w:sz w:val="22"/>
          <w:szCs w:val="22"/>
          <w:lang w:val="en-GB"/>
        </w:rPr>
      </w:pPr>
    </w:p>
    <w:p w14:paraId="6C1A34F2" w14:textId="35F66614" w:rsidR="0005404A" w:rsidRDefault="0005404A" w:rsidP="0005404A">
      <w:pPr>
        <w:jc w:val="both"/>
        <w:rPr>
          <w:rFonts w:ascii="Arial" w:hAnsi="Arial" w:cs="Arial"/>
          <w:color w:val="7B7B7B" w:themeColor="accent3" w:themeShade="BF"/>
          <w:sz w:val="22"/>
          <w:szCs w:val="22"/>
          <w:lang w:val="en-GB"/>
        </w:rPr>
      </w:pPr>
      <w:r w:rsidRPr="0005404A">
        <w:rPr>
          <w:rFonts w:ascii="Arial" w:hAnsi="Arial" w:cs="Arial"/>
          <w:color w:val="7B7B7B" w:themeColor="accent3" w:themeShade="BF"/>
          <w:sz w:val="22"/>
          <w:szCs w:val="22"/>
          <w:lang w:val="en-GB"/>
        </w:rPr>
        <w:t>For the purposes of points (b) and (c), all or some of the insolvency practitioners referred to in paragraph 1 may agree to grant additional powers to an insolvency practitioner appointed in one of the proceedings where such an agreement is permitted by the rules applicable to each of the proceedings. They may also agree on the allocation of certain tasks amongst them, where such allocation of tasks is permitted by the rules applicable to each of the proceedings.</w:t>
      </w:r>
      <w:r>
        <w:rPr>
          <w:rFonts w:ascii="Arial" w:hAnsi="Arial" w:cs="Arial"/>
          <w:color w:val="7B7B7B" w:themeColor="accent3" w:themeShade="BF"/>
          <w:sz w:val="22"/>
          <w:szCs w:val="22"/>
          <w:lang w:val="en-GB"/>
        </w:rPr>
        <w:t>”</w:t>
      </w:r>
    </w:p>
    <w:p w14:paraId="44999225" w14:textId="77777777" w:rsidR="0005404A" w:rsidRPr="008500BD" w:rsidRDefault="0005404A" w:rsidP="0005404A">
      <w:pPr>
        <w:jc w:val="both"/>
        <w:rPr>
          <w:rFonts w:ascii="Arial" w:hAnsi="Arial" w:cs="Arial"/>
          <w:sz w:val="22"/>
          <w:szCs w:val="22"/>
          <w:lang w:val="en-GB"/>
        </w:rPr>
      </w:pP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375822E3" w14:textId="5095CCFC" w:rsidR="00EA2540" w:rsidRDefault="00C72848" w:rsidP="002A37BB">
      <w:pPr>
        <w:ind w:left="720" w:hanging="72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EA2540">
        <w:rPr>
          <w:rFonts w:ascii="Arial" w:hAnsi="Arial" w:cs="Arial"/>
          <w:color w:val="7B7B7B" w:themeColor="accent3" w:themeShade="BF"/>
          <w:sz w:val="22"/>
          <w:szCs w:val="22"/>
          <w:lang w:val="en-GB"/>
        </w:rPr>
        <w:t xml:space="preserve">1. </w:t>
      </w:r>
      <w:r w:rsidR="006A137E">
        <w:rPr>
          <w:rFonts w:ascii="Arial" w:hAnsi="Arial" w:cs="Arial"/>
          <w:color w:val="7B7B7B" w:themeColor="accent3" w:themeShade="BF"/>
          <w:sz w:val="22"/>
          <w:szCs w:val="22"/>
          <w:lang w:val="en-GB"/>
        </w:rPr>
        <w:t>Article 1 of the EIR Recast states the following:</w:t>
      </w:r>
    </w:p>
    <w:p w14:paraId="4CC332C0" w14:textId="77777777" w:rsidR="006A137E" w:rsidRDefault="006A137E" w:rsidP="006A137E">
      <w:pPr>
        <w:ind w:left="720" w:hanging="720"/>
        <w:jc w:val="both"/>
        <w:rPr>
          <w:rFonts w:ascii="Arial" w:hAnsi="Arial" w:cs="Arial"/>
          <w:color w:val="7B7B7B" w:themeColor="accent3" w:themeShade="BF"/>
          <w:sz w:val="22"/>
          <w:szCs w:val="22"/>
          <w:lang w:val="en-GB"/>
        </w:rPr>
      </w:pPr>
    </w:p>
    <w:p w14:paraId="4E89894E" w14:textId="5AFA3B56" w:rsidR="006A137E" w:rsidRDefault="006A137E" w:rsidP="006A137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6A137E">
        <w:rPr>
          <w:rFonts w:ascii="Arial" w:hAnsi="Arial" w:cs="Arial"/>
          <w:color w:val="7B7B7B" w:themeColor="accent3" w:themeShade="BF"/>
          <w:sz w:val="22"/>
          <w:szCs w:val="22"/>
          <w:lang w:val="en-GB"/>
        </w:rPr>
        <w:t xml:space="preserve">This Regulation shall apply to public collective proceedings, including interim proceedings, </w:t>
      </w:r>
    </w:p>
    <w:p w14:paraId="03059E3D" w14:textId="77777777" w:rsidR="006A137E" w:rsidRPr="006A137E" w:rsidRDefault="006A137E" w:rsidP="006A137E">
      <w:pPr>
        <w:ind w:left="720" w:hanging="720"/>
        <w:jc w:val="both"/>
        <w:rPr>
          <w:rFonts w:ascii="Arial" w:hAnsi="Arial" w:cs="Arial"/>
          <w:color w:val="7B7B7B" w:themeColor="accent3" w:themeShade="BF"/>
          <w:sz w:val="22"/>
          <w:szCs w:val="22"/>
          <w:u w:val="single"/>
          <w:lang w:val="en-GB"/>
        </w:rPr>
      </w:pPr>
      <w:r w:rsidRPr="006A137E">
        <w:rPr>
          <w:rFonts w:ascii="Arial" w:hAnsi="Arial" w:cs="Arial"/>
          <w:color w:val="7B7B7B" w:themeColor="accent3" w:themeShade="BF"/>
          <w:sz w:val="22"/>
          <w:szCs w:val="22"/>
          <w:lang w:val="en-GB"/>
        </w:rPr>
        <w:t xml:space="preserve">which are based on laws relating to insolvency and in which, </w:t>
      </w:r>
      <w:r w:rsidRPr="00E16163">
        <w:rPr>
          <w:rFonts w:ascii="Arial" w:hAnsi="Arial" w:cs="Arial"/>
          <w:color w:val="7B7B7B" w:themeColor="accent3" w:themeShade="BF"/>
          <w:sz w:val="22"/>
          <w:szCs w:val="22"/>
          <w:u w:val="single"/>
          <w:lang w:val="en-GB"/>
        </w:rPr>
        <w:t>for the purpose of rescue</w:t>
      </w:r>
      <w:r w:rsidRPr="006A137E">
        <w:rPr>
          <w:rFonts w:ascii="Arial" w:hAnsi="Arial" w:cs="Arial"/>
          <w:color w:val="7B7B7B" w:themeColor="accent3" w:themeShade="BF"/>
          <w:sz w:val="22"/>
          <w:szCs w:val="22"/>
          <w:u w:val="single"/>
          <w:lang w:val="en-GB"/>
        </w:rPr>
        <w:t xml:space="preserve">, </w:t>
      </w:r>
    </w:p>
    <w:p w14:paraId="74852FE5" w14:textId="0D6551F3" w:rsidR="006A137E" w:rsidRPr="006A137E" w:rsidRDefault="006A137E" w:rsidP="006A137E">
      <w:pPr>
        <w:ind w:left="720" w:hanging="720"/>
        <w:jc w:val="both"/>
        <w:rPr>
          <w:rFonts w:ascii="Arial" w:hAnsi="Arial" w:cs="Arial"/>
          <w:color w:val="7B7B7B" w:themeColor="accent3" w:themeShade="BF"/>
          <w:sz w:val="22"/>
          <w:szCs w:val="22"/>
          <w:lang w:val="en-GB"/>
        </w:rPr>
      </w:pPr>
      <w:r w:rsidRPr="006A137E">
        <w:rPr>
          <w:rFonts w:ascii="Arial" w:hAnsi="Arial" w:cs="Arial"/>
          <w:color w:val="7B7B7B" w:themeColor="accent3" w:themeShade="BF"/>
          <w:sz w:val="22"/>
          <w:szCs w:val="22"/>
          <w:u w:val="single"/>
          <w:lang w:val="en-GB"/>
        </w:rPr>
        <w:t>adjustment of debt, reorganisation</w:t>
      </w:r>
      <w:r w:rsidRPr="006A137E">
        <w:rPr>
          <w:rFonts w:ascii="Arial" w:hAnsi="Arial" w:cs="Arial"/>
          <w:color w:val="7B7B7B" w:themeColor="accent3" w:themeShade="BF"/>
          <w:sz w:val="22"/>
          <w:szCs w:val="22"/>
          <w:lang w:val="en-GB"/>
        </w:rPr>
        <w:t xml:space="preserve"> or liquidation:</w:t>
      </w:r>
    </w:p>
    <w:p w14:paraId="348B4A48" w14:textId="77777777" w:rsidR="006A137E" w:rsidRPr="006A137E" w:rsidRDefault="006A137E" w:rsidP="006A137E">
      <w:pPr>
        <w:ind w:left="720" w:hanging="720"/>
        <w:jc w:val="both"/>
        <w:rPr>
          <w:rFonts w:ascii="Arial" w:hAnsi="Arial" w:cs="Arial"/>
          <w:color w:val="7B7B7B" w:themeColor="accent3" w:themeShade="BF"/>
          <w:sz w:val="22"/>
          <w:szCs w:val="22"/>
          <w:lang w:val="en-GB"/>
        </w:rPr>
      </w:pPr>
    </w:p>
    <w:p w14:paraId="269A89BF" w14:textId="159F0558" w:rsidR="006A137E" w:rsidRPr="006A137E" w:rsidRDefault="006A137E" w:rsidP="006A137E">
      <w:pPr>
        <w:pStyle w:val="ListParagraph"/>
        <w:numPr>
          <w:ilvl w:val="0"/>
          <w:numId w:val="16"/>
        </w:numPr>
        <w:ind w:left="709" w:hanging="709"/>
        <w:jc w:val="both"/>
        <w:rPr>
          <w:rFonts w:ascii="Arial" w:hAnsi="Arial" w:cs="Arial"/>
          <w:color w:val="7B7B7B" w:themeColor="accent3" w:themeShade="BF"/>
          <w:sz w:val="22"/>
          <w:szCs w:val="22"/>
          <w:lang w:val="en-GB"/>
        </w:rPr>
      </w:pPr>
      <w:r w:rsidRPr="006A137E">
        <w:rPr>
          <w:rFonts w:ascii="Arial" w:hAnsi="Arial" w:cs="Arial"/>
          <w:color w:val="7B7B7B" w:themeColor="accent3" w:themeShade="BF"/>
          <w:sz w:val="22"/>
          <w:szCs w:val="22"/>
          <w:lang w:val="en-GB"/>
        </w:rPr>
        <w:t>a debtor is totally or partially divested of its assets and an insolvency practitioner is appointed;</w:t>
      </w:r>
    </w:p>
    <w:p w14:paraId="11A3305E" w14:textId="77777777" w:rsidR="006A137E" w:rsidRPr="006A137E" w:rsidRDefault="006A137E" w:rsidP="006A137E">
      <w:pPr>
        <w:ind w:left="720" w:hanging="720"/>
        <w:jc w:val="both"/>
        <w:rPr>
          <w:rFonts w:ascii="Arial" w:hAnsi="Arial" w:cs="Arial"/>
          <w:color w:val="7B7B7B" w:themeColor="accent3" w:themeShade="BF"/>
          <w:sz w:val="22"/>
          <w:szCs w:val="22"/>
          <w:lang w:val="en-GB"/>
        </w:rPr>
      </w:pPr>
    </w:p>
    <w:p w14:paraId="56A2CD38" w14:textId="28299BC6" w:rsidR="006A137E" w:rsidRPr="006A137E" w:rsidRDefault="006A137E" w:rsidP="006A137E">
      <w:pPr>
        <w:ind w:left="720" w:hanging="720"/>
        <w:jc w:val="both"/>
        <w:rPr>
          <w:rFonts w:ascii="Arial" w:hAnsi="Arial" w:cs="Arial"/>
          <w:color w:val="7B7B7B" w:themeColor="accent3" w:themeShade="BF"/>
          <w:sz w:val="22"/>
          <w:szCs w:val="22"/>
          <w:lang w:val="en-GB"/>
        </w:rPr>
      </w:pPr>
      <w:r w:rsidRPr="006A137E">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b/>
      </w:r>
      <w:r w:rsidRPr="006A137E">
        <w:rPr>
          <w:rFonts w:ascii="Arial" w:hAnsi="Arial" w:cs="Arial"/>
          <w:color w:val="7B7B7B" w:themeColor="accent3" w:themeShade="BF"/>
          <w:sz w:val="22"/>
          <w:szCs w:val="22"/>
          <w:lang w:val="en-GB"/>
        </w:rPr>
        <w:t>the assets and affairs of a debtor are subject to control or supervision by a court; or</w:t>
      </w:r>
    </w:p>
    <w:p w14:paraId="3EA7CEC9" w14:textId="77777777" w:rsidR="006A137E" w:rsidRPr="006A137E" w:rsidRDefault="006A137E" w:rsidP="006A137E">
      <w:pPr>
        <w:ind w:left="720" w:hanging="720"/>
        <w:jc w:val="both"/>
        <w:rPr>
          <w:rFonts w:ascii="Arial" w:hAnsi="Arial" w:cs="Arial"/>
          <w:color w:val="7B7B7B" w:themeColor="accent3" w:themeShade="BF"/>
          <w:sz w:val="22"/>
          <w:szCs w:val="22"/>
          <w:lang w:val="en-GB"/>
        </w:rPr>
      </w:pPr>
    </w:p>
    <w:p w14:paraId="776E8EF8" w14:textId="3532C730" w:rsidR="006A137E" w:rsidRDefault="006A137E" w:rsidP="006A137E">
      <w:pPr>
        <w:ind w:left="720" w:hanging="720"/>
        <w:jc w:val="both"/>
        <w:rPr>
          <w:rFonts w:ascii="Arial" w:hAnsi="Arial" w:cs="Arial"/>
          <w:color w:val="7B7B7B" w:themeColor="accent3" w:themeShade="BF"/>
          <w:sz w:val="22"/>
          <w:szCs w:val="22"/>
          <w:lang w:val="en-GB"/>
        </w:rPr>
      </w:pPr>
      <w:r w:rsidRPr="006A137E">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Pr="006A137E">
        <w:rPr>
          <w:rFonts w:ascii="Arial" w:hAnsi="Arial" w:cs="Arial"/>
          <w:color w:val="7B7B7B" w:themeColor="accent3" w:themeShade="BF"/>
          <w:sz w:val="22"/>
          <w:szCs w:val="22"/>
          <w:lang w:val="en-GB"/>
        </w:rPr>
        <w:t xml:space="preserve">a temporary stay of individual enforcement proceedings is granted by a court or by </w:t>
      </w:r>
    </w:p>
    <w:p w14:paraId="1DE5BC63" w14:textId="39C8D34F" w:rsidR="006A137E" w:rsidRDefault="006A137E" w:rsidP="006A137E">
      <w:pPr>
        <w:ind w:left="720"/>
        <w:jc w:val="both"/>
        <w:rPr>
          <w:rFonts w:ascii="Arial" w:hAnsi="Arial" w:cs="Arial"/>
          <w:color w:val="7B7B7B" w:themeColor="accent3" w:themeShade="BF"/>
          <w:sz w:val="22"/>
          <w:szCs w:val="22"/>
          <w:lang w:val="en-GB"/>
        </w:rPr>
      </w:pPr>
      <w:r w:rsidRPr="006A137E">
        <w:rPr>
          <w:rFonts w:ascii="Arial" w:hAnsi="Arial" w:cs="Arial"/>
          <w:color w:val="7B7B7B" w:themeColor="accent3" w:themeShade="BF"/>
          <w:sz w:val="22"/>
          <w:szCs w:val="22"/>
          <w:lang w:val="en-GB"/>
        </w:rPr>
        <w:t>operation of law, in order to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 (a) or (b).</w:t>
      </w:r>
      <w:r>
        <w:rPr>
          <w:rFonts w:ascii="Arial" w:hAnsi="Arial" w:cs="Arial"/>
          <w:color w:val="7B7B7B" w:themeColor="accent3" w:themeShade="BF"/>
          <w:sz w:val="22"/>
          <w:szCs w:val="22"/>
          <w:lang w:val="en-GB"/>
        </w:rPr>
        <w:t>”</w:t>
      </w:r>
    </w:p>
    <w:p w14:paraId="525A45C7" w14:textId="77777777" w:rsidR="00EA2540" w:rsidRDefault="00EA2540" w:rsidP="002A37BB">
      <w:pPr>
        <w:ind w:left="720" w:hanging="720"/>
        <w:jc w:val="both"/>
        <w:rPr>
          <w:rFonts w:ascii="Arial" w:hAnsi="Arial" w:cs="Arial"/>
          <w:color w:val="7B7B7B" w:themeColor="accent3" w:themeShade="BF"/>
          <w:sz w:val="22"/>
          <w:szCs w:val="22"/>
          <w:lang w:val="en-GB"/>
        </w:rPr>
      </w:pPr>
    </w:p>
    <w:p w14:paraId="569F756D" w14:textId="242C19E0" w:rsidR="00EA2540" w:rsidRDefault="00EA254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Article 41(2)(a) which states the following:</w:t>
      </w:r>
    </w:p>
    <w:p w14:paraId="2D83F392" w14:textId="77777777" w:rsidR="00EA2540" w:rsidRDefault="00EA2540" w:rsidP="002A37BB">
      <w:pPr>
        <w:ind w:left="720" w:hanging="720"/>
        <w:jc w:val="both"/>
        <w:rPr>
          <w:rFonts w:ascii="Arial" w:hAnsi="Arial" w:cs="Arial"/>
          <w:color w:val="7B7B7B" w:themeColor="accent3" w:themeShade="BF"/>
          <w:sz w:val="22"/>
          <w:szCs w:val="22"/>
          <w:lang w:val="en-GB"/>
        </w:rPr>
      </w:pPr>
    </w:p>
    <w:p w14:paraId="2C3660D9" w14:textId="77777777" w:rsidR="00EA2540" w:rsidRDefault="00EA2540" w:rsidP="00EA2540">
      <w:pPr>
        <w:ind w:firstLine="720"/>
        <w:jc w:val="both"/>
        <w:rPr>
          <w:rFonts w:ascii="Arial" w:hAnsi="Arial" w:cs="Arial"/>
          <w:color w:val="7B7B7B" w:themeColor="accent3" w:themeShade="BF"/>
          <w:sz w:val="22"/>
          <w:szCs w:val="22"/>
          <w:lang w:val="en-GB"/>
        </w:rPr>
      </w:pPr>
      <w:r w:rsidRPr="00EA2540">
        <w:rPr>
          <w:rFonts w:ascii="Arial" w:hAnsi="Arial" w:cs="Arial"/>
          <w:color w:val="7B7B7B" w:themeColor="accent3" w:themeShade="BF"/>
          <w:sz w:val="22"/>
          <w:szCs w:val="22"/>
          <w:lang w:val="en-GB"/>
        </w:rPr>
        <w:t xml:space="preserve">In implementing the cooperation set out in paragraph 1, the insolvency practitioners </w:t>
      </w:r>
    </w:p>
    <w:p w14:paraId="038FCFC6" w14:textId="533ED320" w:rsidR="00EA2540" w:rsidRPr="00EA2540" w:rsidRDefault="00EA2540" w:rsidP="00EA2540">
      <w:pPr>
        <w:ind w:firstLine="720"/>
        <w:jc w:val="both"/>
        <w:rPr>
          <w:rFonts w:ascii="Arial" w:hAnsi="Arial" w:cs="Arial"/>
          <w:color w:val="7B7B7B" w:themeColor="accent3" w:themeShade="BF"/>
          <w:sz w:val="22"/>
          <w:szCs w:val="22"/>
          <w:lang w:val="en-GB"/>
        </w:rPr>
      </w:pPr>
      <w:r w:rsidRPr="00EA2540">
        <w:rPr>
          <w:rFonts w:ascii="Arial" w:hAnsi="Arial" w:cs="Arial"/>
          <w:color w:val="7B7B7B" w:themeColor="accent3" w:themeShade="BF"/>
          <w:sz w:val="22"/>
          <w:szCs w:val="22"/>
          <w:lang w:val="en-GB"/>
        </w:rPr>
        <w:t>shall:</w:t>
      </w:r>
    </w:p>
    <w:p w14:paraId="3F228D3C" w14:textId="77777777" w:rsidR="00EA2540" w:rsidRPr="00EA2540" w:rsidRDefault="00EA2540" w:rsidP="00EA2540">
      <w:pPr>
        <w:ind w:left="720"/>
        <w:jc w:val="both"/>
        <w:rPr>
          <w:rFonts w:ascii="Arial" w:hAnsi="Arial" w:cs="Arial"/>
          <w:color w:val="7B7B7B" w:themeColor="accent3" w:themeShade="BF"/>
          <w:sz w:val="22"/>
          <w:szCs w:val="22"/>
          <w:lang w:val="en-GB"/>
        </w:rPr>
      </w:pPr>
    </w:p>
    <w:p w14:paraId="0EB17138" w14:textId="61455FF5" w:rsidR="00EA2540" w:rsidRDefault="00EA2540" w:rsidP="00EA2540">
      <w:pPr>
        <w:pStyle w:val="ListParagraph"/>
        <w:numPr>
          <w:ilvl w:val="0"/>
          <w:numId w:val="14"/>
        </w:numPr>
        <w:jc w:val="both"/>
        <w:rPr>
          <w:rFonts w:ascii="Arial" w:hAnsi="Arial" w:cs="Arial"/>
          <w:color w:val="7B7B7B" w:themeColor="accent3" w:themeShade="BF"/>
          <w:sz w:val="22"/>
          <w:szCs w:val="22"/>
          <w:lang w:val="en-GB"/>
        </w:rPr>
      </w:pPr>
      <w:r w:rsidRPr="00EA2540">
        <w:rPr>
          <w:rFonts w:ascii="Arial" w:hAnsi="Arial" w:cs="Arial"/>
          <w:color w:val="7B7B7B" w:themeColor="accent3" w:themeShade="BF"/>
          <w:sz w:val="22"/>
          <w:szCs w:val="22"/>
          <w:lang w:val="en-GB"/>
        </w:rPr>
        <w:t xml:space="preserve">as soon as possible communicate to each other any information which may be relevant to the other proceedings, in particular any progress made in lodging and verifying claims and </w:t>
      </w:r>
      <w:r w:rsidRPr="006A137E">
        <w:rPr>
          <w:rFonts w:ascii="Arial" w:hAnsi="Arial" w:cs="Arial"/>
          <w:color w:val="7B7B7B" w:themeColor="accent3" w:themeShade="BF"/>
          <w:sz w:val="22"/>
          <w:szCs w:val="22"/>
          <w:u w:val="single"/>
          <w:lang w:val="en-GB"/>
        </w:rPr>
        <w:t>all measures aimed at rescuing or restructuring the debtor</w:t>
      </w:r>
      <w:r w:rsidRPr="00EA2540">
        <w:rPr>
          <w:rFonts w:ascii="Arial" w:hAnsi="Arial" w:cs="Arial"/>
          <w:color w:val="7B7B7B" w:themeColor="accent3" w:themeShade="BF"/>
          <w:sz w:val="22"/>
          <w:szCs w:val="22"/>
          <w:lang w:val="en-GB"/>
        </w:rPr>
        <w:t>, or at terminating the proceedings, provided appropriate arrangements are made to protect confidential information;</w:t>
      </w:r>
    </w:p>
    <w:p w14:paraId="3D7F27C6" w14:textId="77777777" w:rsidR="00EA2540" w:rsidRDefault="00EA2540" w:rsidP="00EA2540">
      <w:pPr>
        <w:pStyle w:val="ListParagraph"/>
        <w:ind w:left="1080"/>
        <w:jc w:val="both"/>
        <w:rPr>
          <w:rFonts w:ascii="Arial" w:hAnsi="Arial" w:cs="Arial"/>
          <w:color w:val="7B7B7B" w:themeColor="accent3" w:themeShade="BF"/>
          <w:sz w:val="22"/>
          <w:szCs w:val="22"/>
          <w:lang w:val="en-GB"/>
        </w:rPr>
      </w:pPr>
    </w:p>
    <w:p w14:paraId="461B2B64" w14:textId="77777777" w:rsidR="00E16163" w:rsidRDefault="00EA2540" w:rsidP="00EA2540">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w:t>
      </w:r>
      <w:r w:rsidR="00E16163">
        <w:rPr>
          <w:rFonts w:ascii="Arial" w:hAnsi="Arial" w:cs="Arial"/>
          <w:color w:val="7B7B7B" w:themeColor="accent3" w:themeShade="BF"/>
          <w:sz w:val="22"/>
          <w:szCs w:val="22"/>
          <w:lang w:val="en-GB"/>
        </w:rPr>
        <w:t xml:space="preserve"> 47(1)</w:t>
      </w:r>
      <w:r>
        <w:rPr>
          <w:rFonts w:ascii="Arial" w:hAnsi="Arial" w:cs="Arial"/>
          <w:color w:val="7B7B7B" w:themeColor="accent3" w:themeShade="BF"/>
          <w:sz w:val="22"/>
          <w:szCs w:val="22"/>
          <w:lang w:val="en-GB"/>
        </w:rPr>
        <w:t xml:space="preserve"> which states the following:</w:t>
      </w:r>
    </w:p>
    <w:p w14:paraId="506B141E" w14:textId="77777777" w:rsidR="00E16163" w:rsidRDefault="00E16163" w:rsidP="00E16163">
      <w:pPr>
        <w:pStyle w:val="ListParagraph"/>
        <w:jc w:val="both"/>
        <w:rPr>
          <w:rFonts w:ascii="Arial" w:hAnsi="Arial" w:cs="Arial"/>
          <w:color w:val="7B7B7B" w:themeColor="accent3" w:themeShade="BF"/>
          <w:sz w:val="22"/>
          <w:szCs w:val="22"/>
          <w:lang w:val="en-GB"/>
        </w:rPr>
      </w:pPr>
    </w:p>
    <w:p w14:paraId="78DB9FD8" w14:textId="4CF1904B" w:rsidR="00C72848" w:rsidRPr="00EA2540" w:rsidRDefault="00E16163" w:rsidP="00E1616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E16163">
        <w:rPr>
          <w:rFonts w:ascii="Arial" w:hAnsi="Arial" w:cs="Arial"/>
          <w:color w:val="7B7B7B" w:themeColor="accent3" w:themeShade="BF"/>
          <w:sz w:val="22"/>
          <w:szCs w:val="22"/>
          <w:lang w:val="en-GB"/>
        </w:rPr>
        <w:t xml:space="preserve">Where the law of the Member State where secondary insolvency proceedings have been opened allows for such proceedings to be closed without liquidation </w:t>
      </w:r>
      <w:r w:rsidRPr="00E16163">
        <w:rPr>
          <w:rFonts w:ascii="Arial" w:hAnsi="Arial" w:cs="Arial"/>
          <w:color w:val="7B7B7B" w:themeColor="accent3" w:themeShade="BF"/>
          <w:sz w:val="22"/>
          <w:szCs w:val="22"/>
          <w:u w:val="single"/>
          <w:lang w:val="en-GB"/>
        </w:rPr>
        <w:t>by a restructuring plan</w:t>
      </w:r>
      <w:r w:rsidRPr="00E16163">
        <w:rPr>
          <w:rFonts w:ascii="Arial" w:hAnsi="Arial" w:cs="Arial"/>
          <w:color w:val="7B7B7B" w:themeColor="accent3" w:themeShade="BF"/>
          <w:sz w:val="22"/>
          <w:szCs w:val="22"/>
          <w:lang w:val="en-GB"/>
        </w:rPr>
        <w:t>, a composition or a comparable measure, the insolvency practitioner in the main insolvency proceedings shall be empowered to propose such a measure in accordance with the procedure of that Member State.</w:t>
      </w:r>
      <w:r>
        <w:rPr>
          <w:rFonts w:ascii="Arial" w:hAnsi="Arial" w:cs="Arial"/>
          <w:color w:val="7B7B7B" w:themeColor="accent3" w:themeShade="BF"/>
          <w:sz w:val="22"/>
          <w:szCs w:val="22"/>
          <w:lang w:val="en-GB"/>
        </w:rPr>
        <w:t>”</w:t>
      </w:r>
      <w:r w:rsidR="00C72848" w:rsidRPr="00EA2540">
        <w:rPr>
          <w:rFonts w:ascii="Arial" w:hAnsi="Arial" w:cs="Arial"/>
          <w:color w:val="7B7B7B" w:themeColor="accent3" w:themeShade="BF"/>
          <w:sz w:val="22"/>
          <w:szCs w:val="22"/>
          <w:lang w:val="en-GB"/>
        </w:rPr>
        <w:t>]</w:t>
      </w:r>
    </w:p>
    <w:p w14:paraId="572227E7" w14:textId="10041403" w:rsidR="0045683E" w:rsidRPr="008500BD" w:rsidRDefault="0045683E" w:rsidP="002A37BB">
      <w:pPr>
        <w:jc w:val="both"/>
        <w:rPr>
          <w:rFonts w:ascii="Arial" w:hAnsi="Arial" w:cs="Arial"/>
          <w:bCs/>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B6DC333" w14:textId="16B970E0" w:rsidR="00E32720" w:rsidRDefault="009954B2" w:rsidP="002A37BB">
      <w:pPr>
        <w:ind w:left="720" w:hanging="72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541100">
        <w:rPr>
          <w:rFonts w:ascii="Arial" w:hAnsi="Arial" w:cs="Arial"/>
          <w:color w:val="7B7B7B" w:themeColor="accent3" w:themeShade="BF"/>
          <w:sz w:val="22"/>
          <w:szCs w:val="22"/>
          <w:lang w:val="en-GB"/>
        </w:rPr>
        <w:t xml:space="preserve">1. </w:t>
      </w:r>
      <w:r w:rsidR="00E32720">
        <w:rPr>
          <w:rFonts w:ascii="Arial" w:hAnsi="Arial" w:cs="Arial"/>
          <w:color w:val="7B7B7B" w:themeColor="accent3" w:themeShade="BF"/>
          <w:sz w:val="22"/>
          <w:szCs w:val="22"/>
          <w:lang w:val="en-GB"/>
        </w:rPr>
        <w:t>Article</w:t>
      </w:r>
      <w:r w:rsidR="00D1530C">
        <w:rPr>
          <w:rFonts w:ascii="Arial" w:hAnsi="Arial" w:cs="Arial"/>
          <w:color w:val="7B7B7B" w:themeColor="accent3" w:themeShade="BF"/>
          <w:sz w:val="22"/>
          <w:szCs w:val="22"/>
          <w:lang w:val="en-GB"/>
        </w:rPr>
        <w:t xml:space="preserve"> 3(2) of the EIR recast deals with secondary proceedings</w:t>
      </w:r>
      <w:r w:rsidR="00E32720">
        <w:rPr>
          <w:rFonts w:ascii="Arial" w:hAnsi="Arial" w:cs="Arial"/>
          <w:color w:val="7B7B7B" w:themeColor="accent3" w:themeShade="BF"/>
          <w:sz w:val="22"/>
          <w:szCs w:val="22"/>
          <w:lang w:val="en-GB"/>
        </w:rPr>
        <w:t xml:space="preserve">. In order to control the </w:t>
      </w:r>
    </w:p>
    <w:p w14:paraId="2FD4FD56" w14:textId="697027FE" w:rsidR="00E32720" w:rsidRDefault="00E32720" w:rsidP="00E32720">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opening, conduct and closure of the secondary proceeding, it </w:t>
      </w:r>
      <w:r w:rsidRPr="00E32720">
        <w:rPr>
          <w:rFonts w:ascii="Arial" w:hAnsi="Arial" w:cs="Arial"/>
          <w:color w:val="7B7B7B" w:themeColor="accent3" w:themeShade="BF"/>
          <w:sz w:val="22"/>
          <w:szCs w:val="22"/>
          <w:lang w:val="en-US"/>
        </w:rPr>
        <w:t>limit</w:t>
      </w:r>
      <w:r>
        <w:rPr>
          <w:rFonts w:ascii="Arial" w:hAnsi="Arial" w:cs="Arial"/>
          <w:color w:val="7B7B7B" w:themeColor="accent3" w:themeShade="BF"/>
          <w:sz w:val="22"/>
          <w:szCs w:val="22"/>
        </w:rPr>
        <w:t>s</w:t>
      </w:r>
      <w:r w:rsidRPr="00E32720">
        <w:rPr>
          <w:rFonts w:ascii="Arial" w:hAnsi="Arial" w:cs="Arial"/>
          <w:color w:val="7B7B7B" w:themeColor="accent3" w:themeShade="BF"/>
          <w:sz w:val="22"/>
          <w:szCs w:val="22"/>
          <w:lang w:val="en-US"/>
        </w:rPr>
        <w:t xml:space="preserve"> the scope of secondary </w:t>
      </w:r>
    </w:p>
    <w:p w14:paraId="0B7F9E5A" w14:textId="77777777" w:rsidR="00E32720" w:rsidRDefault="00E32720" w:rsidP="00E32720">
      <w:pPr>
        <w:ind w:left="720" w:hanging="720"/>
        <w:jc w:val="both"/>
        <w:rPr>
          <w:rFonts w:ascii="Arial" w:hAnsi="Arial" w:cs="Arial"/>
          <w:color w:val="7B7B7B" w:themeColor="accent3" w:themeShade="BF"/>
          <w:sz w:val="22"/>
          <w:szCs w:val="22"/>
        </w:rPr>
      </w:pPr>
      <w:r w:rsidRPr="00E32720">
        <w:rPr>
          <w:rFonts w:ascii="Arial" w:hAnsi="Arial" w:cs="Arial"/>
          <w:color w:val="7B7B7B" w:themeColor="accent3" w:themeShade="BF"/>
          <w:sz w:val="22"/>
          <w:szCs w:val="22"/>
          <w:lang w:val="en-US"/>
        </w:rPr>
        <w:t>proceedings</w:t>
      </w:r>
      <w:r>
        <w:rPr>
          <w:rFonts w:ascii="Arial" w:hAnsi="Arial" w:cs="Arial"/>
          <w:color w:val="7B7B7B" w:themeColor="accent3" w:themeShade="BF"/>
          <w:sz w:val="22"/>
          <w:szCs w:val="22"/>
        </w:rPr>
        <w:t xml:space="preserve"> to creditors who </w:t>
      </w:r>
      <w:r w:rsidRPr="00E32720">
        <w:rPr>
          <w:rFonts w:ascii="Arial" w:hAnsi="Arial" w:cs="Arial"/>
          <w:color w:val="7B7B7B" w:themeColor="accent3" w:themeShade="BF"/>
          <w:sz w:val="22"/>
          <w:szCs w:val="22"/>
          <w:lang w:val="en-US"/>
        </w:rPr>
        <w:t xml:space="preserve">possess an establishment within the territory of the other </w:t>
      </w:r>
    </w:p>
    <w:p w14:paraId="4549C65F" w14:textId="77777777" w:rsidR="00E32720" w:rsidRDefault="00E32720" w:rsidP="00E32720">
      <w:pPr>
        <w:ind w:left="720" w:hanging="720"/>
        <w:jc w:val="both"/>
        <w:rPr>
          <w:rFonts w:ascii="Arial" w:hAnsi="Arial" w:cs="Arial"/>
          <w:color w:val="7B7B7B" w:themeColor="accent3" w:themeShade="BF"/>
          <w:sz w:val="22"/>
          <w:szCs w:val="22"/>
        </w:rPr>
      </w:pPr>
      <w:r w:rsidRPr="00E32720">
        <w:rPr>
          <w:rFonts w:ascii="Arial" w:hAnsi="Arial" w:cs="Arial"/>
          <w:color w:val="7B7B7B" w:themeColor="accent3" w:themeShade="BF"/>
          <w:sz w:val="22"/>
          <w:szCs w:val="22"/>
          <w:lang w:val="en-US"/>
        </w:rPr>
        <w:t>member state. Furthermore the proceeding will only be restricted to</w:t>
      </w:r>
      <w:r>
        <w:rPr>
          <w:rFonts w:ascii="Arial" w:hAnsi="Arial" w:cs="Arial"/>
          <w:color w:val="7B7B7B" w:themeColor="accent3" w:themeShade="BF"/>
          <w:sz w:val="22"/>
          <w:szCs w:val="22"/>
        </w:rPr>
        <w:t xml:space="preserve"> winding up</w:t>
      </w:r>
      <w:r w:rsidRPr="00E32720">
        <w:rPr>
          <w:rFonts w:ascii="Arial" w:hAnsi="Arial" w:cs="Arial"/>
          <w:color w:val="7B7B7B" w:themeColor="accent3" w:themeShade="BF"/>
          <w:sz w:val="22"/>
          <w:szCs w:val="22"/>
          <w:lang w:val="en-US"/>
        </w:rPr>
        <w:t xml:space="preserve"> the assets of </w:t>
      </w:r>
    </w:p>
    <w:p w14:paraId="6DA889E6" w14:textId="77424B25" w:rsidR="00E32720" w:rsidRDefault="00E32720" w:rsidP="00E32720">
      <w:pPr>
        <w:ind w:left="720" w:hanging="720"/>
        <w:jc w:val="both"/>
        <w:rPr>
          <w:rFonts w:ascii="Arial" w:hAnsi="Arial" w:cs="Arial"/>
          <w:color w:val="7B7B7B" w:themeColor="accent3" w:themeShade="BF"/>
          <w:sz w:val="22"/>
          <w:szCs w:val="22"/>
        </w:rPr>
      </w:pPr>
      <w:r w:rsidRPr="00E32720">
        <w:rPr>
          <w:rFonts w:ascii="Arial" w:hAnsi="Arial" w:cs="Arial"/>
          <w:color w:val="7B7B7B" w:themeColor="accent3" w:themeShade="BF"/>
          <w:sz w:val="22"/>
          <w:szCs w:val="22"/>
          <w:lang w:val="en-US"/>
        </w:rPr>
        <w:t>the debtor situated in the territory of the secondary member state</w:t>
      </w:r>
      <w:r>
        <w:rPr>
          <w:rFonts w:ascii="Arial" w:hAnsi="Arial" w:cs="Arial"/>
          <w:color w:val="7B7B7B" w:themeColor="accent3" w:themeShade="BF"/>
          <w:sz w:val="22"/>
          <w:szCs w:val="22"/>
        </w:rPr>
        <w:t>.</w:t>
      </w:r>
    </w:p>
    <w:p w14:paraId="4473B142" w14:textId="77777777" w:rsidR="00E32720" w:rsidRDefault="00E32720" w:rsidP="002A37BB">
      <w:pPr>
        <w:ind w:left="720" w:hanging="720"/>
        <w:jc w:val="both"/>
        <w:rPr>
          <w:rFonts w:ascii="Arial" w:hAnsi="Arial" w:cs="Arial"/>
          <w:color w:val="7B7B7B" w:themeColor="accent3" w:themeShade="BF"/>
          <w:sz w:val="22"/>
          <w:szCs w:val="22"/>
        </w:rPr>
      </w:pPr>
    </w:p>
    <w:p w14:paraId="389CDE4F" w14:textId="77777777" w:rsidR="00F74F6D" w:rsidRDefault="00E32720" w:rsidP="00F74F6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2. Article 3(4) </w:t>
      </w:r>
      <w:r w:rsidR="00F74F6D">
        <w:rPr>
          <w:rFonts w:ascii="Arial" w:hAnsi="Arial" w:cs="Arial"/>
          <w:color w:val="7B7B7B" w:themeColor="accent3" w:themeShade="BF"/>
          <w:sz w:val="22"/>
          <w:szCs w:val="22"/>
        </w:rPr>
        <w:t>also controls</w:t>
      </w:r>
      <w:r w:rsidR="00F74F6D" w:rsidRPr="00F74F6D">
        <w:t xml:space="preserve"> </w:t>
      </w:r>
      <w:r w:rsidR="00F74F6D" w:rsidRPr="00F74F6D">
        <w:rPr>
          <w:rFonts w:ascii="Arial" w:hAnsi="Arial" w:cs="Arial"/>
          <w:color w:val="7B7B7B" w:themeColor="accent3" w:themeShade="BF"/>
          <w:sz w:val="22"/>
          <w:szCs w:val="22"/>
        </w:rPr>
        <w:t>the opening, conduct and closure of the secondary proceeding</w:t>
      </w:r>
      <w:r w:rsidR="00F74F6D">
        <w:rPr>
          <w:rFonts w:ascii="Arial" w:hAnsi="Arial" w:cs="Arial"/>
          <w:color w:val="7B7B7B" w:themeColor="accent3" w:themeShade="BF"/>
          <w:sz w:val="22"/>
          <w:szCs w:val="22"/>
        </w:rPr>
        <w:t xml:space="preserve"> by </w:t>
      </w:r>
    </w:p>
    <w:p w14:paraId="2BF86501" w14:textId="1353BB46" w:rsidR="00F74F6D" w:rsidRDefault="00F74F6D" w:rsidP="00F74F6D">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allowing only one instance wherein </w:t>
      </w:r>
      <w:r w:rsidRPr="00F74F6D">
        <w:rPr>
          <w:rFonts w:ascii="Arial" w:hAnsi="Arial" w:cs="Arial"/>
          <w:color w:val="7B7B7B" w:themeColor="accent3" w:themeShade="BF"/>
          <w:sz w:val="22"/>
          <w:szCs w:val="22"/>
          <w:lang w:val="en-US"/>
        </w:rPr>
        <w:t xml:space="preserve">secondary proceedings may be open prior </w:t>
      </w:r>
      <w:r>
        <w:rPr>
          <w:rFonts w:ascii="Arial" w:hAnsi="Arial" w:cs="Arial"/>
          <w:color w:val="7B7B7B" w:themeColor="accent3" w:themeShade="BF"/>
          <w:sz w:val="22"/>
          <w:szCs w:val="22"/>
        </w:rPr>
        <w:t>to</w:t>
      </w:r>
      <w:r w:rsidRPr="00F74F6D">
        <w:rPr>
          <w:rFonts w:ascii="Arial" w:hAnsi="Arial" w:cs="Arial"/>
          <w:color w:val="7B7B7B" w:themeColor="accent3" w:themeShade="BF"/>
          <w:sz w:val="22"/>
          <w:szCs w:val="22"/>
          <w:lang w:val="en-US"/>
        </w:rPr>
        <w:t xml:space="preserve"> the </w:t>
      </w:r>
    </w:p>
    <w:p w14:paraId="148EB146" w14:textId="1993ED31" w:rsidR="00F74F6D" w:rsidRDefault="00F74F6D" w:rsidP="00F74F6D">
      <w:pPr>
        <w:ind w:left="720" w:hanging="720"/>
        <w:jc w:val="both"/>
        <w:rPr>
          <w:rFonts w:ascii="Arial" w:hAnsi="Arial" w:cs="Arial"/>
          <w:color w:val="7B7B7B" w:themeColor="accent3" w:themeShade="BF"/>
          <w:sz w:val="22"/>
          <w:szCs w:val="22"/>
        </w:rPr>
      </w:pPr>
      <w:r w:rsidRPr="00F74F6D">
        <w:rPr>
          <w:rFonts w:ascii="Arial" w:hAnsi="Arial" w:cs="Arial"/>
          <w:color w:val="7B7B7B" w:themeColor="accent3" w:themeShade="BF"/>
          <w:sz w:val="22"/>
          <w:szCs w:val="22"/>
          <w:lang w:val="en-US"/>
        </w:rPr>
        <w:t>opening of main proceedings</w:t>
      </w:r>
      <w:r>
        <w:rPr>
          <w:rFonts w:ascii="Arial" w:hAnsi="Arial" w:cs="Arial"/>
          <w:color w:val="7B7B7B" w:themeColor="accent3" w:themeShade="BF"/>
          <w:sz w:val="22"/>
          <w:szCs w:val="22"/>
        </w:rPr>
        <w:t xml:space="preserve">. This is </w:t>
      </w:r>
      <w:r w:rsidRPr="00F74F6D">
        <w:rPr>
          <w:rFonts w:ascii="Arial" w:hAnsi="Arial" w:cs="Arial"/>
          <w:color w:val="7B7B7B" w:themeColor="accent3" w:themeShade="BF"/>
          <w:sz w:val="22"/>
          <w:szCs w:val="22"/>
          <w:lang w:val="en-US"/>
        </w:rPr>
        <w:t xml:space="preserve">due to the conditions laid down by the law of the </w:t>
      </w:r>
    </w:p>
    <w:p w14:paraId="065F88CE" w14:textId="77777777" w:rsidR="00F74F6D" w:rsidRDefault="00F74F6D" w:rsidP="00F74F6D">
      <w:pPr>
        <w:ind w:left="720" w:hanging="720"/>
        <w:jc w:val="both"/>
        <w:rPr>
          <w:rFonts w:ascii="Arial" w:hAnsi="Arial" w:cs="Arial"/>
          <w:color w:val="7B7B7B" w:themeColor="accent3" w:themeShade="BF"/>
          <w:sz w:val="22"/>
          <w:szCs w:val="22"/>
        </w:rPr>
      </w:pPr>
      <w:r w:rsidRPr="00F74F6D">
        <w:rPr>
          <w:rFonts w:ascii="Arial" w:hAnsi="Arial" w:cs="Arial"/>
          <w:color w:val="7B7B7B" w:themeColor="accent3" w:themeShade="BF"/>
          <w:sz w:val="22"/>
          <w:szCs w:val="22"/>
          <w:lang w:val="en-US"/>
        </w:rPr>
        <w:t>member state within which the debtors</w:t>
      </w:r>
      <w:r>
        <w:rPr>
          <w:rFonts w:ascii="Arial" w:hAnsi="Arial" w:cs="Arial"/>
          <w:color w:val="7B7B7B" w:themeColor="accent3" w:themeShade="BF"/>
          <w:sz w:val="22"/>
          <w:szCs w:val="22"/>
        </w:rPr>
        <w:t xml:space="preserve"> COMI </w:t>
      </w:r>
      <w:r w:rsidRPr="00F74F6D">
        <w:rPr>
          <w:rFonts w:ascii="Arial" w:hAnsi="Arial" w:cs="Arial"/>
          <w:color w:val="7B7B7B" w:themeColor="accent3" w:themeShade="BF"/>
          <w:sz w:val="22"/>
          <w:szCs w:val="22"/>
          <w:lang w:val="en-US"/>
        </w:rPr>
        <w:t>is situated</w:t>
      </w:r>
      <w:r>
        <w:rPr>
          <w:rFonts w:ascii="Arial" w:hAnsi="Arial" w:cs="Arial"/>
          <w:color w:val="7B7B7B" w:themeColor="accent3" w:themeShade="BF"/>
          <w:sz w:val="22"/>
          <w:szCs w:val="22"/>
        </w:rPr>
        <w:t xml:space="preserve"> causing a prevention of the opening </w:t>
      </w:r>
    </w:p>
    <w:p w14:paraId="296A8396" w14:textId="50DD24D1" w:rsidR="009954B2" w:rsidRPr="00F74F6D" w:rsidRDefault="00F74F6D" w:rsidP="00F74F6D">
      <w:pPr>
        <w:ind w:left="720" w:hanging="720"/>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rPr>
        <w:t>of the main proceeding.</w:t>
      </w:r>
      <w:r w:rsidR="009954B2" w:rsidRPr="008500BD">
        <w:rPr>
          <w:rFonts w:ascii="Arial" w:hAnsi="Arial" w:cs="Arial"/>
          <w:color w:val="7B7B7B" w:themeColor="accent3" w:themeShade="BF"/>
          <w:sz w:val="22"/>
          <w:szCs w:val="22"/>
          <w:lang w:val="en-GB"/>
        </w:rPr>
        <w:t>]</w:t>
      </w: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6ED56D4A" w14:textId="77777777" w:rsidR="007C38FE" w:rsidRDefault="00DF75F8" w:rsidP="001839C6">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D06648">
        <w:rPr>
          <w:rFonts w:ascii="Arial" w:hAnsi="Arial" w:cs="Arial"/>
          <w:color w:val="7B7B7B" w:themeColor="accent3" w:themeShade="BF"/>
          <w:sz w:val="22"/>
          <w:szCs w:val="22"/>
          <w:lang w:val="en-GB"/>
        </w:rPr>
        <w:t>Firstly, in terms of Article 46 of the EIR 2000</w:t>
      </w:r>
      <w:r w:rsidR="00353470">
        <w:rPr>
          <w:rFonts w:ascii="Arial" w:hAnsi="Arial" w:cs="Arial"/>
          <w:color w:val="7B7B7B" w:themeColor="accent3" w:themeShade="BF"/>
          <w:sz w:val="22"/>
          <w:szCs w:val="22"/>
          <w:lang w:val="en-GB"/>
        </w:rPr>
        <w:t xml:space="preserve"> </w:t>
      </w:r>
      <w:r w:rsidR="007C38FE">
        <w:rPr>
          <w:rFonts w:ascii="Arial" w:hAnsi="Arial" w:cs="Arial"/>
          <w:color w:val="7B7B7B" w:themeColor="accent3" w:themeShade="BF"/>
          <w:sz w:val="22"/>
          <w:szCs w:val="22"/>
          <w:lang w:val="en-GB"/>
        </w:rPr>
        <w:t>the</w:t>
      </w:r>
      <w:r w:rsidR="00353470">
        <w:rPr>
          <w:rFonts w:ascii="Arial" w:hAnsi="Arial" w:cs="Arial"/>
          <w:color w:val="7B7B7B" w:themeColor="accent3" w:themeShade="BF"/>
          <w:sz w:val="22"/>
          <w:szCs w:val="22"/>
          <w:lang w:val="en-GB"/>
        </w:rPr>
        <w:t xml:space="preserve"> European communities were obliged to “</w:t>
      </w:r>
      <w:r w:rsidR="00353470" w:rsidRPr="00353470">
        <w:rPr>
          <w:rFonts w:ascii="Arial" w:hAnsi="Arial" w:cs="Arial"/>
          <w:color w:val="7B7B7B" w:themeColor="accent3" w:themeShade="BF"/>
          <w:sz w:val="22"/>
          <w:szCs w:val="22"/>
          <w:lang w:val="en-GB"/>
        </w:rPr>
        <w:t>No later than 1 June 2012, and every five years thereafter, th</w:t>
      </w:r>
      <w:r w:rsidR="00353470">
        <w:rPr>
          <w:rFonts w:ascii="Arial" w:hAnsi="Arial" w:cs="Arial"/>
          <w:color w:val="7B7B7B" w:themeColor="accent3" w:themeShade="BF"/>
          <w:sz w:val="22"/>
          <w:szCs w:val="22"/>
          <w:lang w:val="en-GB"/>
        </w:rPr>
        <w:t xml:space="preserve">e </w:t>
      </w:r>
      <w:r w:rsidR="00353470" w:rsidRPr="00353470">
        <w:rPr>
          <w:rFonts w:ascii="Arial" w:hAnsi="Arial" w:cs="Arial"/>
          <w:color w:val="7B7B7B" w:themeColor="accent3" w:themeShade="BF"/>
          <w:sz w:val="22"/>
          <w:szCs w:val="22"/>
          <w:lang w:val="en-GB"/>
        </w:rPr>
        <w:t>Commission shall present to the European Parliament, the</w:t>
      </w:r>
      <w:r w:rsidR="00353470">
        <w:rPr>
          <w:rFonts w:ascii="Arial" w:hAnsi="Arial" w:cs="Arial"/>
          <w:color w:val="7B7B7B" w:themeColor="accent3" w:themeShade="BF"/>
          <w:sz w:val="22"/>
          <w:szCs w:val="22"/>
          <w:lang w:val="en-GB"/>
        </w:rPr>
        <w:t xml:space="preserve"> </w:t>
      </w:r>
      <w:r w:rsidR="00353470" w:rsidRPr="00353470">
        <w:rPr>
          <w:rFonts w:ascii="Arial" w:hAnsi="Arial" w:cs="Arial"/>
          <w:color w:val="7B7B7B" w:themeColor="accent3" w:themeShade="BF"/>
          <w:sz w:val="22"/>
          <w:szCs w:val="22"/>
          <w:lang w:val="en-GB"/>
        </w:rPr>
        <w:t>Council and the Economic and Social Committee a report</w:t>
      </w:r>
      <w:r w:rsidR="00353470">
        <w:rPr>
          <w:rFonts w:ascii="Arial" w:hAnsi="Arial" w:cs="Arial"/>
          <w:color w:val="7B7B7B" w:themeColor="accent3" w:themeShade="BF"/>
          <w:sz w:val="22"/>
          <w:szCs w:val="22"/>
          <w:lang w:val="en-GB"/>
        </w:rPr>
        <w:t xml:space="preserve"> </w:t>
      </w:r>
      <w:r w:rsidR="00353470" w:rsidRPr="00353470">
        <w:rPr>
          <w:rFonts w:ascii="Arial" w:hAnsi="Arial" w:cs="Arial"/>
          <w:color w:val="7B7B7B" w:themeColor="accent3" w:themeShade="BF"/>
          <w:sz w:val="22"/>
          <w:szCs w:val="22"/>
          <w:lang w:val="en-GB"/>
        </w:rPr>
        <w:t xml:space="preserve">on the </w:t>
      </w:r>
      <w:r w:rsidR="00353470" w:rsidRPr="00353470">
        <w:rPr>
          <w:rFonts w:ascii="Arial" w:hAnsi="Arial" w:cs="Arial"/>
          <w:color w:val="7B7B7B" w:themeColor="accent3" w:themeShade="BF"/>
          <w:sz w:val="22"/>
          <w:szCs w:val="22"/>
          <w:lang w:val="en-GB"/>
        </w:rPr>
        <w:lastRenderedPageBreak/>
        <w:t>application of this Regulation. The report shall be</w:t>
      </w:r>
      <w:r w:rsidR="00353470">
        <w:rPr>
          <w:rFonts w:ascii="Arial" w:hAnsi="Arial" w:cs="Arial"/>
          <w:color w:val="7B7B7B" w:themeColor="accent3" w:themeShade="BF"/>
          <w:sz w:val="22"/>
          <w:szCs w:val="22"/>
          <w:lang w:val="en-GB"/>
        </w:rPr>
        <w:t xml:space="preserve"> </w:t>
      </w:r>
      <w:r w:rsidR="00353470" w:rsidRPr="00353470">
        <w:rPr>
          <w:rFonts w:ascii="Arial" w:hAnsi="Arial" w:cs="Arial"/>
          <w:color w:val="7B7B7B" w:themeColor="accent3" w:themeShade="BF"/>
          <w:sz w:val="22"/>
          <w:szCs w:val="22"/>
          <w:lang w:val="en-GB"/>
        </w:rPr>
        <w:t>accompanied if need be by a proposal for adaptation of this</w:t>
      </w:r>
      <w:r w:rsidR="00353470">
        <w:rPr>
          <w:rFonts w:ascii="Arial" w:hAnsi="Arial" w:cs="Arial"/>
          <w:color w:val="7B7B7B" w:themeColor="accent3" w:themeShade="BF"/>
          <w:sz w:val="22"/>
          <w:szCs w:val="22"/>
          <w:lang w:val="en-GB"/>
        </w:rPr>
        <w:t xml:space="preserve"> </w:t>
      </w:r>
      <w:r w:rsidR="00353470" w:rsidRPr="00353470">
        <w:rPr>
          <w:rFonts w:ascii="Arial" w:hAnsi="Arial" w:cs="Arial"/>
          <w:color w:val="7B7B7B" w:themeColor="accent3" w:themeShade="BF"/>
          <w:sz w:val="22"/>
          <w:szCs w:val="22"/>
          <w:lang w:val="en-GB"/>
        </w:rPr>
        <w:t>Regulation</w:t>
      </w:r>
      <w:r w:rsidR="00353470">
        <w:rPr>
          <w:rFonts w:ascii="Arial" w:hAnsi="Arial" w:cs="Arial"/>
          <w:color w:val="7B7B7B" w:themeColor="accent3" w:themeShade="BF"/>
          <w:sz w:val="22"/>
          <w:szCs w:val="22"/>
          <w:lang w:val="en-GB"/>
        </w:rPr>
        <w:t>”</w:t>
      </w:r>
      <w:r w:rsidR="00353470">
        <w:rPr>
          <w:rStyle w:val="FootnoteReference"/>
          <w:rFonts w:ascii="Arial" w:hAnsi="Arial" w:cs="Arial"/>
          <w:color w:val="7B7B7B" w:themeColor="accent3" w:themeShade="BF"/>
          <w:sz w:val="22"/>
          <w:szCs w:val="22"/>
          <w:lang w:val="en-GB"/>
        </w:rPr>
        <w:footnoteReference w:id="1"/>
      </w:r>
      <w:r w:rsidR="00353470" w:rsidRPr="00353470">
        <w:rPr>
          <w:rFonts w:ascii="Arial" w:hAnsi="Arial" w:cs="Arial"/>
          <w:color w:val="7B7B7B" w:themeColor="accent3" w:themeShade="BF"/>
          <w:sz w:val="22"/>
          <w:szCs w:val="22"/>
          <w:lang w:val="en-GB"/>
        </w:rPr>
        <w:t xml:space="preserve">. </w:t>
      </w:r>
    </w:p>
    <w:p w14:paraId="70F565C6" w14:textId="77777777" w:rsidR="007C38FE" w:rsidRDefault="007C38FE" w:rsidP="001839C6">
      <w:pPr>
        <w:jc w:val="both"/>
        <w:rPr>
          <w:rFonts w:ascii="Arial" w:hAnsi="Arial" w:cs="Arial"/>
          <w:color w:val="7B7B7B" w:themeColor="accent3" w:themeShade="BF"/>
          <w:sz w:val="22"/>
          <w:szCs w:val="22"/>
          <w:lang w:val="en-GB"/>
        </w:rPr>
      </w:pPr>
    </w:p>
    <w:p w14:paraId="4A637290" w14:textId="31189E47" w:rsidR="00544127" w:rsidRDefault="00481292" w:rsidP="001839C6">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Although the EIR 2000 </w:t>
      </w:r>
      <w:r w:rsidRPr="00481292">
        <w:rPr>
          <w:rFonts w:ascii="Arial" w:hAnsi="Arial" w:cs="Arial"/>
          <w:color w:val="7B7B7B" w:themeColor="accent3" w:themeShade="BF"/>
          <w:sz w:val="22"/>
          <w:szCs w:val="22"/>
          <w:lang w:val="en-US"/>
        </w:rPr>
        <w:t>was a great and successful starting point for</w:t>
      </w:r>
      <w:r w:rsidR="00B003AC">
        <w:rPr>
          <w:rFonts w:ascii="Arial" w:hAnsi="Arial" w:cs="Arial"/>
          <w:color w:val="7B7B7B" w:themeColor="accent3" w:themeShade="BF"/>
          <w:sz w:val="22"/>
          <w:szCs w:val="22"/>
          <w:lang w:val="en-US"/>
        </w:rPr>
        <w:t xml:space="preserve"> cross border</w:t>
      </w:r>
      <w:r w:rsidRPr="00481292">
        <w:rPr>
          <w:rFonts w:ascii="Arial" w:hAnsi="Arial" w:cs="Arial"/>
          <w:color w:val="7B7B7B" w:themeColor="accent3" w:themeShade="BF"/>
          <w:sz w:val="22"/>
          <w:szCs w:val="22"/>
          <w:lang w:val="en-US"/>
        </w:rPr>
        <w:t xml:space="preserve"> European insolvency </w:t>
      </w:r>
      <w:r w:rsidR="00EA0651">
        <w:rPr>
          <w:rFonts w:ascii="Arial" w:hAnsi="Arial" w:cs="Arial"/>
          <w:color w:val="7B7B7B" w:themeColor="accent3" w:themeShade="BF"/>
          <w:sz w:val="22"/>
          <w:szCs w:val="22"/>
        </w:rPr>
        <w:t>R</w:t>
      </w:r>
      <w:r w:rsidRPr="00481292">
        <w:rPr>
          <w:rFonts w:ascii="Arial" w:hAnsi="Arial" w:cs="Arial"/>
          <w:color w:val="7B7B7B" w:themeColor="accent3" w:themeShade="BF"/>
          <w:sz w:val="22"/>
          <w:szCs w:val="22"/>
          <w:lang w:val="en-US"/>
        </w:rPr>
        <w:t xml:space="preserve">egulation, it was clear that adaptations needed to be made to broaden the course and scope of the </w:t>
      </w:r>
      <w:r>
        <w:rPr>
          <w:rFonts w:ascii="Arial" w:hAnsi="Arial" w:cs="Arial"/>
          <w:color w:val="7B7B7B" w:themeColor="accent3" w:themeShade="BF"/>
          <w:sz w:val="22"/>
          <w:szCs w:val="22"/>
        </w:rPr>
        <w:t>R</w:t>
      </w:r>
      <w:r w:rsidRPr="00481292">
        <w:rPr>
          <w:rFonts w:ascii="Arial" w:hAnsi="Arial" w:cs="Arial"/>
          <w:color w:val="7B7B7B" w:themeColor="accent3" w:themeShade="BF"/>
          <w:sz w:val="22"/>
          <w:szCs w:val="22"/>
          <w:lang w:val="en-US"/>
        </w:rPr>
        <w:t>egulation.</w:t>
      </w:r>
      <w:r>
        <w:rPr>
          <w:rFonts w:ascii="Arial" w:hAnsi="Arial" w:cs="Arial"/>
          <w:color w:val="7B7B7B" w:themeColor="accent3" w:themeShade="BF"/>
          <w:sz w:val="22"/>
          <w:szCs w:val="22"/>
        </w:rPr>
        <w:t xml:space="preserve"> </w:t>
      </w:r>
      <w:r w:rsidR="001839C6">
        <w:rPr>
          <w:rFonts w:ascii="Arial" w:hAnsi="Arial" w:cs="Arial"/>
          <w:color w:val="7B7B7B" w:themeColor="accent3" w:themeShade="BF"/>
          <w:sz w:val="22"/>
          <w:szCs w:val="22"/>
        </w:rPr>
        <w:t>“</w:t>
      </w:r>
      <w:r w:rsidR="001839C6" w:rsidRPr="001839C6">
        <w:rPr>
          <w:rFonts w:ascii="Arial" w:hAnsi="Arial" w:cs="Arial"/>
          <w:color w:val="7B7B7B" w:themeColor="accent3" w:themeShade="BF"/>
          <w:sz w:val="22"/>
          <w:szCs w:val="22"/>
        </w:rPr>
        <w:t>Essentially, problems have been identified in relation to the scope of the</w:t>
      </w:r>
      <w:r w:rsidR="00CB7522">
        <w:rPr>
          <w:rFonts w:ascii="Arial" w:hAnsi="Arial" w:cs="Arial"/>
          <w:color w:val="7B7B7B" w:themeColor="accent3" w:themeShade="BF"/>
          <w:sz w:val="22"/>
          <w:szCs w:val="22"/>
        </w:rPr>
        <w:t xml:space="preserve"> </w:t>
      </w:r>
      <w:r w:rsidR="001839C6" w:rsidRPr="001839C6">
        <w:rPr>
          <w:rFonts w:ascii="Arial" w:hAnsi="Arial" w:cs="Arial"/>
          <w:color w:val="7B7B7B" w:themeColor="accent3" w:themeShade="BF"/>
          <w:sz w:val="22"/>
          <w:szCs w:val="22"/>
        </w:rPr>
        <w:t>Regulation, the rules on jurisdiction, the relation between main and secondary proceedings,</w:t>
      </w:r>
      <w:r w:rsidR="00CB7522">
        <w:rPr>
          <w:rFonts w:ascii="Arial" w:hAnsi="Arial" w:cs="Arial"/>
          <w:color w:val="7B7B7B" w:themeColor="accent3" w:themeShade="BF"/>
          <w:sz w:val="22"/>
          <w:szCs w:val="22"/>
        </w:rPr>
        <w:t xml:space="preserve"> </w:t>
      </w:r>
      <w:r w:rsidR="001839C6" w:rsidRPr="001839C6">
        <w:rPr>
          <w:rFonts w:ascii="Arial" w:hAnsi="Arial" w:cs="Arial"/>
          <w:color w:val="7B7B7B" w:themeColor="accent3" w:themeShade="BF"/>
          <w:sz w:val="22"/>
          <w:szCs w:val="22"/>
        </w:rPr>
        <w:t>the publicity of insolvency-related decisions and the lodging of claims</w:t>
      </w:r>
      <w:r w:rsidR="001839C6">
        <w:rPr>
          <w:rFonts w:ascii="Arial" w:hAnsi="Arial" w:cs="Arial"/>
          <w:color w:val="7B7B7B" w:themeColor="accent3" w:themeShade="BF"/>
          <w:sz w:val="22"/>
          <w:szCs w:val="22"/>
        </w:rPr>
        <w:t>.”</w:t>
      </w:r>
      <w:r w:rsidR="001839C6">
        <w:rPr>
          <w:rStyle w:val="FootnoteReference"/>
          <w:rFonts w:ascii="Arial" w:hAnsi="Arial" w:cs="Arial"/>
          <w:color w:val="7B7B7B" w:themeColor="accent3" w:themeShade="BF"/>
          <w:sz w:val="22"/>
          <w:szCs w:val="22"/>
        </w:rPr>
        <w:footnoteReference w:id="2"/>
      </w:r>
      <w:r w:rsidR="001839C6">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EIR </w:t>
      </w:r>
      <w:r w:rsidR="00EA0651">
        <w:rPr>
          <w:rFonts w:ascii="Arial" w:hAnsi="Arial" w:cs="Arial"/>
          <w:color w:val="7B7B7B" w:themeColor="accent3" w:themeShade="BF"/>
          <w:sz w:val="22"/>
          <w:szCs w:val="22"/>
        </w:rPr>
        <w:t>2000 did not recogni</w:t>
      </w:r>
      <w:r w:rsidR="00F26E43">
        <w:rPr>
          <w:rFonts w:ascii="Arial" w:hAnsi="Arial" w:cs="Arial"/>
          <w:color w:val="7B7B7B" w:themeColor="accent3" w:themeShade="BF"/>
          <w:sz w:val="22"/>
          <w:szCs w:val="22"/>
        </w:rPr>
        <w:t>s</w:t>
      </w:r>
      <w:r w:rsidR="00EA0651">
        <w:rPr>
          <w:rFonts w:ascii="Arial" w:hAnsi="Arial" w:cs="Arial"/>
          <w:color w:val="7B7B7B" w:themeColor="accent3" w:themeShade="BF"/>
          <w:sz w:val="22"/>
          <w:szCs w:val="22"/>
        </w:rPr>
        <w:t>e restructuring procedures</w:t>
      </w:r>
      <w:r w:rsidR="007C38FE">
        <w:rPr>
          <w:rFonts w:ascii="Arial" w:hAnsi="Arial" w:cs="Arial"/>
          <w:color w:val="7B7B7B" w:themeColor="accent3" w:themeShade="BF"/>
          <w:sz w:val="22"/>
          <w:szCs w:val="22"/>
        </w:rPr>
        <w:t xml:space="preserve"> or pre-insolvency or hybrid proceedings,</w:t>
      </w:r>
      <w:r w:rsidR="001839C6">
        <w:rPr>
          <w:rFonts w:ascii="Arial" w:hAnsi="Arial" w:cs="Arial"/>
          <w:color w:val="7B7B7B" w:themeColor="accent3" w:themeShade="BF"/>
          <w:sz w:val="22"/>
          <w:szCs w:val="22"/>
        </w:rPr>
        <w:t xml:space="preserve"> wh</w:t>
      </w:r>
      <w:r w:rsidR="00F26E43">
        <w:rPr>
          <w:rFonts w:ascii="Arial" w:hAnsi="Arial" w:cs="Arial"/>
          <w:color w:val="7B7B7B" w:themeColor="accent3" w:themeShade="BF"/>
          <w:sz w:val="22"/>
          <w:szCs w:val="22"/>
        </w:rPr>
        <w:t xml:space="preserve">ich was </w:t>
      </w:r>
      <w:r w:rsidR="00CB7522">
        <w:rPr>
          <w:rFonts w:ascii="Arial" w:hAnsi="Arial" w:cs="Arial"/>
          <w:color w:val="7B7B7B" w:themeColor="accent3" w:themeShade="BF"/>
          <w:sz w:val="22"/>
          <w:szCs w:val="22"/>
        </w:rPr>
        <w:t>becoming a very popular alternative to liquidation</w:t>
      </w:r>
      <w:r w:rsidR="007C38FE">
        <w:rPr>
          <w:rFonts w:ascii="Arial" w:hAnsi="Arial" w:cs="Arial"/>
          <w:color w:val="7B7B7B" w:themeColor="accent3" w:themeShade="BF"/>
          <w:sz w:val="22"/>
          <w:szCs w:val="22"/>
        </w:rPr>
        <w:t xml:space="preserve"> and recognised by many European National laws</w:t>
      </w:r>
      <w:r w:rsidR="00CB7522">
        <w:rPr>
          <w:rFonts w:ascii="Arial" w:hAnsi="Arial" w:cs="Arial"/>
          <w:color w:val="7B7B7B" w:themeColor="accent3" w:themeShade="BF"/>
          <w:sz w:val="22"/>
          <w:szCs w:val="22"/>
        </w:rPr>
        <w:t>.</w:t>
      </w:r>
    </w:p>
    <w:p w14:paraId="6B4B9807" w14:textId="0AACB2CC" w:rsidR="007C38FE" w:rsidRDefault="007C38FE" w:rsidP="001839C6">
      <w:pPr>
        <w:jc w:val="both"/>
        <w:rPr>
          <w:rFonts w:ascii="Arial" w:hAnsi="Arial" w:cs="Arial"/>
          <w:color w:val="7B7B7B" w:themeColor="accent3" w:themeShade="BF"/>
          <w:sz w:val="22"/>
          <w:szCs w:val="22"/>
        </w:rPr>
      </w:pPr>
    </w:p>
    <w:p w14:paraId="58D2114F" w14:textId="17077740" w:rsidR="007C38FE" w:rsidRDefault="00B80551" w:rsidP="001839C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Furthermore,</w:t>
      </w:r>
      <w:r w:rsidR="007C38FE">
        <w:rPr>
          <w:rFonts w:ascii="Arial" w:hAnsi="Arial" w:cs="Arial"/>
          <w:color w:val="7B7B7B" w:themeColor="accent3" w:themeShade="BF"/>
          <w:sz w:val="22"/>
          <w:szCs w:val="22"/>
        </w:rPr>
        <w:t xml:space="preserve"> the Commission found discrepancies in relation to the proceedings listed in the Annexes compared to the conditions stipulated in Article 1(1) of the EIR 2000</w:t>
      </w:r>
      <w:r w:rsidR="00E30A6F">
        <w:rPr>
          <w:rFonts w:ascii="Arial" w:hAnsi="Arial" w:cs="Arial"/>
          <w:color w:val="7B7B7B" w:themeColor="accent3" w:themeShade="BF"/>
          <w:sz w:val="22"/>
          <w:szCs w:val="22"/>
        </w:rPr>
        <w:t xml:space="preserve"> which needed amending</w:t>
      </w:r>
      <w:r w:rsidR="007C38FE">
        <w:rPr>
          <w:rFonts w:ascii="Arial" w:hAnsi="Arial" w:cs="Arial"/>
          <w:color w:val="7B7B7B" w:themeColor="accent3" w:themeShade="BF"/>
          <w:sz w:val="22"/>
          <w:szCs w:val="22"/>
        </w:rPr>
        <w:t>.</w:t>
      </w:r>
    </w:p>
    <w:p w14:paraId="1ED2B306" w14:textId="77777777" w:rsidR="007C38FE" w:rsidRDefault="007C38FE" w:rsidP="001839C6">
      <w:pPr>
        <w:jc w:val="both"/>
        <w:rPr>
          <w:rFonts w:ascii="Arial" w:hAnsi="Arial" w:cs="Arial"/>
          <w:color w:val="7B7B7B" w:themeColor="accent3" w:themeShade="BF"/>
          <w:sz w:val="22"/>
          <w:szCs w:val="22"/>
        </w:rPr>
      </w:pPr>
    </w:p>
    <w:p w14:paraId="7ACE40C0" w14:textId="0F6F2659" w:rsidR="007C38FE" w:rsidRPr="007C38FE" w:rsidRDefault="007C38FE" w:rsidP="007C38FE">
      <w:pPr>
        <w:jc w:val="both"/>
        <w:rPr>
          <w:rFonts w:ascii="Arial" w:hAnsi="Arial" w:cs="Arial"/>
          <w:color w:val="7B7B7B" w:themeColor="accent3" w:themeShade="BF"/>
          <w:sz w:val="22"/>
          <w:szCs w:val="22"/>
        </w:rPr>
      </w:pPr>
      <w:r w:rsidRPr="007C38FE">
        <w:rPr>
          <w:rFonts w:ascii="Arial" w:hAnsi="Arial" w:cs="Arial"/>
          <w:color w:val="7B7B7B" w:themeColor="accent3" w:themeShade="BF"/>
          <w:sz w:val="22"/>
          <w:szCs w:val="22"/>
        </w:rPr>
        <w:t>A third problem identified</w:t>
      </w:r>
      <w:r>
        <w:rPr>
          <w:rFonts w:ascii="Arial" w:hAnsi="Arial" w:cs="Arial"/>
          <w:color w:val="7B7B7B" w:themeColor="accent3" w:themeShade="BF"/>
          <w:sz w:val="22"/>
          <w:szCs w:val="22"/>
        </w:rPr>
        <w:t xml:space="preserve"> by the Commission related to instances</w:t>
      </w:r>
      <w:r w:rsidRPr="007C38FE">
        <w:rPr>
          <w:rFonts w:ascii="Arial" w:hAnsi="Arial" w:cs="Arial"/>
          <w:color w:val="7B7B7B" w:themeColor="accent3" w:themeShade="BF"/>
          <w:sz w:val="22"/>
          <w:szCs w:val="22"/>
        </w:rPr>
        <w:t xml:space="preserve"> where national procedures listed in</w:t>
      </w:r>
      <w:r>
        <w:rPr>
          <w:rFonts w:ascii="Arial" w:hAnsi="Arial" w:cs="Arial"/>
          <w:color w:val="7B7B7B" w:themeColor="accent3" w:themeShade="BF"/>
          <w:sz w:val="22"/>
          <w:szCs w:val="22"/>
        </w:rPr>
        <w:t xml:space="preserve"> </w:t>
      </w:r>
      <w:r w:rsidRPr="007C38FE">
        <w:rPr>
          <w:rFonts w:ascii="Arial" w:hAnsi="Arial" w:cs="Arial"/>
          <w:color w:val="7B7B7B" w:themeColor="accent3" w:themeShade="BF"/>
          <w:sz w:val="22"/>
          <w:szCs w:val="22"/>
        </w:rPr>
        <w:t xml:space="preserve">the Annexes </w:t>
      </w:r>
      <w:r>
        <w:rPr>
          <w:rFonts w:ascii="Arial" w:hAnsi="Arial" w:cs="Arial"/>
          <w:color w:val="7B7B7B" w:themeColor="accent3" w:themeShade="BF"/>
          <w:sz w:val="22"/>
          <w:szCs w:val="22"/>
        </w:rPr>
        <w:t>were</w:t>
      </w:r>
      <w:r w:rsidRPr="007C38FE">
        <w:rPr>
          <w:rFonts w:ascii="Arial" w:hAnsi="Arial" w:cs="Arial"/>
          <w:color w:val="7B7B7B" w:themeColor="accent3" w:themeShade="BF"/>
          <w:sz w:val="22"/>
          <w:szCs w:val="22"/>
        </w:rPr>
        <w:t xml:space="preserve"> changed by </w:t>
      </w:r>
      <w:r>
        <w:rPr>
          <w:rFonts w:ascii="Arial" w:hAnsi="Arial" w:cs="Arial"/>
          <w:color w:val="7B7B7B" w:themeColor="accent3" w:themeShade="BF"/>
          <w:sz w:val="22"/>
          <w:szCs w:val="22"/>
        </w:rPr>
        <w:t>states</w:t>
      </w:r>
      <w:r w:rsidRPr="007C38FE">
        <w:rPr>
          <w:rFonts w:ascii="Arial" w:hAnsi="Arial" w:cs="Arial"/>
          <w:color w:val="7B7B7B" w:themeColor="accent3" w:themeShade="BF"/>
          <w:sz w:val="22"/>
          <w:szCs w:val="22"/>
        </w:rPr>
        <w:t xml:space="preserve"> without any notification of the </w:t>
      </w:r>
      <w:r>
        <w:rPr>
          <w:rFonts w:ascii="Arial" w:hAnsi="Arial" w:cs="Arial"/>
          <w:color w:val="7B7B7B" w:themeColor="accent3" w:themeShade="BF"/>
          <w:sz w:val="22"/>
          <w:szCs w:val="22"/>
        </w:rPr>
        <w:t>amendments</w:t>
      </w:r>
    </w:p>
    <w:p w14:paraId="1E53F342" w14:textId="079393D4" w:rsidR="007C38FE" w:rsidRDefault="007C38FE" w:rsidP="007C38FE">
      <w:pPr>
        <w:jc w:val="both"/>
        <w:rPr>
          <w:rFonts w:ascii="Arial" w:hAnsi="Arial" w:cs="Arial"/>
          <w:color w:val="7B7B7B" w:themeColor="accent3" w:themeShade="BF"/>
          <w:sz w:val="22"/>
          <w:szCs w:val="22"/>
        </w:rPr>
      </w:pPr>
      <w:r w:rsidRPr="007C38FE">
        <w:rPr>
          <w:rFonts w:ascii="Arial" w:hAnsi="Arial" w:cs="Arial"/>
          <w:color w:val="7B7B7B" w:themeColor="accent3" w:themeShade="BF"/>
          <w:sz w:val="22"/>
          <w:szCs w:val="22"/>
        </w:rPr>
        <w:t>to the Commission</w:t>
      </w:r>
      <w:r>
        <w:rPr>
          <w:rFonts w:ascii="Arial" w:hAnsi="Arial" w:cs="Arial"/>
          <w:color w:val="7B7B7B" w:themeColor="accent3" w:themeShade="BF"/>
          <w:sz w:val="22"/>
          <w:szCs w:val="22"/>
        </w:rPr>
        <w:t xml:space="preserve"> therefore creating uncertainty as to which procedures was correct and corresponded with Article 1(1).</w:t>
      </w:r>
    </w:p>
    <w:p w14:paraId="439ADCA5" w14:textId="270F7B5D" w:rsidR="00DF169C" w:rsidRDefault="00DF169C" w:rsidP="007C38FE">
      <w:pPr>
        <w:jc w:val="both"/>
        <w:rPr>
          <w:rFonts w:ascii="Arial" w:hAnsi="Arial" w:cs="Arial"/>
          <w:color w:val="7B7B7B" w:themeColor="accent3" w:themeShade="BF"/>
          <w:sz w:val="22"/>
          <w:szCs w:val="22"/>
        </w:rPr>
      </w:pPr>
    </w:p>
    <w:p w14:paraId="17FC54F6" w14:textId="4173050B" w:rsidR="00DF169C" w:rsidRDefault="00E30A6F" w:rsidP="007C38F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Commission also sought to broaden and re-enforce the definition and determination of the </w:t>
      </w:r>
      <w:r w:rsidR="00B80551">
        <w:rPr>
          <w:rFonts w:ascii="Arial" w:hAnsi="Arial" w:cs="Arial"/>
          <w:color w:val="7B7B7B" w:themeColor="accent3" w:themeShade="BF"/>
          <w:sz w:val="22"/>
          <w:szCs w:val="22"/>
        </w:rPr>
        <w:t>debtor’s</w:t>
      </w:r>
      <w:r>
        <w:rPr>
          <w:rFonts w:ascii="Arial" w:hAnsi="Arial" w:cs="Arial"/>
          <w:color w:val="7B7B7B" w:themeColor="accent3" w:themeShade="BF"/>
          <w:sz w:val="22"/>
          <w:szCs w:val="22"/>
        </w:rPr>
        <w:t xml:space="preserve"> centre of main interests (COMI) and a public consultation study approved the use of the COMI to locate the main proceedings. The </w:t>
      </w:r>
      <w:r w:rsidR="00BC2C41">
        <w:rPr>
          <w:rFonts w:ascii="Arial" w:hAnsi="Arial" w:cs="Arial"/>
          <w:color w:val="7B7B7B" w:themeColor="accent3" w:themeShade="BF"/>
          <w:sz w:val="22"/>
          <w:szCs w:val="22"/>
        </w:rPr>
        <w:t>Commission</w:t>
      </w:r>
      <w:r>
        <w:rPr>
          <w:rFonts w:ascii="Arial" w:hAnsi="Arial" w:cs="Arial"/>
          <w:color w:val="7B7B7B" w:themeColor="accent3" w:themeShade="BF"/>
          <w:sz w:val="22"/>
          <w:szCs w:val="22"/>
        </w:rPr>
        <w:t xml:space="preserve"> also sought to close the gap in the wording of Article 3(1) which did not speak about the COMI of individuals.</w:t>
      </w:r>
    </w:p>
    <w:p w14:paraId="7FA1E22D" w14:textId="006EC3F3" w:rsidR="00B003AC" w:rsidRDefault="00B003AC" w:rsidP="007C38FE">
      <w:pPr>
        <w:jc w:val="both"/>
        <w:rPr>
          <w:rFonts w:ascii="Arial" w:hAnsi="Arial" w:cs="Arial"/>
          <w:color w:val="7B7B7B" w:themeColor="accent3" w:themeShade="BF"/>
          <w:sz w:val="22"/>
          <w:szCs w:val="22"/>
        </w:rPr>
      </w:pPr>
    </w:p>
    <w:p w14:paraId="345FEE76" w14:textId="1D6440BA" w:rsidR="00B003AC" w:rsidRDefault="00B003AC" w:rsidP="007C38F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Finally, the Commission found that there was much more needed in terms of the co-ordination between main and secondary proceedings. There was an absence of specific rules for the opening of secondary proceedings which needed to be addressed as well as the fact that secondary proceedings were limited to winding up procedures which excluded the option of restructuring which was seen as a large impediment to secondary proceedings. </w:t>
      </w:r>
    </w:p>
    <w:p w14:paraId="244F4EA0" w14:textId="118811C4" w:rsidR="00E30A6F" w:rsidRDefault="00E30A6F" w:rsidP="007C38FE">
      <w:pPr>
        <w:jc w:val="both"/>
        <w:rPr>
          <w:rFonts w:ascii="Arial" w:hAnsi="Arial" w:cs="Arial"/>
          <w:color w:val="7B7B7B" w:themeColor="accent3" w:themeShade="BF"/>
          <w:sz w:val="22"/>
          <w:szCs w:val="22"/>
        </w:rPr>
      </w:pPr>
    </w:p>
    <w:p w14:paraId="2C1E442D" w14:textId="77777777" w:rsidR="00E30A6F" w:rsidRPr="008500BD" w:rsidRDefault="00E30A6F" w:rsidP="007C38FE">
      <w:pPr>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03436DC0" w14:textId="77777777" w:rsidR="00BF79D7" w:rsidRDefault="00DF75F8"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BF79D7" w:rsidRPr="00BF79D7">
        <w:rPr>
          <w:rFonts w:ascii="Arial" w:hAnsi="Arial" w:cs="Arial"/>
          <w:color w:val="7B7B7B" w:themeColor="accent3" w:themeShade="BF"/>
          <w:sz w:val="22"/>
          <w:szCs w:val="22"/>
          <w:lang w:val="en-US"/>
        </w:rPr>
        <w:t xml:space="preserve">the first major improvement of the </w:t>
      </w:r>
      <w:r w:rsidR="00BF79D7">
        <w:rPr>
          <w:rFonts w:ascii="Arial" w:hAnsi="Arial" w:cs="Arial"/>
          <w:color w:val="7B7B7B" w:themeColor="accent3" w:themeShade="BF"/>
          <w:sz w:val="22"/>
          <w:szCs w:val="22"/>
          <w:lang w:val="en-US"/>
        </w:rPr>
        <w:t xml:space="preserve">EIR </w:t>
      </w:r>
      <w:r w:rsidR="00BF79D7" w:rsidRPr="00BF79D7">
        <w:rPr>
          <w:rFonts w:ascii="Arial" w:hAnsi="Arial" w:cs="Arial"/>
          <w:color w:val="7B7B7B" w:themeColor="accent3" w:themeShade="BF"/>
          <w:sz w:val="22"/>
          <w:szCs w:val="22"/>
          <w:lang w:val="en-US"/>
        </w:rPr>
        <w:t>recast was found in the definition of article 1</w:t>
      </w:r>
      <w:r w:rsidR="00BF79D7">
        <w:rPr>
          <w:rFonts w:ascii="Arial" w:hAnsi="Arial" w:cs="Arial"/>
          <w:color w:val="7B7B7B" w:themeColor="accent3" w:themeShade="BF"/>
          <w:sz w:val="22"/>
          <w:szCs w:val="22"/>
          <w:lang w:val="en-US"/>
        </w:rPr>
        <w:t xml:space="preserve"> </w:t>
      </w:r>
      <w:r w:rsidR="00BF79D7" w:rsidRPr="00BF79D7">
        <w:rPr>
          <w:rFonts w:ascii="Arial" w:hAnsi="Arial" w:cs="Arial"/>
          <w:color w:val="7B7B7B" w:themeColor="accent3" w:themeShade="BF"/>
          <w:sz w:val="22"/>
          <w:szCs w:val="22"/>
          <w:lang w:val="en-US"/>
        </w:rPr>
        <w:t xml:space="preserve">which extended </w:t>
      </w:r>
      <w:r w:rsidR="00BF79D7">
        <w:rPr>
          <w:rFonts w:ascii="Arial" w:hAnsi="Arial" w:cs="Arial"/>
          <w:color w:val="7B7B7B" w:themeColor="accent3" w:themeShade="BF"/>
          <w:sz w:val="22"/>
          <w:szCs w:val="22"/>
          <w:lang w:val="en-US"/>
        </w:rPr>
        <w:t xml:space="preserve">the scope </w:t>
      </w:r>
      <w:r w:rsidR="00BF79D7" w:rsidRPr="00BF79D7">
        <w:rPr>
          <w:rFonts w:ascii="Arial" w:hAnsi="Arial" w:cs="Arial"/>
          <w:color w:val="7B7B7B" w:themeColor="accent3" w:themeShade="BF"/>
          <w:sz w:val="22"/>
          <w:szCs w:val="22"/>
          <w:lang w:val="en-US"/>
        </w:rPr>
        <w:t>to not only liquidation procedures but also introduced</w:t>
      </w:r>
      <w:r w:rsidR="00BF79D7">
        <w:rPr>
          <w:rFonts w:ascii="Arial" w:hAnsi="Arial" w:cs="Arial"/>
          <w:color w:val="7B7B7B" w:themeColor="accent3" w:themeShade="BF"/>
          <w:sz w:val="22"/>
          <w:szCs w:val="22"/>
          <w:lang w:val="en-US"/>
        </w:rPr>
        <w:t xml:space="preserve"> and</w:t>
      </w:r>
      <w:r w:rsidR="00F26E43">
        <w:rPr>
          <w:rFonts w:ascii="Arial" w:hAnsi="Arial" w:cs="Arial"/>
          <w:color w:val="7B7B7B" w:themeColor="accent3" w:themeShade="BF"/>
          <w:sz w:val="22"/>
          <w:szCs w:val="22"/>
          <w:lang w:val="en-GB"/>
        </w:rPr>
        <w:t xml:space="preserve"> recognised restructuring procedures which was very important considering the worldwide phenomenon of the business rescue procedure as opposed to liquidation.</w:t>
      </w:r>
    </w:p>
    <w:p w14:paraId="4A1BDD0A" w14:textId="77777777" w:rsidR="00BF79D7" w:rsidRDefault="00BF79D7" w:rsidP="002A37BB">
      <w:pPr>
        <w:jc w:val="both"/>
        <w:rPr>
          <w:rFonts w:ascii="Arial" w:hAnsi="Arial" w:cs="Arial"/>
          <w:color w:val="7B7B7B" w:themeColor="accent3" w:themeShade="BF"/>
          <w:sz w:val="22"/>
          <w:szCs w:val="22"/>
          <w:lang w:val="en-GB"/>
        </w:rPr>
      </w:pPr>
    </w:p>
    <w:p w14:paraId="0541C4AA" w14:textId="77777777" w:rsidR="003225AF" w:rsidRDefault="00BF79D7" w:rsidP="002A37BB">
      <w:pPr>
        <w:jc w:val="both"/>
        <w:rPr>
          <w:rFonts w:ascii="Arial" w:hAnsi="Arial" w:cs="Arial"/>
          <w:color w:val="7B7B7B" w:themeColor="accent3" w:themeShade="BF"/>
          <w:sz w:val="22"/>
          <w:szCs w:val="22"/>
          <w:lang w:val="en-US"/>
        </w:rPr>
      </w:pPr>
      <w:r w:rsidRPr="00BF79D7">
        <w:rPr>
          <w:rFonts w:ascii="Arial" w:hAnsi="Arial" w:cs="Arial"/>
          <w:color w:val="7B7B7B" w:themeColor="accent3" w:themeShade="BF"/>
          <w:sz w:val="22"/>
          <w:szCs w:val="22"/>
          <w:lang w:val="en-US"/>
        </w:rPr>
        <w:t>Secondly,</w:t>
      </w:r>
      <w:r>
        <w:rPr>
          <w:rFonts w:ascii="Arial" w:hAnsi="Arial" w:cs="Arial"/>
          <w:color w:val="7B7B7B" w:themeColor="accent3" w:themeShade="BF"/>
          <w:sz w:val="22"/>
          <w:szCs w:val="22"/>
          <w:lang w:val="en-US"/>
        </w:rPr>
        <w:t xml:space="preserve"> </w:t>
      </w:r>
      <w:r w:rsidRPr="00BF79D7">
        <w:rPr>
          <w:rFonts w:ascii="Arial" w:hAnsi="Arial" w:cs="Arial"/>
          <w:color w:val="7B7B7B" w:themeColor="accent3" w:themeShade="BF"/>
          <w:sz w:val="22"/>
          <w:szCs w:val="22"/>
          <w:lang w:val="en-US"/>
        </w:rPr>
        <w:t>the updating of</w:t>
      </w:r>
      <w:r>
        <w:rPr>
          <w:rFonts w:ascii="Arial" w:hAnsi="Arial" w:cs="Arial"/>
          <w:color w:val="7B7B7B" w:themeColor="accent3" w:themeShade="BF"/>
          <w:sz w:val="22"/>
          <w:szCs w:val="22"/>
          <w:lang w:val="en-US"/>
        </w:rPr>
        <w:t xml:space="preserve"> Annex A </w:t>
      </w:r>
      <w:r w:rsidRPr="00BF79D7">
        <w:rPr>
          <w:rFonts w:ascii="Arial" w:hAnsi="Arial" w:cs="Arial"/>
          <w:color w:val="7B7B7B" w:themeColor="accent3" w:themeShade="BF"/>
          <w:sz w:val="22"/>
          <w:szCs w:val="22"/>
          <w:lang w:val="en-US"/>
        </w:rPr>
        <w:t xml:space="preserve">which related to insolvency proceedings and provided a list of names of insolvency proceedings for all the countries covered by the recast. This </w:t>
      </w:r>
      <w:r w:rsidRPr="00BF79D7">
        <w:rPr>
          <w:rFonts w:ascii="Arial" w:hAnsi="Arial" w:cs="Arial"/>
          <w:color w:val="7B7B7B" w:themeColor="accent3" w:themeShade="BF"/>
          <w:sz w:val="22"/>
          <w:szCs w:val="22"/>
          <w:lang w:val="en-US"/>
        </w:rPr>
        <w:lastRenderedPageBreak/>
        <w:t>provided clarity t</w:t>
      </w:r>
      <w:r>
        <w:rPr>
          <w:rFonts w:ascii="Arial" w:hAnsi="Arial" w:cs="Arial"/>
          <w:color w:val="7B7B7B" w:themeColor="accent3" w:themeShade="BF"/>
          <w:sz w:val="22"/>
          <w:szCs w:val="22"/>
          <w:lang w:val="en-US"/>
        </w:rPr>
        <w:t>o</w:t>
      </w:r>
      <w:r w:rsidRPr="00BF79D7">
        <w:rPr>
          <w:rFonts w:ascii="Arial" w:hAnsi="Arial" w:cs="Arial"/>
          <w:color w:val="7B7B7B" w:themeColor="accent3" w:themeShade="BF"/>
          <w:sz w:val="22"/>
          <w:szCs w:val="22"/>
          <w:lang w:val="en-US"/>
        </w:rPr>
        <w:t xml:space="preserve"> no less than 112 procedures</w:t>
      </w:r>
      <w:r w:rsidR="003225AF">
        <w:rPr>
          <w:rFonts w:ascii="Arial" w:hAnsi="Arial" w:cs="Arial"/>
          <w:color w:val="7B7B7B" w:themeColor="accent3" w:themeShade="BF"/>
          <w:sz w:val="22"/>
          <w:szCs w:val="22"/>
          <w:lang w:val="en-US"/>
        </w:rPr>
        <w:t xml:space="preserve"> </w:t>
      </w:r>
      <w:r w:rsidR="003225AF" w:rsidRPr="003225AF">
        <w:rPr>
          <w:rFonts w:ascii="Arial" w:hAnsi="Arial" w:cs="Arial"/>
          <w:color w:val="7B7B7B" w:themeColor="accent3" w:themeShade="BF"/>
          <w:sz w:val="22"/>
          <w:szCs w:val="22"/>
          <w:lang w:val="en-US"/>
        </w:rPr>
        <w:t>and essentially meant that if a proceeding was not part of</w:t>
      </w:r>
      <w:r w:rsidR="003225AF">
        <w:rPr>
          <w:rFonts w:ascii="Arial" w:hAnsi="Arial" w:cs="Arial"/>
          <w:color w:val="7B7B7B" w:themeColor="accent3" w:themeShade="BF"/>
          <w:sz w:val="22"/>
          <w:szCs w:val="22"/>
          <w:lang w:val="en-US"/>
        </w:rPr>
        <w:t xml:space="preserve"> Annex A, </w:t>
      </w:r>
      <w:r w:rsidR="003225AF" w:rsidRPr="003225AF">
        <w:rPr>
          <w:rFonts w:ascii="Arial" w:hAnsi="Arial" w:cs="Arial"/>
          <w:color w:val="7B7B7B" w:themeColor="accent3" w:themeShade="BF"/>
          <w:sz w:val="22"/>
          <w:szCs w:val="22"/>
          <w:lang w:val="en-US"/>
        </w:rPr>
        <w:t>then it would not fall within the scope of the recast</w:t>
      </w:r>
      <w:r w:rsidR="003225AF">
        <w:rPr>
          <w:rFonts w:ascii="Arial" w:hAnsi="Arial" w:cs="Arial"/>
          <w:color w:val="7B7B7B" w:themeColor="accent3" w:themeShade="BF"/>
          <w:sz w:val="22"/>
          <w:szCs w:val="22"/>
          <w:lang w:val="en-US"/>
        </w:rPr>
        <w:t>.</w:t>
      </w:r>
    </w:p>
    <w:p w14:paraId="0B5B1F18" w14:textId="77777777" w:rsidR="003225AF" w:rsidRDefault="003225AF" w:rsidP="002A37BB">
      <w:pPr>
        <w:jc w:val="both"/>
        <w:rPr>
          <w:rFonts w:ascii="Arial" w:hAnsi="Arial" w:cs="Arial"/>
          <w:color w:val="7B7B7B" w:themeColor="accent3" w:themeShade="BF"/>
          <w:sz w:val="22"/>
          <w:szCs w:val="22"/>
          <w:lang w:val="en-US"/>
        </w:rPr>
      </w:pPr>
    </w:p>
    <w:p w14:paraId="7940D274" w14:textId="22271587" w:rsidR="00DF75F8" w:rsidRPr="001222C2" w:rsidRDefault="003225AF" w:rsidP="001222C2">
      <w:pPr>
        <w:jc w:val="both"/>
        <w:rPr>
          <w:rFonts w:ascii="Arial" w:hAnsi="Arial" w:cs="Arial"/>
          <w:i/>
          <w:iCs/>
          <w:color w:val="7B7B7B" w:themeColor="accent3" w:themeShade="BF"/>
          <w:sz w:val="22"/>
          <w:szCs w:val="22"/>
        </w:rPr>
      </w:pPr>
      <w:r w:rsidRPr="003225AF">
        <w:rPr>
          <w:rFonts w:ascii="Arial" w:hAnsi="Arial" w:cs="Arial"/>
          <w:color w:val="7B7B7B" w:themeColor="accent3" w:themeShade="BF"/>
          <w:sz w:val="22"/>
          <w:szCs w:val="22"/>
          <w:lang w:val="en-US"/>
        </w:rPr>
        <w:t>Thirdly,</w:t>
      </w:r>
      <w:r>
        <w:rPr>
          <w:rFonts w:ascii="Arial" w:hAnsi="Arial" w:cs="Arial"/>
          <w:color w:val="7B7B7B" w:themeColor="accent3" w:themeShade="BF"/>
          <w:sz w:val="22"/>
          <w:szCs w:val="22"/>
          <w:lang w:val="en-US"/>
        </w:rPr>
        <w:t xml:space="preserve"> </w:t>
      </w:r>
      <w:r w:rsidRPr="003225AF">
        <w:rPr>
          <w:rFonts w:ascii="Arial" w:hAnsi="Arial" w:cs="Arial"/>
          <w:color w:val="7B7B7B" w:themeColor="accent3" w:themeShade="BF"/>
          <w:sz w:val="22"/>
          <w:szCs w:val="22"/>
          <w:lang w:val="en-US"/>
        </w:rPr>
        <w:t xml:space="preserve">the recast provided a definition of a </w:t>
      </w:r>
      <w:r>
        <w:rPr>
          <w:rFonts w:ascii="Arial" w:hAnsi="Arial" w:cs="Arial"/>
          <w:color w:val="7B7B7B" w:themeColor="accent3" w:themeShade="BF"/>
          <w:sz w:val="22"/>
          <w:szCs w:val="22"/>
          <w:lang w:val="en-US"/>
        </w:rPr>
        <w:t>debtors Centre</w:t>
      </w:r>
      <w:r w:rsidRPr="003225AF">
        <w:rPr>
          <w:rFonts w:ascii="Arial" w:hAnsi="Arial" w:cs="Arial"/>
          <w:color w:val="7B7B7B" w:themeColor="accent3" w:themeShade="BF"/>
          <w:sz w:val="22"/>
          <w:szCs w:val="22"/>
          <w:lang w:val="en-US"/>
        </w:rPr>
        <w:t xml:space="preserve"> of Main interests</w:t>
      </w:r>
      <w:r>
        <w:rPr>
          <w:rFonts w:ascii="Arial" w:hAnsi="Arial" w:cs="Arial"/>
          <w:color w:val="7B7B7B" w:themeColor="accent3" w:themeShade="BF"/>
          <w:sz w:val="22"/>
          <w:szCs w:val="22"/>
          <w:lang w:val="en-US"/>
        </w:rPr>
        <w:t xml:space="preserve"> (COMI)</w:t>
      </w:r>
      <w:r w:rsidR="000D460E">
        <w:rPr>
          <w:rFonts w:ascii="Arial" w:hAnsi="Arial" w:cs="Arial"/>
          <w:color w:val="7B7B7B" w:themeColor="accent3" w:themeShade="BF"/>
          <w:sz w:val="22"/>
          <w:szCs w:val="22"/>
          <w:lang w:val="en-US"/>
        </w:rPr>
        <w:t xml:space="preserve"> and mandated that “</w:t>
      </w:r>
      <w:r w:rsidR="000D460E" w:rsidRPr="000D460E">
        <w:rPr>
          <w:rFonts w:ascii="Arial" w:hAnsi="Arial" w:cs="Arial"/>
          <w:color w:val="7B7B7B" w:themeColor="accent3" w:themeShade="BF"/>
          <w:sz w:val="22"/>
          <w:szCs w:val="22"/>
          <w:lang w:val="en-US"/>
        </w:rPr>
        <w:t>The centre of main interests shall be the place where the debtor conducts the administration of its interests on a regular basis and which is ascertainable by third parties</w:t>
      </w:r>
      <w:r w:rsidR="000D460E">
        <w:rPr>
          <w:rFonts w:ascii="Arial" w:hAnsi="Arial" w:cs="Arial"/>
          <w:color w:val="7B7B7B" w:themeColor="accent3" w:themeShade="BF"/>
          <w:sz w:val="22"/>
          <w:szCs w:val="22"/>
          <w:lang w:val="en-US"/>
        </w:rPr>
        <w:t>”</w:t>
      </w:r>
      <w:r w:rsidR="000D460E">
        <w:rPr>
          <w:rStyle w:val="FootnoteReference"/>
          <w:rFonts w:ascii="Arial" w:hAnsi="Arial" w:cs="Arial"/>
          <w:color w:val="7B7B7B" w:themeColor="accent3" w:themeShade="BF"/>
          <w:sz w:val="22"/>
          <w:szCs w:val="22"/>
          <w:lang w:val="en-US"/>
        </w:rPr>
        <w:footnoteReference w:id="3"/>
      </w:r>
      <w:r w:rsidR="000D460E">
        <w:rPr>
          <w:rFonts w:ascii="Arial" w:hAnsi="Arial" w:cs="Arial"/>
          <w:color w:val="7B7B7B" w:themeColor="accent3" w:themeShade="BF"/>
          <w:sz w:val="22"/>
          <w:szCs w:val="22"/>
          <w:lang w:val="en-US"/>
        </w:rPr>
        <w:t>.</w:t>
      </w:r>
      <w:r w:rsidR="00723A11">
        <w:rPr>
          <w:rFonts w:ascii="Arial" w:hAnsi="Arial" w:cs="Arial"/>
          <w:color w:val="7B7B7B" w:themeColor="accent3" w:themeShade="BF"/>
          <w:sz w:val="22"/>
          <w:szCs w:val="22"/>
          <w:lang w:val="en-US"/>
        </w:rPr>
        <w:t xml:space="preserve"> This definition was important </w:t>
      </w:r>
      <w:r w:rsidR="001222C2">
        <w:rPr>
          <w:rFonts w:ascii="Arial" w:hAnsi="Arial" w:cs="Arial"/>
          <w:color w:val="7B7B7B" w:themeColor="accent3" w:themeShade="BF"/>
          <w:sz w:val="22"/>
          <w:szCs w:val="22"/>
          <w:lang w:val="en-US"/>
        </w:rPr>
        <w:t xml:space="preserve">as was seen in the </w:t>
      </w:r>
      <w:r w:rsidR="001222C2" w:rsidRPr="001222C2">
        <w:rPr>
          <w:rFonts w:ascii="Arial" w:hAnsi="Arial" w:cs="Arial"/>
          <w:i/>
          <w:iCs/>
          <w:color w:val="7B7B7B" w:themeColor="accent3" w:themeShade="BF"/>
          <w:sz w:val="22"/>
          <w:szCs w:val="22"/>
        </w:rPr>
        <w:t>Eurofood IFSC</w:t>
      </w:r>
      <w:r w:rsidR="001222C2">
        <w:rPr>
          <w:rFonts w:ascii="Arial" w:hAnsi="Arial" w:cs="Arial"/>
          <w:i/>
          <w:iCs/>
          <w:color w:val="7B7B7B" w:themeColor="accent3" w:themeShade="BF"/>
          <w:sz w:val="22"/>
          <w:szCs w:val="22"/>
        </w:rPr>
        <w:t xml:space="preserve"> </w:t>
      </w:r>
      <w:r w:rsidR="001222C2" w:rsidRPr="001222C2">
        <w:rPr>
          <w:rFonts w:ascii="Arial" w:hAnsi="Arial" w:cs="Arial"/>
          <w:i/>
          <w:iCs/>
          <w:color w:val="7B7B7B" w:themeColor="accent3" w:themeShade="BF"/>
          <w:sz w:val="22"/>
          <w:szCs w:val="22"/>
        </w:rPr>
        <w:t>Ltd</w:t>
      </w:r>
      <w:r w:rsidR="001222C2">
        <w:rPr>
          <w:rStyle w:val="FootnoteReference"/>
          <w:rFonts w:ascii="Arial" w:hAnsi="Arial" w:cs="Arial"/>
          <w:i/>
          <w:iCs/>
          <w:color w:val="7B7B7B" w:themeColor="accent3" w:themeShade="BF"/>
          <w:sz w:val="22"/>
          <w:szCs w:val="22"/>
        </w:rPr>
        <w:footnoteReference w:id="4"/>
      </w:r>
      <w:r>
        <w:rPr>
          <w:rFonts w:ascii="Arial" w:hAnsi="Arial" w:cs="Arial"/>
          <w:color w:val="7B7B7B" w:themeColor="accent3" w:themeShade="BF"/>
          <w:sz w:val="22"/>
          <w:szCs w:val="22"/>
          <w:lang w:val="en-US"/>
        </w:rPr>
        <w:t xml:space="preserve"> </w:t>
      </w:r>
      <w:r w:rsidR="001222C2">
        <w:rPr>
          <w:rFonts w:ascii="Arial" w:hAnsi="Arial" w:cs="Arial"/>
          <w:color w:val="7B7B7B" w:themeColor="accent3" w:themeShade="BF"/>
          <w:sz w:val="22"/>
          <w:szCs w:val="22"/>
          <w:lang w:val="en-US"/>
        </w:rPr>
        <w:t>case which involved jurisdictional questions relating to a company based in different jurisdictions and set out the objective criteria ascertainable to third parties as well as the registered office presumption which was very important in determining jurisdiction.</w:t>
      </w:r>
      <w:r w:rsidR="00DF75F8" w:rsidRPr="008500BD">
        <w:rPr>
          <w:rFonts w:ascii="Arial" w:hAnsi="Arial" w:cs="Arial"/>
          <w:color w:val="7B7B7B" w:themeColor="accent3" w:themeShade="BF"/>
          <w:sz w:val="22"/>
          <w:szCs w:val="22"/>
          <w:lang w:val="en-GB"/>
        </w:rPr>
        <w:t>]</w:t>
      </w:r>
    </w:p>
    <w:p w14:paraId="3DAA6780" w14:textId="657CEFE1" w:rsidR="00962045" w:rsidRPr="008500BD"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0AA18787" w14:textId="77777777" w:rsidR="00A20ADF" w:rsidRDefault="00DF75F8"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7B071A">
        <w:rPr>
          <w:rFonts w:ascii="Arial" w:hAnsi="Arial" w:cs="Arial"/>
          <w:color w:val="7B7B7B" w:themeColor="accent3" w:themeShade="BF"/>
          <w:sz w:val="22"/>
          <w:szCs w:val="22"/>
          <w:lang w:val="en-GB"/>
        </w:rPr>
        <w:t xml:space="preserve">In my opinion one of the major flaws in the EIR recast is the fact that although Article 1 serves to broaden the scope of the Regulation it applies to </w:t>
      </w:r>
      <w:r w:rsidR="007B071A" w:rsidRPr="007B071A">
        <w:rPr>
          <w:rFonts w:ascii="Arial" w:hAnsi="Arial" w:cs="Arial"/>
          <w:i/>
          <w:iCs/>
          <w:color w:val="7B7B7B" w:themeColor="accent3" w:themeShade="BF"/>
          <w:sz w:val="22"/>
          <w:szCs w:val="22"/>
          <w:lang w:val="en-GB"/>
        </w:rPr>
        <w:t>inter alia</w:t>
      </w:r>
      <w:r w:rsidR="007B071A">
        <w:rPr>
          <w:rFonts w:ascii="Arial" w:hAnsi="Arial" w:cs="Arial"/>
          <w:color w:val="7B7B7B" w:themeColor="accent3" w:themeShade="BF"/>
          <w:sz w:val="22"/>
          <w:szCs w:val="22"/>
          <w:lang w:val="en-GB"/>
        </w:rPr>
        <w:t xml:space="preserve"> public collective proceedings (which includes insolvency or pre insolvency proceedings). </w:t>
      </w:r>
      <w:r w:rsidR="00A72460">
        <w:rPr>
          <w:rFonts w:ascii="Arial" w:hAnsi="Arial" w:cs="Arial"/>
          <w:color w:val="7B7B7B" w:themeColor="accent3" w:themeShade="BF"/>
          <w:sz w:val="22"/>
          <w:szCs w:val="22"/>
          <w:lang w:val="en-GB"/>
        </w:rPr>
        <w:t xml:space="preserve">Although this allows creditors to become aware of these proceedings, member states can still maintain confidentiality in their own national proceedings and in terms of their state laws. In essence this can make it very difficult for creditors from different jurisdictions to know about the insolvency proceedings which could be occurring in the different state. </w:t>
      </w:r>
      <w:r w:rsidR="009C4D1C">
        <w:rPr>
          <w:rFonts w:ascii="Arial" w:hAnsi="Arial" w:cs="Arial"/>
          <w:color w:val="7B7B7B" w:themeColor="accent3" w:themeShade="BF"/>
          <w:sz w:val="22"/>
          <w:szCs w:val="22"/>
          <w:lang w:val="en-GB"/>
        </w:rPr>
        <w:t>The EIR could correct this in the future by stipulating that national laws must be in line with the EIR recasts and national law proceedings which have foreign creditors must be made public.</w:t>
      </w:r>
      <w:r w:rsidR="00A20ADF">
        <w:rPr>
          <w:rFonts w:ascii="Arial" w:hAnsi="Arial" w:cs="Arial"/>
          <w:color w:val="7B7B7B" w:themeColor="accent3" w:themeShade="BF"/>
          <w:sz w:val="22"/>
          <w:szCs w:val="22"/>
          <w:lang w:val="en-GB"/>
        </w:rPr>
        <w:t xml:space="preserve"> If that is too drastic of a step then a compromise could be, i</w:t>
      </w:r>
      <w:r w:rsidR="009C4D1C">
        <w:rPr>
          <w:rFonts w:ascii="Arial" w:hAnsi="Arial" w:cs="Arial"/>
          <w:color w:val="7B7B7B" w:themeColor="accent3" w:themeShade="BF"/>
          <w:sz w:val="22"/>
          <w:szCs w:val="22"/>
          <w:lang w:val="en-GB"/>
        </w:rPr>
        <w:t>n order to maintain confidentiality</w:t>
      </w:r>
      <w:r w:rsidR="00A20ADF">
        <w:rPr>
          <w:rFonts w:ascii="Arial" w:hAnsi="Arial" w:cs="Arial"/>
          <w:color w:val="7B7B7B" w:themeColor="accent3" w:themeShade="BF"/>
          <w:sz w:val="22"/>
          <w:szCs w:val="22"/>
          <w:lang w:val="en-GB"/>
        </w:rPr>
        <w:t>,</w:t>
      </w:r>
      <w:r w:rsidR="009C4D1C">
        <w:rPr>
          <w:rFonts w:ascii="Arial" w:hAnsi="Arial" w:cs="Arial"/>
          <w:color w:val="7B7B7B" w:themeColor="accent3" w:themeShade="BF"/>
          <w:sz w:val="22"/>
          <w:szCs w:val="22"/>
          <w:lang w:val="en-GB"/>
        </w:rPr>
        <w:t xml:space="preserve"> the new Recast could also stipulate that the proceedings be made “public” only to those foreign creditors</w:t>
      </w:r>
      <w:r w:rsidR="00A20ADF">
        <w:rPr>
          <w:rFonts w:ascii="Arial" w:hAnsi="Arial" w:cs="Arial"/>
          <w:color w:val="7B7B7B" w:themeColor="accent3" w:themeShade="BF"/>
          <w:sz w:val="22"/>
          <w:szCs w:val="22"/>
          <w:lang w:val="en-GB"/>
        </w:rPr>
        <w:t>.</w:t>
      </w:r>
    </w:p>
    <w:p w14:paraId="2C8D0D9E" w14:textId="77777777" w:rsidR="00A20ADF" w:rsidRDefault="00A20ADF" w:rsidP="002A37BB">
      <w:pPr>
        <w:jc w:val="both"/>
        <w:rPr>
          <w:rFonts w:ascii="Arial" w:hAnsi="Arial" w:cs="Arial"/>
          <w:color w:val="7B7B7B" w:themeColor="accent3" w:themeShade="BF"/>
          <w:sz w:val="22"/>
          <w:szCs w:val="22"/>
          <w:lang w:val="en-GB"/>
        </w:rPr>
      </w:pPr>
    </w:p>
    <w:p w14:paraId="4E83D7AF" w14:textId="05E99740" w:rsidR="00DF75F8" w:rsidRPr="008500BD" w:rsidRDefault="00617B0B" w:rsidP="002A37BB">
      <w:pPr>
        <w:jc w:val="both"/>
        <w:rPr>
          <w:rFonts w:ascii="Arial" w:hAnsi="Arial" w:cs="Arial"/>
          <w:sz w:val="22"/>
          <w:szCs w:val="22"/>
          <w:lang w:val="en-GB"/>
        </w:rPr>
      </w:pPr>
      <w:r>
        <w:rPr>
          <w:rFonts w:ascii="Arial" w:hAnsi="Arial" w:cs="Arial"/>
          <w:color w:val="7B7B7B" w:themeColor="accent3" w:themeShade="BF"/>
          <w:sz w:val="22"/>
          <w:szCs w:val="22"/>
          <w:lang w:val="en-GB"/>
        </w:rPr>
        <w:t>There is also no section to determine</w:t>
      </w:r>
      <w:r w:rsidR="00F10C9C">
        <w:rPr>
          <w:rFonts w:ascii="Arial" w:hAnsi="Arial" w:cs="Arial"/>
          <w:color w:val="7B7B7B" w:themeColor="accent3" w:themeShade="BF"/>
          <w:sz w:val="22"/>
          <w:szCs w:val="22"/>
          <w:lang w:val="en-GB"/>
        </w:rPr>
        <w:t xml:space="preserve"> any recourse following</w:t>
      </w:r>
      <w:r>
        <w:rPr>
          <w:rFonts w:ascii="Arial" w:hAnsi="Arial" w:cs="Arial"/>
          <w:color w:val="7B7B7B" w:themeColor="accent3" w:themeShade="BF"/>
          <w:sz w:val="22"/>
          <w:szCs w:val="22"/>
          <w:lang w:val="en-GB"/>
        </w:rPr>
        <w:t xml:space="preserve"> the writing off of a natural persons debts</w:t>
      </w:r>
      <w:r w:rsidR="00F10C9C">
        <w:rPr>
          <w:rFonts w:ascii="Arial" w:hAnsi="Arial" w:cs="Arial"/>
          <w:color w:val="7B7B7B" w:themeColor="accent3" w:themeShade="BF"/>
          <w:sz w:val="22"/>
          <w:szCs w:val="22"/>
          <w:lang w:val="en-GB"/>
        </w:rPr>
        <w:t xml:space="preserve"> in their member state</w:t>
      </w:r>
      <w:r>
        <w:rPr>
          <w:rFonts w:ascii="Arial" w:hAnsi="Arial" w:cs="Arial"/>
          <w:color w:val="7B7B7B" w:themeColor="accent3" w:themeShade="BF"/>
          <w:sz w:val="22"/>
          <w:szCs w:val="22"/>
          <w:lang w:val="en-GB"/>
        </w:rPr>
        <w:t xml:space="preserve">. </w:t>
      </w:r>
      <w:r w:rsidR="008E6858">
        <w:rPr>
          <w:rFonts w:ascii="Arial" w:hAnsi="Arial" w:cs="Arial"/>
          <w:color w:val="7B7B7B" w:themeColor="accent3" w:themeShade="BF"/>
          <w:sz w:val="22"/>
          <w:szCs w:val="22"/>
          <w:lang w:val="en-GB"/>
        </w:rPr>
        <w:t>Therefore,</w:t>
      </w:r>
      <w:r>
        <w:rPr>
          <w:rFonts w:ascii="Arial" w:hAnsi="Arial" w:cs="Arial"/>
          <w:color w:val="7B7B7B" w:themeColor="accent3" w:themeShade="BF"/>
          <w:sz w:val="22"/>
          <w:szCs w:val="22"/>
          <w:lang w:val="en-GB"/>
        </w:rPr>
        <w:t xml:space="preserve"> if a debtor’s debts are written off in one member state without any provision made to benefit or pay out made to creditors, then there is no recourse for foreign creditors in terms of the EIR Recast.</w:t>
      </w:r>
      <w:r w:rsidR="00F10C9C">
        <w:rPr>
          <w:rFonts w:ascii="Arial" w:hAnsi="Arial" w:cs="Arial"/>
          <w:color w:val="7B7B7B" w:themeColor="accent3" w:themeShade="BF"/>
          <w:sz w:val="22"/>
          <w:szCs w:val="22"/>
          <w:lang w:val="en-GB"/>
        </w:rPr>
        <w:t xml:space="preserve"> A provision should be made to protect foreign creditors by allowing them to consent or reject the writing off of a natural person</w:t>
      </w:r>
      <w:r w:rsidR="008E6858">
        <w:rPr>
          <w:rFonts w:ascii="Arial" w:hAnsi="Arial" w:cs="Arial"/>
          <w:color w:val="7B7B7B" w:themeColor="accent3" w:themeShade="BF"/>
          <w:sz w:val="22"/>
          <w:szCs w:val="22"/>
          <w:lang w:val="en-GB"/>
        </w:rPr>
        <w:t>’</w:t>
      </w:r>
      <w:r w:rsidR="00F10C9C">
        <w:rPr>
          <w:rFonts w:ascii="Arial" w:hAnsi="Arial" w:cs="Arial"/>
          <w:color w:val="7B7B7B" w:themeColor="accent3" w:themeShade="BF"/>
          <w:sz w:val="22"/>
          <w:szCs w:val="22"/>
          <w:lang w:val="en-GB"/>
        </w:rPr>
        <w:t>s debt.</w:t>
      </w:r>
      <w:r w:rsidR="00DF75F8" w:rsidRPr="008500BD">
        <w:rPr>
          <w:rFonts w:ascii="Arial" w:hAnsi="Arial" w:cs="Arial"/>
          <w:color w:val="7B7B7B" w:themeColor="accent3" w:themeShade="BF"/>
          <w:sz w:val="22"/>
          <w:szCs w:val="22"/>
          <w:lang w:val="en-GB"/>
        </w:rPr>
        <w:t>]</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Prêt A Jouer</w:t>
      </w:r>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w:t>
      </w:r>
      <w:r w:rsidRPr="008500BD">
        <w:rPr>
          <w:rFonts w:ascii="Arial" w:hAnsi="Arial" w:cs="Arial"/>
          <w:sz w:val="22"/>
          <w:szCs w:val="22"/>
          <w:lang w:val="en-GB"/>
        </w:rPr>
        <w:lastRenderedPageBreak/>
        <w:t xml:space="preserve">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r w:rsidR="00ED472A" w:rsidRPr="008500BD">
        <w:rPr>
          <w:rFonts w:ascii="Arial" w:hAnsi="Arial" w:cs="Arial"/>
          <w:i/>
          <w:iCs/>
          <w:sz w:val="22"/>
          <w:szCs w:val="22"/>
          <w:lang w:val="en-GB"/>
        </w:rPr>
        <w:t>procédure de sauvegarde</w:t>
      </w:r>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0D37BBBB" w14:textId="4FB42396" w:rsidR="002F75A3" w:rsidRDefault="002F75A3" w:rsidP="002A37BB">
      <w:pPr>
        <w:jc w:val="both"/>
        <w:rPr>
          <w:rFonts w:ascii="Arial" w:hAnsi="Arial" w:cs="Arial"/>
          <w:color w:val="7B7B7B" w:themeColor="accent3" w:themeShade="BF"/>
          <w:sz w:val="22"/>
          <w:szCs w:val="22"/>
          <w:lang w:val="en-US"/>
        </w:rPr>
      </w:pPr>
      <w:r w:rsidRPr="008500BD">
        <w:rPr>
          <w:rFonts w:ascii="Arial" w:hAnsi="Arial" w:cs="Arial"/>
          <w:color w:val="7B7B7B" w:themeColor="accent3" w:themeShade="BF"/>
          <w:sz w:val="22"/>
          <w:szCs w:val="22"/>
          <w:lang w:val="en-GB"/>
        </w:rPr>
        <w:t>[</w:t>
      </w:r>
      <w:r w:rsidR="00DD5E3B">
        <w:rPr>
          <w:rFonts w:ascii="Arial" w:hAnsi="Arial" w:cs="Arial"/>
          <w:color w:val="7B7B7B" w:themeColor="accent3" w:themeShade="BF"/>
          <w:sz w:val="22"/>
          <w:szCs w:val="22"/>
          <w:lang w:val="en-GB"/>
        </w:rPr>
        <w:t>Yes, the Strasbourg Court does have international jurisdiction to open the requested proceeding. Recital 13 of the EIR 2000 states the following “</w:t>
      </w:r>
      <w:r w:rsidR="00DD5E3B" w:rsidRPr="00DD5E3B">
        <w:rPr>
          <w:rFonts w:ascii="Arial" w:hAnsi="Arial" w:cs="Arial"/>
          <w:color w:val="7B7B7B" w:themeColor="accent3" w:themeShade="BF"/>
          <w:sz w:val="22"/>
          <w:szCs w:val="22"/>
          <w:lang w:val="en-GB"/>
        </w:rPr>
        <w:t xml:space="preserve">The ‘centre of main interests’ should correspond to the </w:t>
      </w:r>
      <w:r w:rsidR="00DD5E3B" w:rsidRPr="00DD5E3B">
        <w:rPr>
          <w:rFonts w:ascii="Arial" w:hAnsi="Arial" w:cs="Arial"/>
          <w:color w:val="7B7B7B" w:themeColor="accent3" w:themeShade="BF"/>
          <w:sz w:val="22"/>
          <w:szCs w:val="22"/>
          <w:lang w:val="en-US"/>
        </w:rPr>
        <w:t>place where the debtor conducts the administration of his interests on a regular basis and is therefore ascertainable by third parties</w:t>
      </w:r>
      <w:r w:rsidR="00DD5E3B">
        <w:rPr>
          <w:rFonts w:ascii="Arial" w:hAnsi="Arial" w:cs="Arial"/>
          <w:color w:val="7B7B7B" w:themeColor="accent3" w:themeShade="BF"/>
          <w:sz w:val="22"/>
          <w:szCs w:val="22"/>
          <w:lang w:val="en-US"/>
        </w:rPr>
        <w:t>’. In this scenario the company was registered in France and we shall assume has conducted the administration of its affairs in France.</w:t>
      </w:r>
      <w:r w:rsidR="00E87279">
        <w:rPr>
          <w:rFonts w:ascii="Arial" w:hAnsi="Arial" w:cs="Arial"/>
          <w:color w:val="7B7B7B" w:themeColor="accent3" w:themeShade="BF"/>
          <w:sz w:val="22"/>
          <w:szCs w:val="22"/>
          <w:lang w:val="en-US"/>
        </w:rPr>
        <w:t xml:space="preserve"> This assumption is based on the fact that d</w:t>
      </w:r>
      <w:r w:rsidR="00DD5E3B">
        <w:rPr>
          <w:rFonts w:ascii="Arial" w:hAnsi="Arial" w:cs="Arial"/>
          <w:color w:val="7B7B7B" w:themeColor="accent3" w:themeShade="BF"/>
          <w:sz w:val="22"/>
          <w:szCs w:val="22"/>
          <w:lang w:val="en-US"/>
        </w:rPr>
        <w:t xml:space="preserve">espite it having a warehouse in Spain, </w:t>
      </w:r>
      <w:r w:rsidR="00E87279">
        <w:rPr>
          <w:rFonts w:ascii="Arial" w:hAnsi="Arial" w:cs="Arial"/>
          <w:color w:val="7B7B7B" w:themeColor="accent3" w:themeShade="BF"/>
          <w:sz w:val="22"/>
          <w:szCs w:val="22"/>
          <w:lang w:val="en-US"/>
        </w:rPr>
        <w:t xml:space="preserve">the income derived from </w:t>
      </w:r>
      <w:r w:rsidR="00DD5E3B">
        <w:rPr>
          <w:rFonts w:ascii="Arial" w:hAnsi="Arial" w:cs="Arial"/>
          <w:color w:val="7B7B7B" w:themeColor="accent3" w:themeShade="BF"/>
          <w:sz w:val="22"/>
          <w:szCs w:val="22"/>
          <w:lang w:val="en-US"/>
        </w:rPr>
        <w:t>th</w:t>
      </w:r>
      <w:r w:rsidR="00E87279">
        <w:rPr>
          <w:rFonts w:ascii="Arial" w:hAnsi="Arial" w:cs="Arial"/>
          <w:color w:val="7B7B7B" w:themeColor="accent3" w:themeShade="BF"/>
          <w:sz w:val="22"/>
          <w:szCs w:val="22"/>
          <w:lang w:val="en-US"/>
        </w:rPr>
        <w:t>at</w:t>
      </w:r>
      <w:r w:rsidR="00DD5E3B">
        <w:rPr>
          <w:rFonts w:ascii="Arial" w:hAnsi="Arial" w:cs="Arial"/>
          <w:color w:val="7B7B7B" w:themeColor="accent3" w:themeShade="BF"/>
          <w:sz w:val="22"/>
          <w:szCs w:val="22"/>
          <w:lang w:val="en-US"/>
        </w:rPr>
        <w:t xml:space="preserve"> wareh</w:t>
      </w:r>
      <w:r w:rsidR="00E87279">
        <w:rPr>
          <w:rFonts w:ascii="Arial" w:hAnsi="Arial" w:cs="Arial"/>
          <w:color w:val="7B7B7B" w:themeColor="accent3" w:themeShade="BF"/>
          <w:sz w:val="22"/>
          <w:szCs w:val="22"/>
          <w:lang w:val="en-US"/>
        </w:rPr>
        <w:t>o</w:t>
      </w:r>
      <w:r w:rsidR="00DD5E3B">
        <w:rPr>
          <w:rFonts w:ascii="Arial" w:hAnsi="Arial" w:cs="Arial"/>
          <w:color w:val="7B7B7B" w:themeColor="accent3" w:themeShade="BF"/>
          <w:sz w:val="22"/>
          <w:szCs w:val="22"/>
          <w:lang w:val="en-US"/>
        </w:rPr>
        <w:t>use was</w:t>
      </w:r>
      <w:r w:rsidR="00E87279">
        <w:rPr>
          <w:rFonts w:ascii="Arial" w:hAnsi="Arial" w:cs="Arial"/>
          <w:color w:val="7B7B7B" w:themeColor="accent3" w:themeShade="BF"/>
          <w:sz w:val="22"/>
          <w:szCs w:val="22"/>
          <w:lang w:val="en-US"/>
        </w:rPr>
        <w:t xml:space="preserve"> in the form of rental income and not as a result of selling toys. </w:t>
      </w:r>
    </w:p>
    <w:p w14:paraId="4CC618F8" w14:textId="66B8B603" w:rsidR="00E87279" w:rsidRDefault="00E87279" w:rsidP="002A37BB">
      <w:pPr>
        <w:jc w:val="both"/>
        <w:rPr>
          <w:rFonts w:ascii="Arial" w:hAnsi="Arial" w:cs="Arial"/>
          <w:color w:val="7B7B7B" w:themeColor="accent3" w:themeShade="BF"/>
          <w:sz w:val="22"/>
          <w:szCs w:val="22"/>
          <w:lang w:val="en-US"/>
        </w:rPr>
      </w:pPr>
    </w:p>
    <w:p w14:paraId="572B7BB6" w14:textId="205C35D4" w:rsidR="00E87279" w:rsidRDefault="00E87279" w:rsidP="00E87279">
      <w:pPr>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US"/>
        </w:rPr>
        <w:t>Furthermore Article 3(1) of the EIR 2000 states “</w:t>
      </w:r>
      <w:r w:rsidRPr="00E87279">
        <w:rPr>
          <w:rFonts w:ascii="Arial" w:hAnsi="Arial" w:cs="Arial"/>
          <w:color w:val="7B7B7B" w:themeColor="accent3" w:themeShade="BF"/>
          <w:sz w:val="22"/>
          <w:szCs w:val="22"/>
          <w:lang w:val="en-US"/>
        </w:rPr>
        <w:t>1. The courts of the Member State within the territory of</w:t>
      </w:r>
      <w:r>
        <w:rPr>
          <w:rFonts w:ascii="Arial" w:hAnsi="Arial" w:cs="Arial"/>
          <w:color w:val="7B7B7B" w:themeColor="accent3" w:themeShade="BF"/>
          <w:sz w:val="22"/>
          <w:szCs w:val="22"/>
          <w:lang w:val="en-US"/>
        </w:rPr>
        <w:t xml:space="preserve"> </w:t>
      </w:r>
      <w:r w:rsidRPr="00E87279">
        <w:rPr>
          <w:rFonts w:ascii="Arial" w:hAnsi="Arial" w:cs="Arial"/>
          <w:color w:val="7B7B7B" w:themeColor="accent3" w:themeShade="BF"/>
          <w:sz w:val="22"/>
          <w:szCs w:val="22"/>
          <w:lang w:val="en-US"/>
        </w:rPr>
        <w:t>which the centre of a debtor’s main interests is situated shall</w:t>
      </w:r>
      <w:r>
        <w:rPr>
          <w:rFonts w:ascii="Arial" w:hAnsi="Arial" w:cs="Arial"/>
          <w:color w:val="7B7B7B" w:themeColor="accent3" w:themeShade="BF"/>
          <w:sz w:val="22"/>
          <w:szCs w:val="22"/>
          <w:lang w:val="en-US"/>
        </w:rPr>
        <w:t xml:space="preserve"> </w:t>
      </w:r>
      <w:r w:rsidRPr="00E87279">
        <w:rPr>
          <w:rFonts w:ascii="Arial" w:hAnsi="Arial" w:cs="Arial"/>
          <w:color w:val="7B7B7B" w:themeColor="accent3" w:themeShade="BF"/>
          <w:sz w:val="22"/>
          <w:szCs w:val="22"/>
          <w:lang w:val="en-US"/>
        </w:rPr>
        <w:t>have jurisdiction to open insolvency proceedings. In the case of a company or legal person, the place of the registered office shall be presumed to be the centre of its main interests in the absence of proof to the contrary.</w:t>
      </w:r>
      <w:r>
        <w:rPr>
          <w:rFonts w:ascii="Arial" w:hAnsi="Arial" w:cs="Arial"/>
          <w:color w:val="7B7B7B" w:themeColor="accent3" w:themeShade="BF"/>
          <w:sz w:val="22"/>
          <w:szCs w:val="22"/>
          <w:lang w:val="en-US"/>
        </w:rPr>
        <w:t>”</w:t>
      </w:r>
    </w:p>
    <w:p w14:paraId="0C89C509" w14:textId="1C589488" w:rsidR="00B643ED" w:rsidRDefault="00B643ED" w:rsidP="00E87279">
      <w:pPr>
        <w:jc w:val="both"/>
        <w:rPr>
          <w:rFonts w:ascii="Arial" w:hAnsi="Arial" w:cs="Arial"/>
          <w:color w:val="7B7B7B" w:themeColor="accent3" w:themeShade="BF"/>
          <w:sz w:val="22"/>
          <w:szCs w:val="22"/>
          <w:lang w:val="en-US"/>
        </w:rPr>
      </w:pPr>
    </w:p>
    <w:p w14:paraId="4897C3C8" w14:textId="0F5F306E" w:rsidR="00B643ED" w:rsidRDefault="00B643ED" w:rsidP="00B643ED">
      <w:pPr>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US"/>
        </w:rPr>
        <w:t xml:space="preserve">This article was reaffirmed in the case of </w:t>
      </w:r>
      <w:r w:rsidRPr="00B643ED">
        <w:rPr>
          <w:rFonts w:ascii="Arial" w:hAnsi="Arial" w:cs="Arial"/>
          <w:i/>
          <w:iCs/>
          <w:color w:val="7B7B7B" w:themeColor="accent3" w:themeShade="BF"/>
          <w:sz w:val="22"/>
          <w:szCs w:val="22"/>
          <w:lang w:val="en-US"/>
        </w:rPr>
        <w:t>Eurofood IFSC Ltd</w:t>
      </w:r>
      <w:r>
        <w:rPr>
          <w:rStyle w:val="FootnoteReference"/>
          <w:rFonts w:ascii="Arial" w:hAnsi="Arial" w:cs="Arial"/>
          <w:color w:val="7B7B7B" w:themeColor="accent3" w:themeShade="BF"/>
          <w:sz w:val="22"/>
          <w:szCs w:val="22"/>
          <w:lang w:val="en-US"/>
        </w:rPr>
        <w:footnoteReference w:id="5"/>
      </w:r>
      <w:r>
        <w:rPr>
          <w:rFonts w:ascii="Arial" w:hAnsi="Arial" w:cs="Arial"/>
          <w:color w:val="7B7B7B" w:themeColor="accent3" w:themeShade="BF"/>
          <w:sz w:val="22"/>
          <w:szCs w:val="22"/>
          <w:lang w:val="en-US"/>
        </w:rPr>
        <w:t xml:space="preserve"> where the presiding officer stated in paragraph 105 </w:t>
      </w:r>
    </w:p>
    <w:p w14:paraId="5A2A73A1" w14:textId="77777777" w:rsidR="00B643ED" w:rsidRDefault="00B643ED" w:rsidP="00B643ED">
      <w:pPr>
        <w:jc w:val="both"/>
        <w:rPr>
          <w:rFonts w:ascii="Arial" w:hAnsi="Arial" w:cs="Arial"/>
          <w:color w:val="7B7B7B" w:themeColor="accent3" w:themeShade="BF"/>
          <w:sz w:val="22"/>
          <w:szCs w:val="22"/>
          <w:lang w:val="en-US"/>
        </w:rPr>
      </w:pPr>
    </w:p>
    <w:p w14:paraId="0DED73CA" w14:textId="013E9D70" w:rsidR="00B643ED" w:rsidRPr="00B643ED" w:rsidRDefault="00B643ED" w:rsidP="00B643ED">
      <w:pPr>
        <w:jc w:val="both"/>
        <w:rPr>
          <w:rFonts w:ascii="Arial" w:hAnsi="Arial" w:cs="Arial"/>
          <w:i/>
          <w:iCs/>
          <w:color w:val="7B7B7B" w:themeColor="accent3" w:themeShade="BF"/>
          <w:sz w:val="22"/>
          <w:szCs w:val="22"/>
          <w:lang w:val="en-US"/>
        </w:rPr>
      </w:pPr>
      <w:r w:rsidRPr="00B643ED">
        <w:rPr>
          <w:rFonts w:ascii="Arial" w:hAnsi="Arial" w:cs="Arial"/>
          <w:i/>
          <w:iCs/>
          <w:color w:val="7B7B7B" w:themeColor="accent3" w:themeShade="BF"/>
          <w:sz w:val="22"/>
          <w:szCs w:val="22"/>
          <w:lang w:val="en-US"/>
        </w:rPr>
        <w:t>“I accordingly conclude in answer to the third question referred that, where insolvency proceedings are first opened by a court in the Member State in which a company's</w:t>
      </w:r>
    </w:p>
    <w:p w14:paraId="25E3DAE6" w14:textId="640DB11B" w:rsidR="00B643ED" w:rsidRPr="00B643ED" w:rsidRDefault="00B643ED" w:rsidP="00B643ED">
      <w:pPr>
        <w:jc w:val="both"/>
        <w:rPr>
          <w:rFonts w:ascii="Arial" w:hAnsi="Arial" w:cs="Arial"/>
          <w:i/>
          <w:iCs/>
          <w:color w:val="7B7B7B" w:themeColor="accent3" w:themeShade="BF"/>
          <w:sz w:val="22"/>
          <w:szCs w:val="22"/>
          <w:lang w:val="en-US"/>
        </w:rPr>
      </w:pPr>
      <w:r w:rsidRPr="00B643ED">
        <w:rPr>
          <w:rFonts w:ascii="Arial" w:hAnsi="Arial" w:cs="Arial"/>
          <w:i/>
          <w:iCs/>
          <w:color w:val="7B7B7B" w:themeColor="accent3" w:themeShade="BF"/>
          <w:sz w:val="22"/>
          <w:szCs w:val="22"/>
          <w:lang w:val="en-US"/>
        </w:rPr>
        <w:t>registered office is situated and in which the company conducts the administration of its interests on a regular basis in a manner ascertainable by third parties, the courts of</w:t>
      </w:r>
    </w:p>
    <w:p w14:paraId="0832DBCF" w14:textId="77777777" w:rsidR="00B643ED" w:rsidRPr="00B643ED" w:rsidRDefault="00B643ED" w:rsidP="00B643ED">
      <w:pPr>
        <w:jc w:val="both"/>
        <w:rPr>
          <w:rFonts w:ascii="Arial" w:hAnsi="Arial" w:cs="Arial"/>
          <w:i/>
          <w:iCs/>
          <w:color w:val="7B7B7B" w:themeColor="accent3" w:themeShade="BF"/>
          <w:sz w:val="22"/>
          <w:szCs w:val="22"/>
          <w:lang w:val="en-US"/>
        </w:rPr>
      </w:pPr>
      <w:r w:rsidRPr="00B643ED">
        <w:rPr>
          <w:rFonts w:ascii="Arial" w:hAnsi="Arial" w:cs="Arial"/>
          <w:i/>
          <w:iCs/>
          <w:color w:val="7B7B7B" w:themeColor="accent3" w:themeShade="BF"/>
          <w:sz w:val="22"/>
          <w:szCs w:val="22"/>
          <w:lang w:val="en-US"/>
        </w:rPr>
        <w:t>other Member States do not have jurisdiction to open main insolvency proceedings”</w:t>
      </w:r>
    </w:p>
    <w:p w14:paraId="564EFC88" w14:textId="77777777" w:rsidR="00B643ED" w:rsidRDefault="00B643ED" w:rsidP="00B643ED">
      <w:pPr>
        <w:jc w:val="both"/>
        <w:rPr>
          <w:rFonts w:ascii="Arial" w:hAnsi="Arial" w:cs="Arial"/>
          <w:color w:val="7B7B7B" w:themeColor="accent3" w:themeShade="BF"/>
          <w:sz w:val="22"/>
          <w:szCs w:val="22"/>
          <w:lang w:val="en-US"/>
        </w:rPr>
      </w:pPr>
    </w:p>
    <w:p w14:paraId="0D46E9F8" w14:textId="6C3571E2" w:rsidR="00B643ED" w:rsidRPr="008500BD" w:rsidRDefault="00B643ED" w:rsidP="00B643ED">
      <w:pPr>
        <w:jc w:val="both"/>
        <w:rPr>
          <w:rFonts w:ascii="Arial" w:hAnsi="Arial" w:cs="Arial"/>
          <w:sz w:val="22"/>
          <w:szCs w:val="22"/>
          <w:lang w:val="en-GB"/>
        </w:rPr>
      </w:pPr>
      <w:r w:rsidRPr="00B643ED">
        <w:rPr>
          <w:rFonts w:ascii="Arial" w:hAnsi="Arial" w:cs="Arial"/>
          <w:color w:val="7B7B7B" w:themeColor="accent3" w:themeShade="BF"/>
          <w:sz w:val="22"/>
          <w:szCs w:val="22"/>
          <w:lang w:val="en-US"/>
        </w:rPr>
        <w:t>It is therefore clear from the articles in the case law mentioned above that the</w:t>
      </w:r>
      <w:r>
        <w:rPr>
          <w:rFonts w:ascii="Arial" w:hAnsi="Arial" w:cs="Arial"/>
          <w:color w:val="7B7B7B" w:themeColor="accent3" w:themeShade="BF"/>
          <w:sz w:val="22"/>
          <w:szCs w:val="22"/>
          <w:lang w:val="en-US"/>
        </w:rPr>
        <w:t xml:space="preserve"> Strasbourg </w:t>
      </w:r>
      <w:r w:rsidRPr="00B643ED">
        <w:rPr>
          <w:rFonts w:ascii="Arial" w:hAnsi="Arial" w:cs="Arial"/>
          <w:color w:val="7B7B7B" w:themeColor="accent3" w:themeShade="BF"/>
          <w:sz w:val="22"/>
          <w:szCs w:val="22"/>
          <w:lang w:val="en-US"/>
        </w:rPr>
        <w:t xml:space="preserve"> </w:t>
      </w:r>
      <w:r>
        <w:rPr>
          <w:rFonts w:ascii="Arial" w:hAnsi="Arial" w:cs="Arial"/>
          <w:color w:val="7B7B7B" w:themeColor="accent3" w:themeShade="BF"/>
          <w:sz w:val="22"/>
          <w:szCs w:val="22"/>
          <w:lang w:val="en-US"/>
        </w:rPr>
        <w:t>C</w:t>
      </w:r>
      <w:r w:rsidRPr="00B643ED">
        <w:rPr>
          <w:rFonts w:ascii="Arial" w:hAnsi="Arial" w:cs="Arial"/>
          <w:color w:val="7B7B7B" w:themeColor="accent3" w:themeShade="BF"/>
          <w:sz w:val="22"/>
          <w:szCs w:val="22"/>
          <w:lang w:val="en-US"/>
        </w:rPr>
        <w:t>ourt does have international jurisdiction to open the requested insolvency proceeding.</w:t>
      </w:r>
      <w:r>
        <w:rPr>
          <w:rFonts w:ascii="Arial" w:hAnsi="Arial" w:cs="Arial"/>
          <w:color w:val="7B7B7B" w:themeColor="accent3" w:themeShade="BF"/>
          <w:sz w:val="22"/>
          <w:szCs w:val="22"/>
          <w:lang w:val="en-US"/>
        </w:rPr>
        <w:t>]</w:t>
      </w:r>
    </w:p>
    <w:p w14:paraId="317DD6E7" w14:textId="302B6447" w:rsidR="00126A4D" w:rsidRDefault="00126A4D" w:rsidP="002A37BB">
      <w:pPr>
        <w:jc w:val="both"/>
        <w:rPr>
          <w:rFonts w:ascii="Arial" w:hAnsi="Arial" w:cs="Arial"/>
          <w:sz w:val="22"/>
          <w:szCs w:val="22"/>
          <w:lang w:val="en-GB"/>
        </w:rPr>
      </w:pPr>
    </w:p>
    <w:p w14:paraId="0BB2D0BD" w14:textId="65FE8713" w:rsidR="00D95496"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401BB21F" w14:textId="77777777" w:rsidR="00290C8D" w:rsidRDefault="002D3473" w:rsidP="002A37BB">
      <w:pPr>
        <w:autoSpaceDE w:val="0"/>
        <w:autoSpaceDN w:val="0"/>
        <w:adjustRightInd w:val="0"/>
        <w:jc w:val="both"/>
        <w:rPr>
          <w:rFonts w:ascii="Arial" w:hAnsi="Arial" w:cs="Arial"/>
          <w:color w:val="7B7B7B" w:themeColor="accent3" w:themeShade="BF"/>
          <w:sz w:val="22"/>
          <w:szCs w:val="22"/>
          <w:lang w:val="en-US"/>
        </w:rPr>
      </w:pPr>
      <w:r w:rsidRPr="008500BD">
        <w:rPr>
          <w:rFonts w:ascii="Arial" w:hAnsi="Arial" w:cs="Arial"/>
          <w:color w:val="7B7B7B" w:themeColor="accent3" w:themeShade="BF"/>
          <w:sz w:val="22"/>
          <w:szCs w:val="22"/>
          <w:lang w:val="en-GB"/>
        </w:rPr>
        <w:t>[</w:t>
      </w:r>
      <w:r w:rsidR="00290C8D" w:rsidRPr="00290C8D">
        <w:rPr>
          <w:rFonts w:ascii="Arial" w:hAnsi="Arial" w:cs="Arial"/>
          <w:color w:val="7B7B7B" w:themeColor="accent3" w:themeShade="BF"/>
          <w:sz w:val="22"/>
          <w:szCs w:val="22"/>
          <w:lang w:val="en-US"/>
        </w:rPr>
        <w:t>in order to determine whether the recast applies it must follow the following steps in order to determine when does it apply in time</w:t>
      </w:r>
      <w:r w:rsidR="00290C8D">
        <w:rPr>
          <w:rFonts w:ascii="Arial" w:hAnsi="Arial" w:cs="Arial"/>
          <w:color w:val="7B7B7B" w:themeColor="accent3" w:themeShade="BF"/>
          <w:sz w:val="22"/>
          <w:szCs w:val="22"/>
          <w:lang w:val="en-US"/>
        </w:rPr>
        <w:t xml:space="preserve"> (temporal)</w:t>
      </w:r>
      <w:r w:rsidR="00290C8D" w:rsidRPr="00290C8D">
        <w:rPr>
          <w:rFonts w:ascii="Arial" w:hAnsi="Arial" w:cs="Arial"/>
          <w:color w:val="7B7B7B" w:themeColor="accent3" w:themeShade="BF"/>
          <w:sz w:val="22"/>
          <w:szCs w:val="22"/>
          <w:lang w:val="en-US"/>
        </w:rPr>
        <w:t>, to whom does it apply</w:t>
      </w:r>
      <w:r w:rsidR="00290C8D">
        <w:rPr>
          <w:rFonts w:ascii="Arial" w:hAnsi="Arial" w:cs="Arial"/>
          <w:color w:val="7B7B7B" w:themeColor="accent3" w:themeShade="BF"/>
          <w:sz w:val="22"/>
          <w:szCs w:val="22"/>
          <w:lang w:val="en-US"/>
        </w:rPr>
        <w:t xml:space="preserve"> (personal scope), </w:t>
      </w:r>
      <w:r w:rsidR="00290C8D" w:rsidRPr="00290C8D">
        <w:rPr>
          <w:rFonts w:ascii="Arial" w:hAnsi="Arial" w:cs="Arial"/>
          <w:color w:val="7B7B7B" w:themeColor="accent3" w:themeShade="BF"/>
          <w:sz w:val="22"/>
          <w:szCs w:val="22"/>
          <w:lang w:val="en-US"/>
        </w:rPr>
        <w:t>which proceedings are covered by it</w:t>
      </w:r>
      <w:r w:rsidR="00290C8D">
        <w:rPr>
          <w:rFonts w:ascii="Arial" w:hAnsi="Arial" w:cs="Arial"/>
          <w:color w:val="7B7B7B" w:themeColor="accent3" w:themeShade="BF"/>
          <w:sz w:val="22"/>
          <w:szCs w:val="22"/>
          <w:lang w:val="en-US"/>
        </w:rPr>
        <w:t xml:space="preserve"> (material scope) </w:t>
      </w:r>
      <w:r w:rsidR="00290C8D" w:rsidRPr="00290C8D">
        <w:rPr>
          <w:rFonts w:ascii="Arial" w:hAnsi="Arial" w:cs="Arial"/>
          <w:color w:val="7B7B7B" w:themeColor="accent3" w:themeShade="BF"/>
          <w:sz w:val="22"/>
          <w:szCs w:val="22"/>
          <w:lang w:val="en-US"/>
        </w:rPr>
        <w:t>and what is the geographical</w:t>
      </w:r>
      <w:r w:rsidR="00290C8D">
        <w:rPr>
          <w:rFonts w:ascii="Arial" w:hAnsi="Arial" w:cs="Arial"/>
          <w:color w:val="7B7B7B" w:themeColor="accent3" w:themeShade="BF"/>
          <w:sz w:val="22"/>
          <w:szCs w:val="22"/>
          <w:lang w:val="en-US"/>
        </w:rPr>
        <w:t xml:space="preserve"> limitations (</w:t>
      </w:r>
      <w:r w:rsidR="00290C8D" w:rsidRPr="00290C8D">
        <w:rPr>
          <w:rFonts w:ascii="Arial" w:hAnsi="Arial" w:cs="Arial"/>
          <w:color w:val="7B7B7B" w:themeColor="accent3" w:themeShade="BF"/>
          <w:sz w:val="22"/>
          <w:szCs w:val="22"/>
          <w:lang w:val="en-US"/>
        </w:rPr>
        <w:t>scope</w:t>
      </w:r>
      <w:r w:rsidR="00290C8D">
        <w:rPr>
          <w:rFonts w:ascii="Arial" w:hAnsi="Arial" w:cs="Arial"/>
          <w:color w:val="7B7B7B" w:themeColor="accent3" w:themeShade="BF"/>
          <w:sz w:val="22"/>
          <w:szCs w:val="22"/>
          <w:lang w:val="en-US"/>
        </w:rPr>
        <w:t>)</w:t>
      </w:r>
      <w:r w:rsidR="00290C8D" w:rsidRPr="00290C8D">
        <w:rPr>
          <w:rFonts w:ascii="Arial" w:hAnsi="Arial" w:cs="Arial"/>
          <w:color w:val="7B7B7B" w:themeColor="accent3" w:themeShade="BF"/>
          <w:sz w:val="22"/>
          <w:szCs w:val="22"/>
          <w:lang w:val="en-US"/>
        </w:rPr>
        <w:t xml:space="preserve"> thereof</w:t>
      </w:r>
      <w:r w:rsidR="00290C8D">
        <w:rPr>
          <w:rFonts w:ascii="Arial" w:hAnsi="Arial" w:cs="Arial"/>
          <w:color w:val="7B7B7B" w:themeColor="accent3" w:themeShade="BF"/>
          <w:sz w:val="22"/>
          <w:szCs w:val="22"/>
          <w:lang w:val="en-US"/>
        </w:rPr>
        <w:t>.</w:t>
      </w:r>
    </w:p>
    <w:p w14:paraId="1DB3F009" w14:textId="77777777" w:rsidR="00290C8D" w:rsidRDefault="00290C8D" w:rsidP="002A37BB">
      <w:pPr>
        <w:autoSpaceDE w:val="0"/>
        <w:autoSpaceDN w:val="0"/>
        <w:adjustRightInd w:val="0"/>
        <w:jc w:val="both"/>
        <w:rPr>
          <w:rFonts w:ascii="Arial" w:hAnsi="Arial" w:cs="Arial"/>
          <w:color w:val="7B7B7B" w:themeColor="accent3" w:themeShade="BF"/>
          <w:sz w:val="22"/>
          <w:szCs w:val="22"/>
          <w:lang w:val="en-US"/>
        </w:rPr>
      </w:pPr>
    </w:p>
    <w:p w14:paraId="1EC54F72" w14:textId="20189A7A" w:rsidR="00290C8D" w:rsidRPr="00290C8D" w:rsidRDefault="00290C8D" w:rsidP="00290C8D">
      <w:pPr>
        <w:pStyle w:val="ListParagraph"/>
        <w:numPr>
          <w:ilvl w:val="0"/>
          <w:numId w:val="17"/>
        </w:numPr>
        <w:autoSpaceDE w:val="0"/>
        <w:autoSpaceDN w:val="0"/>
        <w:adjustRightInd w:val="0"/>
        <w:jc w:val="both"/>
        <w:rPr>
          <w:rFonts w:ascii="Arial" w:hAnsi="Arial" w:cs="Arial"/>
          <w:sz w:val="22"/>
          <w:szCs w:val="22"/>
          <w:lang w:val="en-GB"/>
        </w:rPr>
      </w:pPr>
      <w:r w:rsidRPr="00290C8D">
        <w:rPr>
          <w:rFonts w:ascii="Arial" w:hAnsi="Arial" w:cs="Arial"/>
          <w:color w:val="7B7B7B" w:themeColor="accent3" w:themeShade="BF"/>
          <w:sz w:val="22"/>
          <w:szCs w:val="22"/>
          <w:lang w:val="en-US"/>
        </w:rPr>
        <w:t xml:space="preserve">The first step involves the question does the debtor have COMI in a member state of the EU? – Yes it does as </w:t>
      </w:r>
      <w:r w:rsidR="003A4634">
        <w:rPr>
          <w:rFonts w:ascii="Arial" w:hAnsi="Arial" w:cs="Arial"/>
          <w:color w:val="7B7B7B" w:themeColor="accent3" w:themeShade="BF"/>
          <w:sz w:val="22"/>
          <w:szCs w:val="22"/>
          <w:lang w:val="en-US"/>
        </w:rPr>
        <w:t xml:space="preserve">the company is registered in France, which </w:t>
      </w:r>
      <w:r w:rsidRPr="00290C8D">
        <w:rPr>
          <w:rFonts w:ascii="Arial" w:hAnsi="Arial" w:cs="Arial"/>
          <w:color w:val="7B7B7B" w:themeColor="accent3" w:themeShade="BF"/>
          <w:sz w:val="22"/>
          <w:szCs w:val="22"/>
          <w:lang w:val="en-US"/>
        </w:rPr>
        <w:t>is a member state of the EU.</w:t>
      </w:r>
    </w:p>
    <w:p w14:paraId="7D05231F" w14:textId="64C2C15B" w:rsidR="00290C8D" w:rsidRPr="00290C8D" w:rsidRDefault="00290C8D" w:rsidP="00290C8D">
      <w:pPr>
        <w:pStyle w:val="ListParagraph"/>
        <w:numPr>
          <w:ilvl w:val="0"/>
          <w:numId w:val="17"/>
        </w:numPr>
        <w:autoSpaceDE w:val="0"/>
        <w:autoSpaceDN w:val="0"/>
        <w:adjustRightInd w:val="0"/>
        <w:jc w:val="both"/>
        <w:rPr>
          <w:rFonts w:ascii="Arial" w:hAnsi="Arial" w:cs="Arial"/>
          <w:sz w:val="22"/>
          <w:szCs w:val="22"/>
          <w:lang w:val="en-GB"/>
        </w:rPr>
      </w:pPr>
      <w:r w:rsidRPr="00290C8D">
        <w:rPr>
          <w:rFonts w:ascii="Arial" w:hAnsi="Arial" w:cs="Arial"/>
          <w:color w:val="7B7B7B" w:themeColor="accent3" w:themeShade="BF"/>
          <w:sz w:val="22"/>
          <w:szCs w:val="22"/>
          <w:lang w:val="en-US"/>
        </w:rPr>
        <w:lastRenderedPageBreak/>
        <w:t>The second step involves asking whether the d</w:t>
      </w:r>
      <w:r>
        <w:rPr>
          <w:rFonts w:ascii="Arial" w:hAnsi="Arial" w:cs="Arial"/>
          <w:color w:val="7B7B7B" w:themeColor="accent3" w:themeShade="BF"/>
          <w:sz w:val="22"/>
          <w:szCs w:val="22"/>
          <w:lang w:val="en-US"/>
        </w:rPr>
        <w:t xml:space="preserve">ebtor </w:t>
      </w:r>
      <w:r w:rsidRPr="00290C8D">
        <w:rPr>
          <w:rFonts w:ascii="Arial" w:hAnsi="Arial" w:cs="Arial"/>
          <w:color w:val="7B7B7B" w:themeColor="accent3" w:themeShade="BF"/>
          <w:sz w:val="22"/>
          <w:szCs w:val="22"/>
          <w:lang w:val="en-US"/>
        </w:rPr>
        <w:t xml:space="preserve"> is not a bank, insurance company or other excluded undertakings</w:t>
      </w:r>
      <w:r>
        <w:rPr>
          <w:rFonts w:ascii="Arial" w:hAnsi="Arial" w:cs="Arial"/>
          <w:color w:val="7B7B7B" w:themeColor="accent3" w:themeShade="BF"/>
          <w:sz w:val="22"/>
          <w:szCs w:val="22"/>
          <w:lang w:val="en-US"/>
        </w:rPr>
        <w:t>? – Yes</w:t>
      </w:r>
      <w:r w:rsidRPr="00290C8D">
        <w:rPr>
          <w:rFonts w:ascii="Arial" w:hAnsi="Arial" w:cs="Arial"/>
          <w:color w:val="7B7B7B" w:themeColor="accent3" w:themeShade="BF"/>
          <w:sz w:val="22"/>
          <w:szCs w:val="22"/>
          <w:lang w:val="en-US"/>
        </w:rPr>
        <w:t>, the d</w:t>
      </w:r>
      <w:r>
        <w:rPr>
          <w:rFonts w:ascii="Arial" w:hAnsi="Arial" w:cs="Arial"/>
          <w:color w:val="7B7B7B" w:themeColor="accent3" w:themeShade="BF"/>
          <w:sz w:val="22"/>
          <w:szCs w:val="22"/>
          <w:lang w:val="en-US"/>
        </w:rPr>
        <w:t>ebtor</w:t>
      </w:r>
      <w:r w:rsidRPr="00290C8D">
        <w:rPr>
          <w:rFonts w:ascii="Arial" w:hAnsi="Arial" w:cs="Arial"/>
          <w:color w:val="7B7B7B" w:themeColor="accent3" w:themeShade="BF"/>
          <w:sz w:val="22"/>
          <w:szCs w:val="22"/>
          <w:lang w:val="en-US"/>
        </w:rPr>
        <w:t xml:space="preserve"> is</w:t>
      </w:r>
      <w:r w:rsidR="003A4634">
        <w:rPr>
          <w:rFonts w:ascii="Arial" w:hAnsi="Arial" w:cs="Arial"/>
          <w:color w:val="7B7B7B" w:themeColor="accent3" w:themeShade="BF"/>
          <w:sz w:val="22"/>
          <w:szCs w:val="22"/>
          <w:lang w:val="en-US"/>
        </w:rPr>
        <w:t xml:space="preserve"> neither a bank nor any other excluded entity</w:t>
      </w:r>
      <w:r>
        <w:rPr>
          <w:rFonts w:ascii="Arial" w:hAnsi="Arial" w:cs="Arial"/>
          <w:color w:val="7B7B7B" w:themeColor="accent3" w:themeShade="BF"/>
          <w:sz w:val="22"/>
          <w:szCs w:val="22"/>
          <w:lang w:val="en-US"/>
        </w:rPr>
        <w:t>.</w:t>
      </w:r>
    </w:p>
    <w:p w14:paraId="4EEC28B8" w14:textId="4892E7D7" w:rsidR="00290C8D" w:rsidRPr="00290C8D" w:rsidRDefault="00290C8D" w:rsidP="00290C8D">
      <w:pPr>
        <w:pStyle w:val="ListParagraph"/>
        <w:numPr>
          <w:ilvl w:val="0"/>
          <w:numId w:val="17"/>
        </w:numPr>
        <w:autoSpaceDE w:val="0"/>
        <w:autoSpaceDN w:val="0"/>
        <w:adjustRightInd w:val="0"/>
        <w:jc w:val="both"/>
        <w:rPr>
          <w:rFonts w:ascii="Arial" w:hAnsi="Arial" w:cs="Arial"/>
          <w:sz w:val="22"/>
          <w:szCs w:val="22"/>
          <w:lang w:val="en-GB"/>
        </w:rPr>
      </w:pPr>
      <w:r w:rsidRPr="00290C8D">
        <w:rPr>
          <w:rFonts w:ascii="Arial" w:hAnsi="Arial" w:cs="Arial"/>
          <w:color w:val="7B7B7B" w:themeColor="accent3" w:themeShade="BF"/>
          <w:sz w:val="22"/>
          <w:szCs w:val="22"/>
          <w:lang w:val="en-US"/>
        </w:rPr>
        <w:t xml:space="preserve">Thirdly one must ask whether the proceeding opened against the debtor is listed in </w:t>
      </w:r>
      <w:r>
        <w:rPr>
          <w:rFonts w:ascii="Arial" w:hAnsi="Arial" w:cs="Arial"/>
          <w:color w:val="7B7B7B" w:themeColor="accent3" w:themeShade="BF"/>
          <w:sz w:val="22"/>
          <w:szCs w:val="22"/>
          <w:lang w:val="en-US"/>
        </w:rPr>
        <w:t>A</w:t>
      </w:r>
      <w:r w:rsidRPr="00290C8D">
        <w:rPr>
          <w:rFonts w:ascii="Arial" w:hAnsi="Arial" w:cs="Arial"/>
          <w:color w:val="7B7B7B" w:themeColor="accent3" w:themeShade="BF"/>
          <w:sz w:val="22"/>
          <w:szCs w:val="22"/>
          <w:lang w:val="en-US"/>
        </w:rPr>
        <w:t>nnex A to the EIR recast</w:t>
      </w:r>
      <w:r>
        <w:rPr>
          <w:rFonts w:ascii="Arial" w:hAnsi="Arial" w:cs="Arial"/>
          <w:color w:val="7B7B7B" w:themeColor="accent3" w:themeShade="BF"/>
          <w:sz w:val="22"/>
          <w:szCs w:val="22"/>
          <w:lang w:val="en-US"/>
        </w:rPr>
        <w:t xml:space="preserve"> </w:t>
      </w:r>
      <w:r w:rsidR="003A4634">
        <w:rPr>
          <w:rFonts w:ascii="Arial" w:hAnsi="Arial" w:cs="Arial"/>
          <w:color w:val="7B7B7B" w:themeColor="accent3" w:themeShade="BF"/>
          <w:sz w:val="22"/>
          <w:szCs w:val="22"/>
          <w:lang w:val="en-US"/>
        </w:rPr>
        <w:t>–</w:t>
      </w:r>
      <w:r>
        <w:rPr>
          <w:rFonts w:ascii="Arial" w:hAnsi="Arial" w:cs="Arial"/>
          <w:color w:val="7B7B7B" w:themeColor="accent3" w:themeShade="BF"/>
          <w:sz w:val="22"/>
          <w:szCs w:val="22"/>
          <w:lang w:val="en-US"/>
        </w:rPr>
        <w:t xml:space="preserve"> </w:t>
      </w:r>
      <w:r w:rsidR="003A4634">
        <w:rPr>
          <w:rFonts w:ascii="Arial" w:hAnsi="Arial" w:cs="Arial"/>
          <w:color w:val="7B7B7B" w:themeColor="accent3" w:themeShade="BF"/>
          <w:sz w:val="22"/>
          <w:szCs w:val="22"/>
          <w:lang w:val="en-US"/>
        </w:rPr>
        <w:t>no, the</w:t>
      </w:r>
      <w:r w:rsidR="003A4634" w:rsidRPr="003A4634">
        <w:t xml:space="preserve"> </w:t>
      </w:r>
      <w:r w:rsidR="003A4634" w:rsidRPr="003A4634">
        <w:rPr>
          <w:rFonts w:ascii="Arial" w:hAnsi="Arial" w:cs="Arial"/>
          <w:color w:val="7B7B7B" w:themeColor="accent3" w:themeShade="BF"/>
          <w:sz w:val="22"/>
          <w:szCs w:val="22"/>
          <w:lang w:val="en-US"/>
        </w:rPr>
        <w:t>procédure de sauvegarde</w:t>
      </w:r>
      <w:r w:rsidR="003A4634">
        <w:rPr>
          <w:rFonts w:ascii="Arial" w:hAnsi="Arial" w:cs="Arial"/>
          <w:color w:val="7B7B7B" w:themeColor="accent3" w:themeShade="BF"/>
          <w:sz w:val="22"/>
          <w:szCs w:val="22"/>
          <w:lang w:val="en-US"/>
        </w:rPr>
        <w:t xml:space="preserve"> </w:t>
      </w:r>
      <w:r w:rsidRPr="00290C8D">
        <w:rPr>
          <w:rFonts w:ascii="Arial" w:hAnsi="Arial" w:cs="Arial"/>
          <w:color w:val="7B7B7B" w:themeColor="accent3" w:themeShade="BF"/>
          <w:sz w:val="22"/>
          <w:szCs w:val="22"/>
          <w:lang w:val="en-US"/>
        </w:rPr>
        <w:t>is</w:t>
      </w:r>
      <w:r w:rsidR="003A4634">
        <w:rPr>
          <w:rFonts w:ascii="Arial" w:hAnsi="Arial" w:cs="Arial"/>
          <w:color w:val="7B7B7B" w:themeColor="accent3" w:themeShade="BF"/>
          <w:sz w:val="22"/>
          <w:szCs w:val="22"/>
          <w:lang w:val="en-US"/>
        </w:rPr>
        <w:t xml:space="preserve"> not</w:t>
      </w:r>
      <w:r w:rsidRPr="00290C8D">
        <w:rPr>
          <w:rFonts w:ascii="Arial" w:hAnsi="Arial" w:cs="Arial"/>
          <w:color w:val="7B7B7B" w:themeColor="accent3" w:themeShade="BF"/>
          <w:sz w:val="22"/>
          <w:szCs w:val="22"/>
          <w:lang w:val="en-US"/>
        </w:rPr>
        <w:t xml:space="preserve"> listed in </w:t>
      </w:r>
      <w:r>
        <w:rPr>
          <w:rFonts w:ascii="Arial" w:hAnsi="Arial" w:cs="Arial"/>
          <w:color w:val="7B7B7B" w:themeColor="accent3" w:themeShade="BF"/>
          <w:sz w:val="22"/>
          <w:szCs w:val="22"/>
          <w:lang w:val="en-US"/>
        </w:rPr>
        <w:t>A</w:t>
      </w:r>
      <w:r w:rsidRPr="00290C8D">
        <w:rPr>
          <w:rFonts w:ascii="Arial" w:hAnsi="Arial" w:cs="Arial"/>
          <w:color w:val="7B7B7B" w:themeColor="accent3" w:themeShade="BF"/>
          <w:sz w:val="22"/>
          <w:szCs w:val="22"/>
          <w:lang w:val="en-US"/>
        </w:rPr>
        <w:t xml:space="preserve">nnex </w:t>
      </w:r>
      <w:r>
        <w:rPr>
          <w:rFonts w:ascii="Arial" w:hAnsi="Arial" w:cs="Arial"/>
          <w:color w:val="7B7B7B" w:themeColor="accent3" w:themeShade="BF"/>
          <w:sz w:val="22"/>
          <w:szCs w:val="22"/>
          <w:lang w:val="en-US"/>
        </w:rPr>
        <w:t>A</w:t>
      </w:r>
      <w:r w:rsidR="003A4634">
        <w:rPr>
          <w:rFonts w:ascii="Arial" w:hAnsi="Arial" w:cs="Arial"/>
          <w:color w:val="7B7B7B" w:themeColor="accent3" w:themeShade="BF"/>
          <w:sz w:val="22"/>
          <w:szCs w:val="22"/>
          <w:lang w:val="en-US"/>
        </w:rPr>
        <w:t xml:space="preserve"> therefore it does not fall within the material scope.</w:t>
      </w:r>
    </w:p>
    <w:p w14:paraId="6BC07583" w14:textId="77777777" w:rsidR="00290C8D" w:rsidRPr="00290C8D" w:rsidRDefault="00290C8D" w:rsidP="00290C8D">
      <w:pPr>
        <w:pStyle w:val="ListParagraph"/>
        <w:numPr>
          <w:ilvl w:val="0"/>
          <w:numId w:val="17"/>
        </w:numPr>
        <w:autoSpaceDE w:val="0"/>
        <w:autoSpaceDN w:val="0"/>
        <w:adjustRightInd w:val="0"/>
        <w:jc w:val="both"/>
        <w:rPr>
          <w:rFonts w:ascii="Arial" w:hAnsi="Arial" w:cs="Arial"/>
          <w:sz w:val="22"/>
          <w:szCs w:val="22"/>
          <w:lang w:val="en-GB"/>
        </w:rPr>
      </w:pPr>
      <w:r w:rsidRPr="00290C8D">
        <w:rPr>
          <w:rFonts w:ascii="Arial" w:hAnsi="Arial" w:cs="Arial"/>
          <w:color w:val="7B7B7B" w:themeColor="accent3" w:themeShade="BF"/>
          <w:sz w:val="22"/>
          <w:szCs w:val="22"/>
          <w:lang w:val="en-US"/>
        </w:rPr>
        <w:t>finally, the last question that must be asked is whether the proceeding is opened after 26 June 2017</w:t>
      </w:r>
      <w:r>
        <w:rPr>
          <w:rFonts w:ascii="Arial" w:hAnsi="Arial" w:cs="Arial"/>
          <w:color w:val="7B7B7B" w:themeColor="accent3" w:themeShade="BF"/>
          <w:sz w:val="22"/>
          <w:szCs w:val="22"/>
          <w:lang w:val="en-US"/>
        </w:rPr>
        <w:t>? T</w:t>
      </w:r>
      <w:r w:rsidRPr="00290C8D">
        <w:rPr>
          <w:rFonts w:ascii="Arial" w:hAnsi="Arial" w:cs="Arial"/>
          <w:color w:val="7B7B7B" w:themeColor="accent3" w:themeShade="BF"/>
          <w:sz w:val="22"/>
          <w:szCs w:val="22"/>
          <w:lang w:val="en-US"/>
        </w:rPr>
        <w:t>he answer is yes as the respective proceeding was opened on 29th June 2017</w:t>
      </w:r>
    </w:p>
    <w:p w14:paraId="1C6067F7" w14:textId="77777777" w:rsidR="00290C8D" w:rsidRDefault="00290C8D" w:rsidP="00290C8D">
      <w:pPr>
        <w:autoSpaceDE w:val="0"/>
        <w:autoSpaceDN w:val="0"/>
        <w:adjustRightInd w:val="0"/>
        <w:ind w:left="360"/>
        <w:jc w:val="both"/>
        <w:rPr>
          <w:rFonts w:ascii="Arial" w:hAnsi="Arial" w:cs="Arial"/>
          <w:color w:val="7B7B7B" w:themeColor="accent3" w:themeShade="BF"/>
          <w:sz w:val="22"/>
          <w:szCs w:val="22"/>
          <w:lang w:val="en-GB"/>
        </w:rPr>
      </w:pPr>
    </w:p>
    <w:p w14:paraId="626FA5C6" w14:textId="1188A9EC" w:rsidR="002D3473" w:rsidRPr="00290C8D" w:rsidRDefault="00BC2C41" w:rsidP="00290C8D">
      <w:pPr>
        <w:autoSpaceDE w:val="0"/>
        <w:autoSpaceDN w:val="0"/>
        <w:adjustRightInd w:val="0"/>
        <w:ind w:left="360"/>
        <w:jc w:val="both"/>
        <w:rPr>
          <w:rFonts w:ascii="Arial" w:hAnsi="Arial" w:cs="Arial"/>
          <w:sz w:val="22"/>
          <w:szCs w:val="22"/>
          <w:lang w:val="en-GB"/>
        </w:rPr>
      </w:pPr>
      <w:r w:rsidRPr="00290C8D">
        <w:rPr>
          <w:rFonts w:ascii="Arial" w:hAnsi="Arial" w:cs="Arial"/>
          <w:color w:val="7B7B7B" w:themeColor="accent3" w:themeShade="BF"/>
          <w:sz w:val="22"/>
          <w:szCs w:val="22"/>
          <w:lang w:val="en-US"/>
        </w:rPr>
        <w:t>Therefore,</w:t>
      </w:r>
      <w:r w:rsidR="00290C8D" w:rsidRPr="00290C8D">
        <w:rPr>
          <w:rFonts w:ascii="Arial" w:hAnsi="Arial" w:cs="Arial"/>
          <w:color w:val="7B7B7B" w:themeColor="accent3" w:themeShade="BF"/>
          <w:sz w:val="22"/>
          <w:szCs w:val="22"/>
          <w:lang w:val="en-US"/>
        </w:rPr>
        <w:t xml:space="preserve"> </w:t>
      </w:r>
      <w:r w:rsidR="003A4634" w:rsidRPr="003A4634">
        <w:rPr>
          <w:rFonts w:ascii="Arial" w:hAnsi="Arial" w:cs="Arial"/>
          <w:color w:val="7B7B7B" w:themeColor="accent3" w:themeShade="BF"/>
          <w:sz w:val="22"/>
          <w:szCs w:val="22"/>
          <w:lang w:val="en-US"/>
        </w:rPr>
        <w:t>due to the fact that the pr</w:t>
      </w:r>
      <w:r w:rsidR="006C4394">
        <w:rPr>
          <w:rFonts w:ascii="Arial" w:hAnsi="Arial" w:cs="Arial"/>
          <w:color w:val="7B7B7B" w:themeColor="accent3" w:themeShade="BF"/>
          <w:sz w:val="22"/>
          <w:szCs w:val="22"/>
          <w:lang w:val="en-US"/>
        </w:rPr>
        <w:t xml:space="preserve">oceeding is a restructuring proceeding and not an insolvency proceeding which </w:t>
      </w:r>
      <w:r w:rsidR="003A4634" w:rsidRPr="003A4634">
        <w:rPr>
          <w:rFonts w:ascii="Arial" w:hAnsi="Arial" w:cs="Arial"/>
          <w:color w:val="7B7B7B" w:themeColor="accent3" w:themeShade="BF"/>
          <w:sz w:val="22"/>
          <w:szCs w:val="22"/>
          <w:lang w:val="en-US"/>
        </w:rPr>
        <w:t xml:space="preserve">does not form part of </w:t>
      </w:r>
      <w:r w:rsidR="003A4634">
        <w:rPr>
          <w:rFonts w:ascii="Arial" w:hAnsi="Arial" w:cs="Arial"/>
          <w:color w:val="7B7B7B" w:themeColor="accent3" w:themeShade="BF"/>
          <w:sz w:val="22"/>
          <w:szCs w:val="22"/>
          <w:lang w:val="en-US"/>
        </w:rPr>
        <w:t>Annex A</w:t>
      </w:r>
      <w:r w:rsidR="003A4634" w:rsidRPr="003A4634">
        <w:rPr>
          <w:rFonts w:ascii="Arial" w:hAnsi="Arial" w:cs="Arial"/>
          <w:color w:val="7B7B7B" w:themeColor="accent3" w:themeShade="BF"/>
          <w:sz w:val="22"/>
          <w:szCs w:val="22"/>
          <w:lang w:val="en-US"/>
        </w:rPr>
        <w:t xml:space="preserve"> to the </w:t>
      </w:r>
      <w:r w:rsidR="003A4634">
        <w:rPr>
          <w:rFonts w:ascii="Arial" w:hAnsi="Arial" w:cs="Arial"/>
          <w:color w:val="7B7B7B" w:themeColor="accent3" w:themeShade="BF"/>
          <w:sz w:val="22"/>
          <w:szCs w:val="22"/>
          <w:lang w:val="en-US"/>
        </w:rPr>
        <w:t>E</w:t>
      </w:r>
      <w:r w:rsidR="003A4634" w:rsidRPr="003A4634">
        <w:rPr>
          <w:rFonts w:ascii="Arial" w:hAnsi="Arial" w:cs="Arial"/>
          <w:color w:val="7B7B7B" w:themeColor="accent3" w:themeShade="BF"/>
          <w:sz w:val="22"/>
          <w:szCs w:val="22"/>
          <w:lang w:val="en-US"/>
        </w:rPr>
        <w:t xml:space="preserve">IR </w:t>
      </w:r>
      <w:r w:rsidR="003A4634">
        <w:rPr>
          <w:rFonts w:ascii="Arial" w:hAnsi="Arial" w:cs="Arial"/>
          <w:color w:val="7B7B7B" w:themeColor="accent3" w:themeShade="BF"/>
          <w:sz w:val="22"/>
          <w:szCs w:val="22"/>
          <w:lang w:val="en-US"/>
        </w:rPr>
        <w:t>R</w:t>
      </w:r>
      <w:r w:rsidR="003A4634" w:rsidRPr="003A4634">
        <w:rPr>
          <w:rFonts w:ascii="Arial" w:hAnsi="Arial" w:cs="Arial"/>
          <w:color w:val="7B7B7B" w:themeColor="accent3" w:themeShade="BF"/>
          <w:sz w:val="22"/>
          <w:szCs w:val="22"/>
          <w:lang w:val="en-US"/>
        </w:rPr>
        <w:t>ecast</w:t>
      </w:r>
      <w:r>
        <w:rPr>
          <w:rFonts w:ascii="Arial" w:hAnsi="Arial" w:cs="Arial"/>
          <w:color w:val="7B7B7B" w:themeColor="accent3" w:themeShade="BF"/>
          <w:sz w:val="22"/>
          <w:szCs w:val="22"/>
          <w:lang w:val="en-US"/>
        </w:rPr>
        <w:t>,</w:t>
      </w:r>
      <w:r w:rsidR="003A4634" w:rsidRPr="003A4634">
        <w:rPr>
          <w:rFonts w:ascii="Arial" w:hAnsi="Arial" w:cs="Arial"/>
          <w:color w:val="7B7B7B" w:themeColor="accent3" w:themeShade="BF"/>
          <w:sz w:val="22"/>
          <w:szCs w:val="22"/>
          <w:lang w:val="en-US"/>
        </w:rPr>
        <w:t xml:space="preserve"> it therefore does not fall within the </w:t>
      </w:r>
      <w:r w:rsidR="006C4394">
        <w:rPr>
          <w:rFonts w:ascii="Arial" w:hAnsi="Arial" w:cs="Arial"/>
          <w:color w:val="7B7B7B" w:themeColor="accent3" w:themeShade="BF"/>
          <w:sz w:val="22"/>
          <w:szCs w:val="22"/>
          <w:lang w:val="en-US"/>
        </w:rPr>
        <w:t>scope and the EIR Recast would not apply</w:t>
      </w:r>
      <w:r w:rsidR="0005439C" w:rsidRPr="0005439C">
        <w:rPr>
          <w:rFonts w:ascii="Arial" w:hAnsi="Arial" w:cs="Arial"/>
          <w:color w:val="7B7B7B" w:themeColor="accent3" w:themeShade="BF"/>
          <w:sz w:val="22"/>
          <w:szCs w:val="22"/>
          <w:lang w:val="en-US"/>
        </w:rPr>
        <w:t>.</w:t>
      </w:r>
      <w:r w:rsidR="002D3473" w:rsidRPr="00290C8D">
        <w:rPr>
          <w:rFonts w:ascii="Arial" w:hAnsi="Arial" w:cs="Arial"/>
          <w:color w:val="7B7B7B" w:themeColor="accent3" w:themeShade="BF"/>
          <w:sz w:val="22"/>
          <w:szCs w:val="22"/>
          <w:lang w:val="en-GB"/>
        </w:rPr>
        <w:t>]</w:t>
      </w:r>
      <w:r w:rsidR="00260D4F" w:rsidRPr="00290C8D">
        <w:rPr>
          <w:rFonts w:ascii="Arial" w:hAnsi="Arial" w:cs="Arial"/>
          <w:color w:val="7B7B7B" w:themeColor="accent3" w:themeShade="BF"/>
          <w:sz w:val="22"/>
          <w:szCs w:val="22"/>
          <w:lang w:val="en-GB"/>
        </w:rPr>
        <w:t xml:space="preserve"> </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89BD37A" w14:textId="605C8AC3" w:rsidR="00E9498F" w:rsidRDefault="0033768C" w:rsidP="002A37BB">
      <w:pPr>
        <w:jc w:val="both"/>
        <w:rPr>
          <w:rFonts w:ascii="Arial" w:hAnsi="Arial" w:cs="Arial"/>
          <w:color w:val="7B7B7B" w:themeColor="accent3" w:themeShade="BF"/>
          <w:sz w:val="22"/>
          <w:szCs w:val="22"/>
          <w:lang w:val="en-US"/>
        </w:rPr>
      </w:pPr>
      <w:r w:rsidRPr="008500BD">
        <w:rPr>
          <w:rFonts w:ascii="Arial" w:hAnsi="Arial" w:cs="Arial"/>
          <w:color w:val="7B7B7B" w:themeColor="accent3" w:themeShade="BF"/>
          <w:sz w:val="22"/>
          <w:szCs w:val="22"/>
          <w:lang w:val="en-GB"/>
        </w:rPr>
        <w:t>[</w:t>
      </w:r>
      <w:r w:rsidR="003A4634">
        <w:rPr>
          <w:rFonts w:ascii="Arial" w:hAnsi="Arial" w:cs="Arial"/>
          <w:color w:val="7B7B7B" w:themeColor="accent3" w:themeShade="BF"/>
          <w:sz w:val="22"/>
          <w:szCs w:val="22"/>
          <w:lang w:val="en-GB"/>
        </w:rPr>
        <w:t xml:space="preserve">Yes, </w:t>
      </w:r>
      <w:r w:rsidR="003A4634" w:rsidRPr="003A4634">
        <w:rPr>
          <w:rFonts w:ascii="Arial" w:hAnsi="Arial" w:cs="Arial"/>
          <w:color w:val="7B7B7B" w:themeColor="accent3" w:themeShade="BF"/>
          <w:sz w:val="22"/>
          <w:szCs w:val="22"/>
          <w:lang w:val="en-US"/>
        </w:rPr>
        <w:t>such a proceeding can be open</w:t>
      </w:r>
      <w:r w:rsidR="003A4634">
        <w:rPr>
          <w:rFonts w:ascii="Arial" w:hAnsi="Arial" w:cs="Arial"/>
          <w:color w:val="7B7B7B" w:themeColor="accent3" w:themeShade="BF"/>
          <w:sz w:val="22"/>
          <w:szCs w:val="22"/>
          <w:lang w:val="en-US"/>
        </w:rPr>
        <w:t>ed in</w:t>
      </w:r>
      <w:r w:rsidR="003A4634" w:rsidRPr="003A4634">
        <w:rPr>
          <w:rFonts w:ascii="Arial" w:hAnsi="Arial" w:cs="Arial"/>
          <w:color w:val="7B7B7B" w:themeColor="accent3" w:themeShade="BF"/>
          <w:sz w:val="22"/>
          <w:szCs w:val="22"/>
          <w:lang w:val="en-US"/>
        </w:rPr>
        <w:t xml:space="preserve"> Spain</w:t>
      </w:r>
      <w:r w:rsidR="008B37AE">
        <w:rPr>
          <w:rFonts w:ascii="Arial" w:hAnsi="Arial" w:cs="Arial"/>
          <w:color w:val="7B7B7B" w:themeColor="accent3" w:themeShade="BF"/>
          <w:sz w:val="22"/>
          <w:szCs w:val="22"/>
          <w:lang w:val="en-US"/>
        </w:rPr>
        <w:t xml:space="preserve"> under the EIR Recast</w:t>
      </w:r>
      <w:r w:rsidR="003A4634">
        <w:rPr>
          <w:rFonts w:ascii="Arial" w:hAnsi="Arial" w:cs="Arial"/>
          <w:color w:val="7B7B7B" w:themeColor="accent3" w:themeShade="BF"/>
          <w:sz w:val="22"/>
          <w:szCs w:val="22"/>
          <w:lang w:val="en-US"/>
        </w:rPr>
        <w:t>.</w:t>
      </w:r>
      <w:r w:rsidR="00E9498F">
        <w:rPr>
          <w:rFonts w:ascii="Arial" w:hAnsi="Arial" w:cs="Arial"/>
          <w:color w:val="7B7B7B" w:themeColor="accent3" w:themeShade="BF"/>
          <w:sz w:val="22"/>
          <w:szCs w:val="22"/>
          <w:lang w:val="en-US"/>
        </w:rPr>
        <w:t xml:space="preserve"> According to Article 3(2) of the EIR Recast which states: </w:t>
      </w:r>
    </w:p>
    <w:p w14:paraId="2ECAEAAC" w14:textId="77777777" w:rsidR="00E9498F" w:rsidRDefault="00E9498F" w:rsidP="00E9498F">
      <w:pPr>
        <w:jc w:val="both"/>
        <w:rPr>
          <w:rFonts w:ascii="Arial" w:hAnsi="Arial" w:cs="Arial"/>
          <w:color w:val="7B7B7B" w:themeColor="accent3" w:themeShade="BF"/>
          <w:sz w:val="22"/>
          <w:szCs w:val="22"/>
          <w:lang w:val="en-US"/>
        </w:rPr>
      </w:pPr>
    </w:p>
    <w:p w14:paraId="5379D868" w14:textId="77777777" w:rsidR="00E9498F" w:rsidRPr="00E9498F" w:rsidRDefault="00E9498F" w:rsidP="00E9498F">
      <w:pPr>
        <w:jc w:val="both"/>
        <w:rPr>
          <w:rFonts w:ascii="Arial" w:hAnsi="Arial" w:cs="Arial"/>
          <w:i/>
          <w:iCs/>
          <w:color w:val="7B7B7B" w:themeColor="accent3" w:themeShade="BF"/>
          <w:sz w:val="22"/>
          <w:szCs w:val="22"/>
          <w:lang w:val="en-US"/>
        </w:rPr>
      </w:pPr>
      <w:r w:rsidRPr="00E9498F">
        <w:rPr>
          <w:rFonts w:ascii="Arial" w:hAnsi="Arial" w:cs="Arial"/>
          <w:i/>
          <w:iCs/>
          <w:color w:val="7B7B7B" w:themeColor="accent3" w:themeShade="BF"/>
          <w:sz w:val="22"/>
          <w:szCs w:val="22"/>
          <w:lang w:val="en-US"/>
        </w:rPr>
        <w:t>“Where the centre of a debtor’s main interests is situated within the territory of a Member State, the courts of another Member State shall have jurisdiction to open insolvency proceedings against that debtor only if he possesses an establishment within the territory of that other Member State. The effects of those proceedings shall be restricted to the assets of the debtor situated in the territory of the latter Member State.”</w:t>
      </w:r>
    </w:p>
    <w:p w14:paraId="52860269" w14:textId="77777777" w:rsidR="00E9498F" w:rsidRDefault="00E9498F" w:rsidP="00E9498F">
      <w:pPr>
        <w:jc w:val="both"/>
        <w:rPr>
          <w:rFonts w:ascii="Arial" w:hAnsi="Arial" w:cs="Arial"/>
          <w:color w:val="7B7B7B" w:themeColor="accent3" w:themeShade="BF"/>
          <w:sz w:val="22"/>
          <w:szCs w:val="22"/>
          <w:lang w:val="en-US"/>
        </w:rPr>
      </w:pPr>
    </w:p>
    <w:p w14:paraId="4DF6684D" w14:textId="77777777" w:rsidR="00023B1A" w:rsidRDefault="008B37AE" w:rsidP="00E9498F">
      <w:pPr>
        <w:jc w:val="both"/>
        <w:rPr>
          <w:rFonts w:ascii="Arial" w:hAnsi="Arial" w:cs="Arial"/>
          <w:color w:val="7B7B7B" w:themeColor="accent3" w:themeShade="BF"/>
          <w:sz w:val="22"/>
          <w:szCs w:val="22"/>
          <w:lang w:val="en-US"/>
        </w:rPr>
      </w:pPr>
      <w:r w:rsidRPr="008B37AE">
        <w:rPr>
          <w:rFonts w:ascii="Arial" w:hAnsi="Arial" w:cs="Arial"/>
          <w:color w:val="7B7B7B" w:themeColor="accent3" w:themeShade="BF"/>
          <w:sz w:val="22"/>
          <w:szCs w:val="22"/>
          <w:lang w:val="en-US"/>
        </w:rPr>
        <w:t>In the above scenario,</w:t>
      </w:r>
      <w:r>
        <w:rPr>
          <w:rFonts w:ascii="Arial" w:hAnsi="Arial" w:cs="Arial"/>
          <w:color w:val="7B7B7B" w:themeColor="accent3" w:themeShade="BF"/>
          <w:sz w:val="22"/>
          <w:szCs w:val="22"/>
          <w:lang w:val="en-US"/>
        </w:rPr>
        <w:t xml:space="preserve"> PAJ </w:t>
      </w:r>
      <w:r w:rsidRPr="008B37AE">
        <w:rPr>
          <w:rFonts w:ascii="Arial" w:hAnsi="Arial" w:cs="Arial"/>
          <w:color w:val="7B7B7B" w:themeColor="accent3" w:themeShade="BF"/>
          <w:sz w:val="22"/>
          <w:szCs w:val="22"/>
          <w:lang w:val="en-US"/>
        </w:rPr>
        <w:t>possesses an establishment in the form of a warehouse in Madrid Spain, therefore has the necessary</w:t>
      </w:r>
      <w:r>
        <w:rPr>
          <w:rFonts w:ascii="Arial" w:hAnsi="Arial" w:cs="Arial"/>
          <w:color w:val="7B7B7B" w:themeColor="accent3" w:themeShade="BF"/>
          <w:sz w:val="22"/>
          <w:szCs w:val="22"/>
          <w:lang w:val="en-US"/>
        </w:rPr>
        <w:t xml:space="preserve"> </w:t>
      </w:r>
      <w:r w:rsidRPr="00023B1A">
        <w:rPr>
          <w:rFonts w:ascii="Arial" w:hAnsi="Arial" w:cs="Arial"/>
          <w:i/>
          <w:iCs/>
          <w:color w:val="7B7B7B" w:themeColor="accent3" w:themeShade="BF"/>
          <w:sz w:val="22"/>
          <w:szCs w:val="22"/>
          <w:lang w:val="en-US"/>
        </w:rPr>
        <w:t>locus standi</w:t>
      </w:r>
      <w:r>
        <w:rPr>
          <w:rFonts w:ascii="Arial" w:hAnsi="Arial" w:cs="Arial"/>
          <w:color w:val="7B7B7B" w:themeColor="accent3" w:themeShade="BF"/>
          <w:sz w:val="22"/>
          <w:szCs w:val="22"/>
          <w:lang w:val="en-US"/>
        </w:rPr>
        <w:t xml:space="preserve"> </w:t>
      </w:r>
      <w:r w:rsidRPr="008B37AE">
        <w:rPr>
          <w:rFonts w:ascii="Arial" w:hAnsi="Arial" w:cs="Arial"/>
          <w:color w:val="7B7B7B" w:themeColor="accent3" w:themeShade="BF"/>
          <w:sz w:val="22"/>
          <w:szCs w:val="22"/>
          <w:lang w:val="en-US"/>
        </w:rPr>
        <w:t>an</w:t>
      </w:r>
      <w:r w:rsidR="00023B1A">
        <w:rPr>
          <w:rFonts w:ascii="Arial" w:hAnsi="Arial" w:cs="Arial"/>
          <w:color w:val="7B7B7B" w:themeColor="accent3" w:themeShade="BF"/>
          <w:sz w:val="22"/>
          <w:szCs w:val="22"/>
          <w:lang w:val="en-US"/>
        </w:rPr>
        <w:t>d</w:t>
      </w:r>
      <w:r w:rsidRPr="008B37AE">
        <w:rPr>
          <w:rFonts w:ascii="Arial" w:hAnsi="Arial" w:cs="Arial"/>
          <w:color w:val="7B7B7B" w:themeColor="accent3" w:themeShade="BF"/>
          <w:sz w:val="22"/>
          <w:szCs w:val="22"/>
          <w:lang w:val="en-US"/>
        </w:rPr>
        <w:t xml:space="preserve"> jurisdiction to open secondary insolvency proceedings in Spain.</w:t>
      </w:r>
    </w:p>
    <w:p w14:paraId="4C300E44" w14:textId="77777777" w:rsidR="00023B1A" w:rsidRDefault="00023B1A" w:rsidP="00E9498F">
      <w:pPr>
        <w:jc w:val="both"/>
        <w:rPr>
          <w:rFonts w:ascii="Arial" w:hAnsi="Arial" w:cs="Arial"/>
          <w:color w:val="7B7B7B" w:themeColor="accent3" w:themeShade="BF"/>
          <w:sz w:val="22"/>
          <w:szCs w:val="22"/>
          <w:lang w:val="en-US"/>
        </w:rPr>
      </w:pPr>
    </w:p>
    <w:p w14:paraId="2805E51F" w14:textId="19B6A198" w:rsidR="00023B1A" w:rsidRDefault="00023B1A" w:rsidP="00023B1A">
      <w:pPr>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US"/>
        </w:rPr>
        <w:t xml:space="preserve">In the case of </w:t>
      </w:r>
      <w:r w:rsidRPr="00023B1A">
        <w:rPr>
          <w:rFonts w:ascii="Arial" w:hAnsi="Arial" w:cs="Arial"/>
          <w:i/>
          <w:iCs/>
          <w:color w:val="7B7B7B" w:themeColor="accent3" w:themeShade="BF"/>
          <w:sz w:val="22"/>
          <w:szCs w:val="22"/>
          <w:lang w:val="en-US"/>
        </w:rPr>
        <w:t>Interedil Srl v Fallimento Interedil Srl</w:t>
      </w:r>
      <w:r>
        <w:rPr>
          <w:rStyle w:val="FootnoteReference"/>
          <w:rFonts w:ascii="Arial" w:hAnsi="Arial" w:cs="Arial"/>
          <w:i/>
          <w:iCs/>
          <w:color w:val="7B7B7B" w:themeColor="accent3" w:themeShade="BF"/>
          <w:sz w:val="22"/>
          <w:szCs w:val="22"/>
          <w:lang w:val="en-US"/>
        </w:rPr>
        <w:footnoteReference w:id="6"/>
      </w:r>
      <w:r>
        <w:rPr>
          <w:rFonts w:ascii="Arial" w:hAnsi="Arial" w:cs="Arial"/>
          <w:i/>
          <w:iCs/>
          <w:color w:val="7B7B7B" w:themeColor="accent3" w:themeShade="BF"/>
          <w:sz w:val="22"/>
          <w:szCs w:val="22"/>
          <w:lang w:val="en-US"/>
        </w:rPr>
        <w:t xml:space="preserve"> </w:t>
      </w:r>
      <w:r>
        <w:rPr>
          <w:rFonts w:ascii="Arial" w:hAnsi="Arial" w:cs="Arial"/>
          <w:color w:val="7B7B7B" w:themeColor="accent3" w:themeShade="BF"/>
          <w:sz w:val="22"/>
          <w:szCs w:val="22"/>
          <w:lang w:val="en-US"/>
        </w:rPr>
        <w:t xml:space="preserve">the Court stated in paragraphs 62 and 63 that: </w:t>
      </w:r>
    </w:p>
    <w:p w14:paraId="28AD4180" w14:textId="77777777" w:rsidR="00023B1A" w:rsidRDefault="00023B1A" w:rsidP="00023B1A">
      <w:pPr>
        <w:jc w:val="both"/>
        <w:rPr>
          <w:rFonts w:ascii="Arial" w:hAnsi="Arial" w:cs="Arial"/>
          <w:color w:val="7B7B7B" w:themeColor="accent3" w:themeShade="BF"/>
          <w:sz w:val="22"/>
          <w:szCs w:val="22"/>
          <w:lang w:val="en-US"/>
        </w:rPr>
      </w:pPr>
    </w:p>
    <w:p w14:paraId="6CB60190" w14:textId="6C8F1E9B" w:rsidR="00023B1A" w:rsidRPr="00023B1A" w:rsidRDefault="00023B1A" w:rsidP="00023B1A">
      <w:pPr>
        <w:jc w:val="both"/>
        <w:rPr>
          <w:rFonts w:ascii="Arial" w:hAnsi="Arial" w:cs="Arial"/>
          <w:i/>
          <w:iCs/>
          <w:color w:val="7B7B7B" w:themeColor="accent3" w:themeShade="BF"/>
          <w:sz w:val="22"/>
          <w:szCs w:val="22"/>
          <w:lang w:val="en-US"/>
        </w:rPr>
      </w:pPr>
      <w:r>
        <w:rPr>
          <w:rFonts w:ascii="Arial" w:hAnsi="Arial" w:cs="Arial"/>
          <w:i/>
          <w:iCs/>
          <w:color w:val="7B7B7B" w:themeColor="accent3" w:themeShade="BF"/>
          <w:sz w:val="22"/>
          <w:szCs w:val="22"/>
          <w:lang w:val="en-US"/>
        </w:rPr>
        <w:t>“</w:t>
      </w:r>
      <w:r w:rsidRPr="00023B1A">
        <w:rPr>
          <w:rFonts w:ascii="Arial" w:hAnsi="Arial" w:cs="Arial"/>
          <w:i/>
          <w:iCs/>
          <w:color w:val="7B7B7B" w:themeColor="accent3" w:themeShade="BF"/>
          <w:sz w:val="22"/>
          <w:szCs w:val="22"/>
          <w:lang w:val="en-US"/>
        </w:rPr>
        <w:t>62</w:t>
      </w:r>
      <w:r>
        <w:rPr>
          <w:rFonts w:ascii="Arial" w:hAnsi="Arial" w:cs="Arial"/>
          <w:i/>
          <w:iCs/>
          <w:color w:val="7B7B7B" w:themeColor="accent3" w:themeShade="BF"/>
          <w:sz w:val="22"/>
          <w:szCs w:val="22"/>
          <w:lang w:val="en-US"/>
        </w:rPr>
        <w:t>.</w:t>
      </w:r>
      <w:r w:rsidRPr="00023B1A">
        <w:rPr>
          <w:rFonts w:ascii="Arial" w:hAnsi="Arial" w:cs="Arial"/>
          <w:i/>
          <w:iCs/>
          <w:color w:val="7B7B7B" w:themeColor="accent3" w:themeShade="BF"/>
          <w:sz w:val="22"/>
          <w:szCs w:val="22"/>
          <w:lang w:val="en-US"/>
        </w:rPr>
        <w:t xml:space="preserve"> The fact that that definition links the pursuit of an economic activity to the presence</w:t>
      </w:r>
    </w:p>
    <w:p w14:paraId="1D66D126" w14:textId="77777777"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of human resources shows that a minimum level of organisation and a degree of sta</w:t>
      </w:r>
    </w:p>
    <w:p w14:paraId="0C725E92" w14:textId="77777777"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bility are required. It follows that, conversely, the presence alone of goods in isolation</w:t>
      </w:r>
    </w:p>
    <w:p w14:paraId="1AA2D09F" w14:textId="77777777"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or bank accounts does not, in principle, satisfy the requirements for classification as</w:t>
      </w:r>
    </w:p>
    <w:p w14:paraId="732A2579" w14:textId="54B00C01"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an ‘establishment’.</w:t>
      </w:r>
    </w:p>
    <w:p w14:paraId="00C9607A" w14:textId="77777777" w:rsidR="00023B1A" w:rsidRPr="00023B1A" w:rsidRDefault="00023B1A" w:rsidP="00023B1A">
      <w:pPr>
        <w:jc w:val="both"/>
        <w:rPr>
          <w:rFonts w:ascii="Arial" w:hAnsi="Arial" w:cs="Arial"/>
          <w:i/>
          <w:iCs/>
          <w:color w:val="7B7B7B" w:themeColor="accent3" w:themeShade="BF"/>
          <w:sz w:val="22"/>
          <w:szCs w:val="22"/>
          <w:lang w:val="en-US"/>
        </w:rPr>
      </w:pPr>
    </w:p>
    <w:p w14:paraId="32EC7843" w14:textId="49962335"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63</w:t>
      </w:r>
      <w:r>
        <w:rPr>
          <w:rFonts w:ascii="Arial" w:hAnsi="Arial" w:cs="Arial"/>
          <w:i/>
          <w:iCs/>
          <w:color w:val="7B7B7B" w:themeColor="accent3" w:themeShade="BF"/>
          <w:sz w:val="22"/>
          <w:szCs w:val="22"/>
          <w:lang w:val="en-US"/>
        </w:rPr>
        <w:t>.</w:t>
      </w:r>
      <w:r w:rsidRPr="00023B1A">
        <w:rPr>
          <w:rFonts w:ascii="Arial" w:hAnsi="Arial" w:cs="Arial"/>
          <w:i/>
          <w:iCs/>
          <w:color w:val="7B7B7B" w:themeColor="accent3" w:themeShade="BF"/>
          <w:sz w:val="22"/>
          <w:szCs w:val="22"/>
          <w:lang w:val="en-US"/>
        </w:rPr>
        <w:t xml:space="preserve"> Since, in accordance with Article 3(2) of the Regulation, the presence of an establish</w:t>
      </w:r>
    </w:p>
    <w:p w14:paraId="34CE6BFF" w14:textId="77777777"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ment in the territory of a Member State confers jurisdiction on the courts of that</w:t>
      </w:r>
    </w:p>
    <w:p w14:paraId="6E11DE51" w14:textId="77777777"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State to open secondary insolvency proceedings against the debtor, it must be con</w:t>
      </w:r>
    </w:p>
    <w:p w14:paraId="3E8AAA9C" w14:textId="77777777"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cluded that, in order to ensure legal certainty and foreseeability concerning the de</w:t>
      </w:r>
    </w:p>
    <w:p w14:paraId="68BFECC6" w14:textId="77777777"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 xml:space="preserve">termination of the courts with jurisdiction, the existence of an establishment must </w:t>
      </w:r>
    </w:p>
    <w:p w14:paraId="6E92B793" w14:textId="77777777"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be determined, in the same way as the location of the centre of main interests, on the</w:t>
      </w:r>
    </w:p>
    <w:p w14:paraId="54FE8FA3" w14:textId="26C42823" w:rsidR="00023B1A" w:rsidRPr="00023B1A" w:rsidRDefault="00023B1A" w:rsidP="00023B1A">
      <w:pPr>
        <w:jc w:val="both"/>
        <w:rPr>
          <w:rFonts w:ascii="Arial" w:hAnsi="Arial" w:cs="Arial"/>
          <w:i/>
          <w:iCs/>
          <w:color w:val="7B7B7B" w:themeColor="accent3" w:themeShade="BF"/>
          <w:sz w:val="22"/>
          <w:szCs w:val="22"/>
          <w:lang w:val="en-US"/>
        </w:rPr>
      </w:pPr>
      <w:r w:rsidRPr="00023B1A">
        <w:rPr>
          <w:rFonts w:ascii="Arial" w:hAnsi="Arial" w:cs="Arial"/>
          <w:i/>
          <w:iCs/>
          <w:color w:val="7B7B7B" w:themeColor="accent3" w:themeShade="BF"/>
          <w:sz w:val="22"/>
          <w:szCs w:val="22"/>
          <w:lang w:val="en-US"/>
        </w:rPr>
        <w:t>basis of objective factors which are ascertainable by third parties.</w:t>
      </w:r>
      <w:r>
        <w:rPr>
          <w:rFonts w:ascii="Arial" w:hAnsi="Arial" w:cs="Arial"/>
          <w:i/>
          <w:iCs/>
          <w:color w:val="7B7B7B" w:themeColor="accent3" w:themeShade="BF"/>
          <w:sz w:val="22"/>
          <w:szCs w:val="22"/>
          <w:lang w:val="en-US"/>
        </w:rPr>
        <w:t>”</w:t>
      </w:r>
    </w:p>
    <w:p w14:paraId="5DB46FD3" w14:textId="77777777" w:rsidR="00023B1A" w:rsidRDefault="00023B1A" w:rsidP="00023B1A">
      <w:pPr>
        <w:jc w:val="both"/>
        <w:rPr>
          <w:rFonts w:ascii="Arial" w:hAnsi="Arial" w:cs="Arial"/>
          <w:color w:val="7B7B7B" w:themeColor="accent3" w:themeShade="BF"/>
          <w:sz w:val="22"/>
          <w:szCs w:val="22"/>
          <w:lang w:val="en-US"/>
        </w:rPr>
      </w:pPr>
    </w:p>
    <w:p w14:paraId="77CE8695" w14:textId="5E620471" w:rsidR="0077498C" w:rsidRPr="00E9498F" w:rsidRDefault="00023B1A" w:rsidP="00023B1A">
      <w:pPr>
        <w:jc w:val="both"/>
        <w:rPr>
          <w:rFonts w:ascii="Arial" w:hAnsi="Arial" w:cs="Arial"/>
          <w:color w:val="7B7B7B" w:themeColor="accent3" w:themeShade="BF"/>
          <w:sz w:val="22"/>
          <w:szCs w:val="22"/>
          <w:lang w:val="en-US"/>
        </w:rPr>
      </w:pPr>
      <w:r>
        <w:rPr>
          <w:rFonts w:ascii="Arial" w:hAnsi="Arial" w:cs="Arial"/>
          <w:color w:val="7B7B7B" w:themeColor="accent3" w:themeShade="BF"/>
          <w:sz w:val="22"/>
          <w:szCs w:val="22"/>
          <w:lang w:val="en-GB"/>
        </w:rPr>
        <w:lastRenderedPageBreak/>
        <w:t xml:space="preserve">It is clear from the above that PAJ possesses more than goods in isolation or a bank account and conducts business in Spain in the form of rental of its warehouse, </w:t>
      </w:r>
      <w:r w:rsidRPr="00023B1A">
        <w:rPr>
          <w:rFonts w:ascii="Arial" w:hAnsi="Arial" w:cs="Arial"/>
          <w:color w:val="7B7B7B" w:themeColor="accent3" w:themeShade="BF"/>
          <w:sz w:val="22"/>
          <w:szCs w:val="22"/>
          <w:lang w:val="en-US"/>
        </w:rPr>
        <w:t xml:space="preserve">therefore such proceedings can definitely be opened in Spain in terms of the </w:t>
      </w:r>
      <w:r>
        <w:rPr>
          <w:rFonts w:ascii="Arial" w:hAnsi="Arial" w:cs="Arial"/>
          <w:color w:val="7B7B7B" w:themeColor="accent3" w:themeShade="BF"/>
          <w:sz w:val="22"/>
          <w:szCs w:val="22"/>
          <w:lang w:val="en-US"/>
        </w:rPr>
        <w:t>E</w:t>
      </w:r>
      <w:r w:rsidRPr="00023B1A">
        <w:rPr>
          <w:rFonts w:ascii="Arial" w:hAnsi="Arial" w:cs="Arial"/>
          <w:color w:val="7B7B7B" w:themeColor="accent3" w:themeShade="BF"/>
          <w:sz w:val="22"/>
          <w:szCs w:val="22"/>
          <w:lang w:val="en-US"/>
        </w:rPr>
        <w:t>IR recast</w:t>
      </w:r>
      <w:r>
        <w:rPr>
          <w:rFonts w:ascii="Arial" w:hAnsi="Arial" w:cs="Arial"/>
          <w:color w:val="7B7B7B" w:themeColor="accent3" w:themeShade="BF"/>
          <w:sz w:val="22"/>
          <w:szCs w:val="22"/>
          <w:lang w:val="en-US"/>
        </w:rPr>
        <w:t xml:space="preserve"> </w:t>
      </w:r>
      <w:r w:rsidRPr="00023B1A">
        <w:rPr>
          <w:rFonts w:ascii="Arial" w:hAnsi="Arial" w:cs="Arial"/>
          <w:color w:val="7B7B7B" w:themeColor="accent3" w:themeShade="BF"/>
          <w:sz w:val="22"/>
          <w:szCs w:val="22"/>
          <w:lang w:val="en-US"/>
        </w:rPr>
        <w:t xml:space="preserve">an </w:t>
      </w:r>
      <w:r w:rsidR="00BC2C41" w:rsidRPr="00023B1A">
        <w:rPr>
          <w:rFonts w:ascii="Arial" w:hAnsi="Arial" w:cs="Arial"/>
          <w:color w:val="7B7B7B" w:themeColor="accent3" w:themeShade="BF"/>
          <w:sz w:val="22"/>
          <w:szCs w:val="22"/>
          <w:lang w:val="en-US"/>
        </w:rPr>
        <w:t>above-mentioned</w:t>
      </w:r>
      <w:r w:rsidRPr="00023B1A">
        <w:rPr>
          <w:rFonts w:ascii="Arial" w:hAnsi="Arial" w:cs="Arial"/>
          <w:color w:val="7B7B7B" w:themeColor="accent3" w:themeShade="BF"/>
          <w:sz w:val="22"/>
          <w:szCs w:val="22"/>
          <w:lang w:val="en-US"/>
        </w:rPr>
        <w:t xml:space="preserve"> case law.</w:t>
      </w:r>
      <w:r w:rsidR="0033768C" w:rsidRPr="008500BD">
        <w:rPr>
          <w:rFonts w:ascii="Arial" w:hAnsi="Arial" w:cs="Arial"/>
          <w:color w:val="7B7B7B" w:themeColor="accent3" w:themeShade="BF"/>
          <w:sz w:val="22"/>
          <w:szCs w:val="22"/>
          <w:lang w:val="en-GB"/>
        </w:rPr>
        <w:t>]</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8BC60" w14:textId="77777777" w:rsidR="0012768F" w:rsidRDefault="0012768F" w:rsidP="00241B44">
      <w:r>
        <w:separator/>
      </w:r>
    </w:p>
  </w:endnote>
  <w:endnote w:type="continuationSeparator" w:id="0">
    <w:p w14:paraId="55461D90" w14:textId="77777777" w:rsidR="0012768F" w:rsidRDefault="0012768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1841BCD" w:rsidR="00241FA3" w:rsidRPr="009B4976" w:rsidRDefault="000D3599" w:rsidP="000D3599">
    <w:pPr>
      <w:pStyle w:val="Footer"/>
      <w:ind w:right="360"/>
      <w:rPr>
        <w:rFonts w:ascii="Arial" w:hAnsi="Arial" w:cs="Arial"/>
        <w:sz w:val="18"/>
        <w:szCs w:val="18"/>
        <w:lang w:val="en-GB"/>
      </w:rPr>
    </w:pPr>
    <w:r w:rsidRPr="000D3599">
      <w:rPr>
        <w:rFonts w:ascii="Arial" w:hAnsi="Arial" w:cs="Arial"/>
        <w:sz w:val="18"/>
        <w:szCs w:val="18"/>
        <w:lang w:val="en-GB"/>
      </w:rPr>
      <w:t>202021IFU-332.assessment2B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F88E6" w14:textId="77777777" w:rsidR="0012768F" w:rsidRDefault="0012768F" w:rsidP="00241B44">
      <w:r>
        <w:separator/>
      </w:r>
    </w:p>
  </w:footnote>
  <w:footnote w:type="continuationSeparator" w:id="0">
    <w:p w14:paraId="280E3BFD" w14:textId="77777777" w:rsidR="0012768F" w:rsidRDefault="0012768F" w:rsidP="00241B44">
      <w:r>
        <w:continuationSeparator/>
      </w:r>
    </w:p>
  </w:footnote>
  <w:footnote w:id="1">
    <w:p w14:paraId="4707E692" w14:textId="698DD93C" w:rsidR="00353470" w:rsidRDefault="00353470" w:rsidP="00353470">
      <w:pPr>
        <w:pStyle w:val="FootnoteText"/>
      </w:pPr>
      <w:r>
        <w:rPr>
          <w:rStyle w:val="FootnoteReference"/>
        </w:rPr>
        <w:footnoteRef/>
      </w:r>
      <w:r>
        <w:t xml:space="preserve"> Article 46 COUNCIL REGULATION (EC) No 1346/2000 on insolvency proceedings - 29 May 2000</w:t>
      </w:r>
    </w:p>
    <w:p w14:paraId="0E2A9F57" w14:textId="16B4D0B6" w:rsidR="00353470" w:rsidRDefault="00353470" w:rsidP="00353470">
      <w:pPr>
        <w:pStyle w:val="FootnoteText"/>
      </w:pPr>
    </w:p>
  </w:footnote>
  <w:footnote w:id="2">
    <w:p w14:paraId="01478238" w14:textId="1B12E0F8" w:rsidR="001839C6" w:rsidRPr="001839C6" w:rsidRDefault="001839C6" w:rsidP="001839C6">
      <w:pPr>
        <w:pStyle w:val="FootnoteText"/>
      </w:pPr>
      <w:r>
        <w:rPr>
          <w:rStyle w:val="FootnoteReference"/>
        </w:rPr>
        <w:footnoteRef/>
      </w:r>
      <w:r>
        <w:t xml:space="preserve"> REPORT FROM THE COMMISSION TO THE EUROPEAN PARLIAMENT, THE COUNCIL AND THE EUROPEAN ECONOMIC AND SOCIAL COMMITTEE on the application of Council Regulation (EC) No 1346/2000 - 29 May 2000  (p4)</w:t>
      </w:r>
    </w:p>
  </w:footnote>
  <w:footnote w:id="3">
    <w:p w14:paraId="43252F2D" w14:textId="04785572" w:rsidR="000D460E" w:rsidRDefault="000D460E" w:rsidP="000D460E">
      <w:pPr>
        <w:pStyle w:val="FootnoteText"/>
      </w:pPr>
      <w:r>
        <w:rPr>
          <w:rStyle w:val="FootnoteReference"/>
        </w:rPr>
        <w:footnoteRef/>
      </w:r>
      <w:r>
        <w:t xml:space="preserve"> Article 3(1) of</w:t>
      </w:r>
      <w:r w:rsidRPr="000D460E">
        <w:t xml:space="preserve"> </w:t>
      </w:r>
      <w:r>
        <w:t>REGULATION (EU) 2015/848 OF THE EUROPEAN PARLIAMENT AND OF THE COUNCIL insolvency proceedings (recast) – 20 May 2015</w:t>
      </w:r>
    </w:p>
  </w:footnote>
  <w:footnote w:id="4">
    <w:p w14:paraId="4CC82FDB" w14:textId="1C5671B2" w:rsidR="001222C2" w:rsidRDefault="001222C2">
      <w:pPr>
        <w:pStyle w:val="FootnoteText"/>
      </w:pPr>
      <w:r>
        <w:rPr>
          <w:rStyle w:val="FootnoteReference"/>
        </w:rPr>
        <w:footnoteRef/>
      </w:r>
      <w:r>
        <w:t xml:space="preserve"> </w:t>
      </w:r>
      <w:r w:rsidRPr="001222C2">
        <w:t>Case C-341/04, ECLI:EU:C:2006:281 (May 2, 2006).</w:t>
      </w:r>
    </w:p>
  </w:footnote>
  <w:footnote w:id="5">
    <w:p w14:paraId="7BB5BC2B" w14:textId="6A25763C" w:rsidR="00B643ED" w:rsidRDefault="00B643ED">
      <w:pPr>
        <w:pStyle w:val="FootnoteText"/>
      </w:pPr>
      <w:r>
        <w:rPr>
          <w:rStyle w:val="FootnoteReference"/>
        </w:rPr>
        <w:footnoteRef/>
      </w:r>
      <w:r>
        <w:t xml:space="preserve"> </w:t>
      </w:r>
      <w:r w:rsidRPr="00B643ED">
        <w:t>Case C-341/04, ECLI:EU:C:2006:281 (May 2, 2006)</w:t>
      </w:r>
    </w:p>
  </w:footnote>
  <w:footnote w:id="6">
    <w:p w14:paraId="61E3C578" w14:textId="34E07B64" w:rsidR="00023B1A" w:rsidRDefault="00023B1A">
      <w:pPr>
        <w:pStyle w:val="FootnoteText"/>
      </w:pPr>
      <w:r>
        <w:rPr>
          <w:rStyle w:val="FootnoteReference"/>
        </w:rPr>
        <w:footnoteRef/>
      </w:r>
      <w:r>
        <w:t xml:space="preserve"> </w:t>
      </w:r>
      <w:r w:rsidRPr="00023B1A">
        <w:t>Case C-396/09, ECLI:EU:C:2011:671 (Oct. 20,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5C28"/>
    <w:multiLevelType w:val="hybridMultilevel"/>
    <w:tmpl w:val="6F48870A"/>
    <w:lvl w:ilvl="0" w:tplc="01128980">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9C6641"/>
    <w:multiLevelType w:val="hybridMultilevel"/>
    <w:tmpl w:val="24A2B770"/>
    <w:lvl w:ilvl="0" w:tplc="13AE60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D2975CC"/>
    <w:multiLevelType w:val="hybridMultilevel"/>
    <w:tmpl w:val="A66297F8"/>
    <w:lvl w:ilvl="0" w:tplc="9B1ACF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2DA6027"/>
    <w:multiLevelType w:val="hybridMultilevel"/>
    <w:tmpl w:val="860260B8"/>
    <w:lvl w:ilvl="0" w:tplc="6A7A3E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F176DDE"/>
    <w:multiLevelType w:val="hybridMultilevel"/>
    <w:tmpl w:val="0C9AB44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5F78AB"/>
    <w:multiLevelType w:val="hybridMultilevel"/>
    <w:tmpl w:val="72848D40"/>
    <w:lvl w:ilvl="0" w:tplc="AAC48D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3"/>
  </w:num>
  <w:num w:numId="3">
    <w:abstractNumId w:val="6"/>
  </w:num>
  <w:num w:numId="4">
    <w:abstractNumId w:val="16"/>
  </w:num>
  <w:num w:numId="5">
    <w:abstractNumId w:val="12"/>
  </w:num>
  <w:num w:numId="6">
    <w:abstractNumId w:val="15"/>
  </w:num>
  <w:num w:numId="7">
    <w:abstractNumId w:val="2"/>
  </w:num>
  <w:num w:numId="8">
    <w:abstractNumId w:val="10"/>
  </w:num>
  <w:num w:numId="9">
    <w:abstractNumId w:val="8"/>
  </w:num>
  <w:num w:numId="10">
    <w:abstractNumId w:val="5"/>
  </w:num>
  <w:num w:numId="11">
    <w:abstractNumId w:val="11"/>
  </w:num>
  <w:num w:numId="12">
    <w:abstractNumId w:val="14"/>
  </w:num>
  <w:num w:numId="13">
    <w:abstractNumId w:val="3"/>
  </w:num>
  <w:num w:numId="14">
    <w:abstractNumId w:val="7"/>
  </w:num>
  <w:num w:numId="15">
    <w:abstractNumId w:val="9"/>
  </w:num>
  <w:num w:numId="16">
    <w:abstractNumId w:val="1"/>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3B1A"/>
    <w:rsid w:val="000250C7"/>
    <w:rsid w:val="00026F16"/>
    <w:rsid w:val="00037621"/>
    <w:rsid w:val="00044D46"/>
    <w:rsid w:val="00045088"/>
    <w:rsid w:val="00045904"/>
    <w:rsid w:val="0005404A"/>
    <w:rsid w:val="0005439C"/>
    <w:rsid w:val="00065166"/>
    <w:rsid w:val="00082609"/>
    <w:rsid w:val="000851CC"/>
    <w:rsid w:val="00087CD6"/>
    <w:rsid w:val="00093BE8"/>
    <w:rsid w:val="000A68ED"/>
    <w:rsid w:val="000A7BF9"/>
    <w:rsid w:val="000B5FF1"/>
    <w:rsid w:val="000B609F"/>
    <w:rsid w:val="000D3599"/>
    <w:rsid w:val="000D460E"/>
    <w:rsid w:val="000D55A8"/>
    <w:rsid w:val="000E4841"/>
    <w:rsid w:val="000F1677"/>
    <w:rsid w:val="000F3D6C"/>
    <w:rsid w:val="00101707"/>
    <w:rsid w:val="00113E29"/>
    <w:rsid w:val="0011473D"/>
    <w:rsid w:val="00115C85"/>
    <w:rsid w:val="001222C2"/>
    <w:rsid w:val="00123855"/>
    <w:rsid w:val="00126A4D"/>
    <w:rsid w:val="0012768F"/>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9C6"/>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0D4F"/>
    <w:rsid w:val="002638B0"/>
    <w:rsid w:val="0026647A"/>
    <w:rsid w:val="002668D3"/>
    <w:rsid w:val="0027299F"/>
    <w:rsid w:val="00284EBE"/>
    <w:rsid w:val="00290C8D"/>
    <w:rsid w:val="0029433F"/>
    <w:rsid w:val="00294829"/>
    <w:rsid w:val="0029690F"/>
    <w:rsid w:val="00297C8A"/>
    <w:rsid w:val="002A2A60"/>
    <w:rsid w:val="002A37BB"/>
    <w:rsid w:val="002A4A3F"/>
    <w:rsid w:val="002B1C45"/>
    <w:rsid w:val="002C13C8"/>
    <w:rsid w:val="002C3547"/>
    <w:rsid w:val="002D0021"/>
    <w:rsid w:val="002D3473"/>
    <w:rsid w:val="002F1956"/>
    <w:rsid w:val="002F3440"/>
    <w:rsid w:val="002F75A3"/>
    <w:rsid w:val="00303C2F"/>
    <w:rsid w:val="003144EF"/>
    <w:rsid w:val="003225AF"/>
    <w:rsid w:val="003252C2"/>
    <w:rsid w:val="00326292"/>
    <w:rsid w:val="00326415"/>
    <w:rsid w:val="00330937"/>
    <w:rsid w:val="00330F31"/>
    <w:rsid w:val="00331480"/>
    <w:rsid w:val="00334648"/>
    <w:rsid w:val="0033768C"/>
    <w:rsid w:val="00337938"/>
    <w:rsid w:val="00340769"/>
    <w:rsid w:val="00341AA6"/>
    <w:rsid w:val="00346C79"/>
    <w:rsid w:val="00353470"/>
    <w:rsid w:val="00361A0A"/>
    <w:rsid w:val="00364836"/>
    <w:rsid w:val="0036565C"/>
    <w:rsid w:val="0036625E"/>
    <w:rsid w:val="0037465A"/>
    <w:rsid w:val="00382C98"/>
    <w:rsid w:val="0038533C"/>
    <w:rsid w:val="00386568"/>
    <w:rsid w:val="00390039"/>
    <w:rsid w:val="00390B57"/>
    <w:rsid w:val="003948D5"/>
    <w:rsid w:val="00396821"/>
    <w:rsid w:val="00397D3A"/>
    <w:rsid w:val="003A051E"/>
    <w:rsid w:val="003A4634"/>
    <w:rsid w:val="003B0A27"/>
    <w:rsid w:val="003B170F"/>
    <w:rsid w:val="003B3C5F"/>
    <w:rsid w:val="003C07DC"/>
    <w:rsid w:val="003C4342"/>
    <w:rsid w:val="003C4471"/>
    <w:rsid w:val="003C4BCB"/>
    <w:rsid w:val="003D0A6D"/>
    <w:rsid w:val="003D1974"/>
    <w:rsid w:val="003E0B16"/>
    <w:rsid w:val="003E67D1"/>
    <w:rsid w:val="003F3BAC"/>
    <w:rsid w:val="00404329"/>
    <w:rsid w:val="00405DC1"/>
    <w:rsid w:val="00415F1F"/>
    <w:rsid w:val="0042108F"/>
    <w:rsid w:val="00430FED"/>
    <w:rsid w:val="00434A8C"/>
    <w:rsid w:val="00437297"/>
    <w:rsid w:val="00444284"/>
    <w:rsid w:val="00445CE6"/>
    <w:rsid w:val="004507CB"/>
    <w:rsid w:val="004534C2"/>
    <w:rsid w:val="0045446F"/>
    <w:rsid w:val="0045683E"/>
    <w:rsid w:val="00465BFF"/>
    <w:rsid w:val="00477C72"/>
    <w:rsid w:val="00481292"/>
    <w:rsid w:val="00491675"/>
    <w:rsid w:val="00493855"/>
    <w:rsid w:val="00495E79"/>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5FDF"/>
    <w:rsid w:val="005177FE"/>
    <w:rsid w:val="0052263B"/>
    <w:rsid w:val="00524728"/>
    <w:rsid w:val="00527021"/>
    <w:rsid w:val="005331CA"/>
    <w:rsid w:val="00537970"/>
    <w:rsid w:val="00540E3A"/>
    <w:rsid w:val="00541100"/>
    <w:rsid w:val="00544127"/>
    <w:rsid w:val="00544F6E"/>
    <w:rsid w:val="005463A9"/>
    <w:rsid w:val="00553EB2"/>
    <w:rsid w:val="00560534"/>
    <w:rsid w:val="0056391B"/>
    <w:rsid w:val="005650E2"/>
    <w:rsid w:val="00567AD7"/>
    <w:rsid w:val="00575B2D"/>
    <w:rsid w:val="005833D0"/>
    <w:rsid w:val="005846F3"/>
    <w:rsid w:val="0058622F"/>
    <w:rsid w:val="00592F82"/>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17B0B"/>
    <w:rsid w:val="00621A17"/>
    <w:rsid w:val="00627CC9"/>
    <w:rsid w:val="00627E7B"/>
    <w:rsid w:val="00630542"/>
    <w:rsid w:val="00632E44"/>
    <w:rsid w:val="00634622"/>
    <w:rsid w:val="00636808"/>
    <w:rsid w:val="00636C15"/>
    <w:rsid w:val="00641515"/>
    <w:rsid w:val="00654B27"/>
    <w:rsid w:val="00654C2F"/>
    <w:rsid w:val="00657087"/>
    <w:rsid w:val="006603F1"/>
    <w:rsid w:val="006639DB"/>
    <w:rsid w:val="006661EF"/>
    <w:rsid w:val="00677AEB"/>
    <w:rsid w:val="00680EF2"/>
    <w:rsid w:val="00687A1D"/>
    <w:rsid w:val="00697EA1"/>
    <w:rsid w:val="006A137E"/>
    <w:rsid w:val="006A2646"/>
    <w:rsid w:val="006A6530"/>
    <w:rsid w:val="006B435A"/>
    <w:rsid w:val="006B4C64"/>
    <w:rsid w:val="006C4394"/>
    <w:rsid w:val="006D6BD5"/>
    <w:rsid w:val="006E481A"/>
    <w:rsid w:val="006E5287"/>
    <w:rsid w:val="006E5298"/>
    <w:rsid w:val="006F4A78"/>
    <w:rsid w:val="006F734A"/>
    <w:rsid w:val="00700D83"/>
    <w:rsid w:val="00704852"/>
    <w:rsid w:val="007074E9"/>
    <w:rsid w:val="00713DA4"/>
    <w:rsid w:val="00714BF1"/>
    <w:rsid w:val="00721383"/>
    <w:rsid w:val="00723A11"/>
    <w:rsid w:val="0073158B"/>
    <w:rsid w:val="007333CC"/>
    <w:rsid w:val="0073399A"/>
    <w:rsid w:val="007603F5"/>
    <w:rsid w:val="00764DB0"/>
    <w:rsid w:val="0076764D"/>
    <w:rsid w:val="0077498C"/>
    <w:rsid w:val="007809BC"/>
    <w:rsid w:val="00782EE1"/>
    <w:rsid w:val="00784128"/>
    <w:rsid w:val="00793173"/>
    <w:rsid w:val="00796A57"/>
    <w:rsid w:val="007A2A33"/>
    <w:rsid w:val="007A7B20"/>
    <w:rsid w:val="007B071A"/>
    <w:rsid w:val="007C1FCC"/>
    <w:rsid w:val="007C38FE"/>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483F"/>
    <w:rsid w:val="008279C0"/>
    <w:rsid w:val="00831408"/>
    <w:rsid w:val="00841051"/>
    <w:rsid w:val="008500BD"/>
    <w:rsid w:val="00860723"/>
    <w:rsid w:val="008723F3"/>
    <w:rsid w:val="00874240"/>
    <w:rsid w:val="00881DE6"/>
    <w:rsid w:val="008829F9"/>
    <w:rsid w:val="008837A6"/>
    <w:rsid w:val="0089145D"/>
    <w:rsid w:val="00894C1D"/>
    <w:rsid w:val="008A4DF2"/>
    <w:rsid w:val="008A6CFE"/>
    <w:rsid w:val="008B37AE"/>
    <w:rsid w:val="008B5333"/>
    <w:rsid w:val="008B6223"/>
    <w:rsid w:val="008C4AC6"/>
    <w:rsid w:val="008C66E0"/>
    <w:rsid w:val="008E0EC8"/>
    <w:rsid w:val="008E3339"/>
    <w:rsid w:val="008E6858"/>
    <w:rsid w:val="008F20FC"/>
    <w:rsid w:val="008F5FFE"/>
    <w:rsid w:val="008F6554"/>
    <w:rsid w:val="00905A43"/>
    <w:rsid w:val="00912C79"/>
    <w:rsid w:val="00914A23"/>
    <w:rsid w:val="00942123"/>
    <w:rsid w:val="0095207B"/>
    <w:rsid w:val="00962045"/>
    <w:rsid w:val="00967219"/>
    <w:rsid w:val="00980E61"/>
    <w:rsid w:val="00991428"/>
    <w:rsid w:val="00992676"/>
    <w:rsid w:val="009954B2"/>
    <w:rsid w:val="00996691"/>
    <w:rsid w:val="009B0723"/>
    <w:rsid w:val="009B07AD"/>
    <w:rsid w:val="009B0883"/>
    <w:rsid w:val="009B15E2"/>
    <w:rsid w:val="009B4976"/>
    <w:rsid w:val="009C0B8E"/>
    <w:rsid w:val="009C1BC8"/>
    <w:rsid w:val="009C2442"/>
    <w:rsid w:val="009C4D1C"/>
    <w:rsid w:val="009C5E52"/>
    <w:rsid w:val="009D0811"/>
    <w:rsid w:val="009D0EE1"/>
    <w:rsid w:val="009E2AEB"/>
    <w:rsid w:val="009E2E27"/>
    <w:rsid w:val="009E4DE3"/>
    <w:rsid w:val="009F275E"/>
    <w:rsid w:val="00A047EE"/>
    <w:rsid w:val="00A11E80"/>
    <w:rsid w:val="00A17858"/>
    <w:rsid w:val="00A20ADF"/>
    <w:rsid w:val="00A2274A"/>
    <w:rsid w:val="00A235B7"/>
    <w:rsid w:val="00A27A7A"/>
    <w:rsid w:val="00A407EF"/>
    <w:rsid w:val="00A46B4C"/>
    <w:rsid w:val="00A5117B"/>
    <w:rsid w:val="00A54CB5"/>
    <w:rsid w:val="00A60074"/>
    <w:rsid w:val="00A62FDA"/>
    <w:rsid w:val="00A6627C"/>
    <w:rsid w:val="00A71019"/>
    <w:rsid w:val="00A72460"/>
    <w:rsid w:val="00A81029"/>
    <w:rsid w:val="00A96489"/>
    <w:rsid w:val="00AB3268"/>
    <w:rsid w:val="00AB685C"/>
    <w:rsid w:val="00AB6C2D"/>
    <w:rsid w:val="00AB72C2"/>
    <w:rsid w:val="00AC08F7"/>
    <w:rsid w:val="00AC3839"/>
    <w:rsid w:val="00AC7082"/>
    <w:rsid w:val="00AD2931"/>
    <w:rsid w:val="00AD513F"/>
    <w:rsid w:val="00AE2316"/>
    <w:rsid w:val="00AE40D8"/>
    <w:rsid w:val="00AE74BA"/>
    <w:rsid w:val="00AF228E"/>
    <w:rsid w:val="00B003AC"/>
    <w:rsid w:val="00B016A8"/>
    <w:rsid w:val="00B14819"/>
    <w:rsid w:val="00B15E2F"/>
    <w:rsid w:val="00B17AA9"/>
    <w:rsid w:val="00B30D9A"/>
    <w:rsid w:val="00B44713"/>
    <w:rsid w:val="00B56103"/>
    <w:rsid w:val="00B643ED"/>
    <w:rsid w:val="00B64929"/>
    <w:rsid w:val="00B736DF"/>
    <w:rsid w:val="00B743D6"/>
    <w:rsid w:val="00B74FBD"/>
    <w:rsid w:val="00B77F46"/>
    <w:rsid w:val="00B80551"/>
    <w:rsid w:val="00B82586"/>
    <w:rsid w:val="00B829A3"/>
    <w:rsid w:val="00B86DB1"/>
    <w:rsid w:val="00B87869"/>
    <w:rsid w:val="00B93D70"/>
    <w:rsid w:val="00B96CE3"/>
    <w:rsid w:val="00BB0F2B"/>
    <w:rsid w:val="00BB38D1"/>
    <w:rsid w:val="00BC2C41"/>
    <w:rsid w:val="00BE4FF3"/>
    <w:rsid w:val="00BF50F7"/>
    <w:rsid w:val="00BF79D7"/>
    <w:rsid w:val="00C02F29"/>
    <w:rsid w:val="00C20AFE"/>
    <w:rsid w:val="00C22A25"/>
    <w:rsid w:val="00C35671"/>
    <w:rsid w:val="00C35B77"/>
    <w:rsid w:val="00C376EB"/>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A59FC"/>
    <w:rsid w:val="00CB1983"/>
    <w:rsid w:val="00CB2CBB"/>
    <w:rsid w:val="00CB7522"/>
    <w:rsid w:val="00CB7CAC"/>
    <w:rsid w:val="00CC5335"/>
    <w:rsid w:val="00CC5BA4"/>
    <w:rsid w:val="00CD4998"/>
    <w:rsid w:val="00CE1035"/>
    <w:rsid w:val="00CE6E50"/>
    <w:rsid w:val="00CF2819"/>
    <w:rsid w:val="00CF4F9D"/>
    <w:rsid w:val="00CF70DC"/>
    <w:rsid w:val="00D06648"/>
    <w:rsid w:val="00D148DC"/>
    <w:rsid w:val="00D1530C"/>
    <w:rsid w:val="00D17FDC"/>
    <w:rsid w:val="00D26E26"/>
    <w:rsid w:val="00D346A5"/>
    <w:rsid w:val="00D56B4E"/>
    <w:rsid w:val="00D608A4"/>
    <w:rsid w:val="00D60E46"/>
    <w:rsid w:val="00D63EFD"/>
    <w:rsid w:val="00D651FD"/>
    <w:rsid w:val="00D75351"/>
    <w:rsid w:val="00D84752"/>
    <w:rsid w:val="00D86B3B"/>
    <w:rsid w:val="00D8748A"/>
    <w:rsid w:val="00D93196"/>
    <w:rsid w:val="00D95496"/>
    <w:rsid w:val="00DA0DC0"/>
    <w:rsid w:val="00DB243C"/>
    <w:rsid w:val="00DB482A"/>
    <w:rsid w:val="00DB56F2"/>
    <w:rsid w:val="00DB6EF5"/>
    <w:rsid w:val="00DC3089"/>
    <w:rsid w:val="00DC4420"/>
    <w:rsid w:val="00DD0802"/>
    <w:rsid w:val="00DD2E11"/>
    <w:rsid w:val="00DD47EF"/>
    <w:rsid w:val="00DD5E3B"/>
    <w:rsid w:val="00DE03AF"/>
    <w:rsid w:val="00DE121C"/>
    <w:rsid w:val="00DE6633"/>
    <w:rsid w:val="00DF0864"/>
    <w:rsid w:val="00DF169C"/>
    <w:rsid w:val="00DF75F8"/>
    <w:rsid w:val="00DF7A3A"/>
    <w:rsid w:val="00E00C00"/>
    <w:rsid w:val="00E07C5A"/>
    <w:rsid w:val="00E15BA9"/>
    <w:rsid w:val="00E16163"/>
    <w:rsid w:val="00E17479"/>
    <w:rsid w:val="00E26E19"/>
    <w:rsid w:val="00E30A6F"/>
    <w:rsid w:val="00E30C8A"/>
    <w:rsid w:val="00E31DF3"/>
    <w:rsid w:val="00E32720"/>
    <w:rsid w:val="00E450A4"/>
    <w:rsid w:val="00E506BE"/>
    <w:rsid w:val="00E55547"/>
    <w:rsid w:val="00E604A1"/>
    <w:rsid w:val="00E62A9D"/>
    <w:rsid w:val="00E6302B"/>
    <w:rsid w:val="00E6452F"/>
    <w:rsid w:val="00E64F45"/>
    <w:rsid w:val="00E6742D"/>
    <w:rsid w:val="00E71CB0"/>
    <w:rsid w:val="00E77C3D"/>
    <w:rsid w:val="00E81160"/>
    <w:rsid w:val="00E83CE8"/>
    <w:rsid w:val="00E87279"/>
    <w:rsid w:val="00E90991"/>
    <w:rsid w:val="00E909F0"/>
    <w:rsid w:val="00E90D47"/>
    <w:rsid w:val="00E93993"/>
    <w:rsid w:val="00E9498F"/>
    <w:rsid w:val="00E9597C"/>
    <w:rsid w:val="00EA0651"/>
    <w:rsid w:val="00EA0913"/>
    <w:rsid w:val="00EA2540"/>
    <w:rsid w:val="00EA5B00"/>
    <w:rsid w:val="00EB146B"/>
    <w:rsid w:val="00EB45AC"/>
    <w:rsid w:val="00EB5CA4"/>
    <w:rsid w:val="00EC00F9"/>
    <w:rsid w:val="00ED0BC4"/>
    <w:rsid w:val="00ED20E8"/>
    <w:rsid w:val="00ED472A"/>
    <w:rsid w:val="00ED54B6"/>
    <w:rsid w:val="00EE4971"/>
    <w:rsid w:val="00EF090E"/>
    <w:rsid w:val="00F033DA"/>
    <w:rsid w:val="00F10C9C"/>
    <w:rsid w:val="00F13FB1"/>
    <w:rsid w:val="00F1419B"/>
    <w:rsid w:val="00F26E43"/>
    <w:rsid w:val="00F27CD8"/>
    <w:rsid w:val="00F30351"/>
    <w:rsid w:val="00F3323E"/>
    <w:rsid w:val="00F341F4"/>
    <w:rsid w:val="00F34F9D"/>
    <w:rsid w:val="00F35CCE"/>
    <w:rsid w:val="00F5524B"/>
    <w:rsid w:val="00F60538"/>
    <w:rsid w:val="00F61DD2"/>
    <w:rsid w:val="00F66AFF"/>
    <w:rsid w:val="00F71433"/>
    <w:rsid w:val="00F74F6D"/>
    <w:rsid w:val="00F76CD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E76D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2021-06-12T11:06:00Z</dcterms:created>
  <dcterms:modified xsi:type="dcterms:W3CDTF">2021-06-12T11:06:00Z</dcterms:modified>
</cp:coreProperties>
</file>