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64FDDED0"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E0BEC">
        <w:rPr>
          <w:rFonts w:ascii="Arial" w:hAnsi="Arial" w:cs="Arial"/>
          <w:bCs/>
          <w:sz w:val="22"/>
          <w:szCs w:val="22"/>
          <w:lang w:val="en-GB"/>
        </w:rPr>
        <w:t xml:space="preserve"> </w:t>
      </w:r>
      <w:r w:rsidRPr="001E23FD">
        <w:rPr>
          <w:rFonts w:ascii="Arial" w:hAnsi="Arial" w:cs="Arial"/>
          <w:bCs/>
          <w:sz w:val="22"/>
          <w:szCs w:val="22"/>
          <w:lang w:val="en-GB"/>
        </w:rPr>
        <w: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41627E" w:rsidRDefault="00AD12C7" w:rsidP="00D0796B">
      <w:pPr>
        <w:pStyle w:val="ListParagraph"/>
        <w:numPr>
          <w:ilvl w:val="0"/>
          <w:numId w:val="11"/>
        </w:numPr>
        <w:ind w:left="426"/>
        <w:jc w:val="both"/>
        <w:rPr>
          <w:rFonts w:ascii="Arial" w:hAnsi="Arial" w:cs="Arial"/>
          <w:sz w:val="22"/>
          <w:szCs w:val="22"/>
          <w:highlight w:val="yellow"/>
          <w:lang w:val="en-GB"/>
        </w:rPr>
      </w:pPr>
      <w:r w:rsidRPr="0041627E">
        <w:rPr>
          <w:rFonts w:ascii="Arial" w:hAnsi="Arial" w:cs="Arial"/>
          <w:sz w:val="22"/>
          <w:szCs w:val="22"/>
          <w:highlight w:val="yellow"/>
          <w:lang w:val="en-GB"/>
        </w:rPr>
        <w:t>apply to the court for the decision to be reversed or varied</w:t>
      </w:r>
      <w:r w:rsidR="005A2E18" w:rsidRPr="0041627E">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41627E" w:rsidRDefault="005A2E18" w:rsidP="00D0796B">
      <w:pPr>
        <w:pStyle w:val="ListParagraph"/>
        <w:numPr>
          <w:ilvl w:val="0"/>
          <w:numId w:val="12"/>
        </w:numPr>
        <w:ind w:left="426"/>
        <w:rPr>
          <w:rFonts w:ascii="Arial" w:hAnsi="Arial" w:cs="Arial"/>
          <w:sz w:val="22"/>
          <w:szCs w:val="22"/>
          <w:highlight w:val="yellow"/>
          <w:lang w:val="en-GB"/>
        </w:rPr>
      </w:pPr>
      <w:r w:rsidRPr="0041627E">
        <w:rPr>
          <w:rFonts w:ascii="Arial" w:hAnsi="Arial" w:cs="Arial"/>
          <w:sz w:val="22"/>
          <w:szCs w:val="22"/>
          <w:highlight w:val="yellow"/>
          <w:lang w:val="en-GB"/>
        </w:rPr>
        <w:t>R</w:t>
      </w:r>
      <w:r w:rsidR="00AD12C7" w:rsidRPr="0041627E">
        <w:rPr>
          <w:rFonts w:ascii="Arial" w:hAnsi="Arial" w:cs="Arial"/>
          <w:sz w:val="22"/>
          <w:szCs w:val="22"/>
          <w:highlight w:val="yellow"/>
          <w:lang w:val="en-GB"/>
        </w:rPr>
        <w:t>eceivership</w:t>
      </w:r>
      <w:r w:rsidRPr="0041627E">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41627E" w:rsidRDefault="00AD12C7" w:rsidP="00D0796B">
      <w:pPr>
        <w:pStyle w:val="ListParagraph"/>
        <w:numPr>
          <w:ilvl w:val="0"/>
          <w:numId w:val="13"/>
        </w:numPr>
        <w:ind w:left="426"/>
        <w:jc w:val="both"/>
        <w:rPr>
          <w:rFonts w:ascii="Arial" w:hAnsi="Arial" w:cs="Arial"/>
          <w:sz w:val="22"/>
          <w:szCs w:val="22"/>
          <w:highlight w:val="yellow"/>
          <w:lang w:val="en-GB"/>
        </w:rPr>
      </w:pPr>
      <w:r w:rsidRPr="0041627E">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41627E">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41627E" w:rsidRDefault="00321D73" w:rsidP="00F219B4">
      <w:pPr>
        <w:pStyle w:val="ListParagraph"/>
        <w:numPr>
          <w:ilvl w:val="0"/>
          <w:numId w:val="14"/>
        </w:numPr>
        <w:ind w:left="426"/>
        <w:rPr>
          <w:rFonts w:ascii="Arial" w:hAnsi="Arial" w:cs="Arial"/>
          <w:sz w:val="22"/>
          <w:szCs w:val="22"/>
          <w:highlight w:val="yellow"/>
          <w:lang w:val="en-GB"/>
        </w:rPr>
      </w:pPr>
      <w:r w:rsidRPr="0041627E">
        <w:rPr>
          <w:rFonts w:ascii="Arial" w:hAnsi="Arial" w:cs="Arial"/>
          <w:sz w:val="22"/>
          <w:szCs w:val="22"/>
          <w:highlight w:val="yellow"/>
          <w:lang w:val="en-GB"/>
        </w:rPr>
        <w:t>A</w:t>
      </w:r>
      <w:r w:rsidR="000D2487" w:rsidRPr="0041627E">
        <w:rPr>
          <w:rFonts w:ascii="Arial" w:hAnsi="Arial" w:cs="Arial"/>
          <w:sz w:val="22"/>
          <w:szCs w:val="22"/>
          <w:highlight w:val="yellow"/>
          <w:lang w:val="en-GB"/>
        </w:rPr>
        <w:t xml:space="preserve"> small business restructuring plan</w:t>
      </w:r>
      <w:r w:rsidR="00D0796B" w:rsidRPr="0041627E">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41627E" w:rsidRDefault="007B3A5E" w:rsidP="00F219B4">
      <w:pPr>
        <w:pStyle w:val="ListParagraph"/>
        <w:numPr>
          <w:ilvl w:val="0"/>
          <w:numId w:val="15"/>
        </w:numPr>
        <w:autoSpaceDE w:val="0"/>
        <w:autoSpaceDN w:val="0"/>
        <w:adjustRightInd w:val="0"/>
        <w:ind w:left="426"/>
        <w:jc w:val="both"/>
        <w:rPr>
          <w:rFonts w:ascii="Arial" w:hAnsi="Arial" w:cs="Arial"/>
          <w:sz w:val="22"/>
          <w:szCs w:val="22"/>
          <w:highlight w:val="yellow"/>
        </w:rPr>
      </w:pPr>
      <w:r w:rsidRPr="0041627E">
        <w:rPr>
          <w:rFonts w:ascii="Arial" w:hAnsi="Arial" w:cs="Arial"/>
          <w:sz w:val="22"/>
          <w:szCs w:val="22"/>
          <w:highlight w:val="yellow"/>
          <w:lang w:val="en-GB"/>
        </w:rPr>
        <w:t>S</w:t>
      </w:r>
      <w:r w:rsidR="00AD12C7" w:rsidRPr="0041627E">
        <w:rPr>
          <w:rFonts w:ascii="Arial" w:hAnsi="Arial" w:cs="Arial"/>
          <w:sz w:val="22"/>
          <w:szCs w:val="22"/>
          <w:highlight w:val="yellow"/>
          <w:lang w:val="en-GB"/>
        </w:rPr>
        <w:t>uperannuation funds</w:t>
      </w:r>
      <w:r w:rsidRPr="0041627E">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Pr="0041627E" w:rsidRDefault="007B3A5E" w:rsidP="00F219B4">
      <w:pPr>
        <w:pStyle w:val="ListParagraph"/>
        <w:numPr>
          <w:ilvl w:val="0"/>
          <w:numId w:val="16"/>
        </w:numPr>
        <w:ind w:left="426"/>
        <w:jc w:val="both"/>
        <w:rPr>
          <w:rFonts w:ascii="Arial" w:hAnsi="Arial" w:cs="Arial"/>
          <w:sz w:val="22"/>
          <w:szCs w:val="22"/>
          <w:highlight w:val="yellow"/>
          <w:lang w:val="en-GB"/>
        </w:rPr>
      </w:pPr>
      <w:r w:rsidRPr="0041627E">
        <w:rPr>
          <w:rFonts w:ascii="Arial" w:hAnsi="Arial" w:cs="Arial"/>
          <w:sz w:val="22"/>
          <w:szCs w:val="22"/>
          <w:highlight w:val="yellow"/>
          <w:lang w:val="en-GB"/>
        </w:rPr>
        <w:t>T</w:t>
      </w:r>
      <w:r w:rsidR="00AD12C7" w:rsidRPr="0041627E">
        <w:rPr>
          <w:rFonts w:ascii="Arial" w:hAnsi="Arial" w:cs="Arial"/>
          <w:sz w:val="22"/>
          <w:szCs w:val="22"/>
          <w:highlight w:val="yellow"/>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Pr="0041627E" w:rsidRDefault="00AD12C7" w:rsidP="00600B67">
      <w:pPr>
        <w:pStyle w:val="ListParagraph"/>
        <w:numPr>
          <w:ilvl w:val="0"/>
          <w:numId w:val="17"/>
        </w:numPr>
        <w:ind w:left="426"/>
        <w:jc w:val="both"/>
        <w:rPr>
          <w:rFonts w:ascii="Arial" w:hAnsi="Arial" w:cs="Arial"/>
          <w:sz w:val="22"/>
          <w:szCs w:val="22"/>
          <w:highlight w:val="yellow"/>
          <w:lang w:val="en-GB"/>
        </w:rPr>
      </w:pPr>
      <w:r w:rsidRPr="0041627E">
        <w:rPr>
          <w:rFonts w:ascii="Arial" w:hAnsi="Arial" w:cs="Arial"/>
          <w:sz w:val="22"/>
          <w:szCs w:val="22"/>
          <w:highlight w:val="yellow"/>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41627E" w:rsidRDefault="00AD12C7" w:rsidP="00600B67">
      <w:pPr>
        <w:pStyle w:val="ListParagraph"/>
        <w:numPr>
          <w:ilvl w:val="0"/>
          <w:numId w:val="18"/>
        </w:numPr>
        <w:ind w:left="426"/>
        <w:rPr>
          <w:rFonts w:ascii="Arial" w:hAnsi="Arial" w:cs="Arial"/>
          <w:sz w:val="22"/>
          <w:szCs w:val="22"/>
          <w:highlight w:val="yellow"/>
          <w:lang w:val="en-GB"/>
        </w:rPr>
      </w:pPr>
      <w:r w:rsidRPr="0041627E">
        <w:rPr>
          <w:rFonts w:ascii="Arial" w:hAnsi="Arial" w:cs="Arial"/>
          <w:sz w:val="22"/>
          <w:szCs w:val="22"/>
          <w:highlight w:val="yellow"/>
          <w:lang w:val="en-GB"/>
        </w:rPr>
        <w:t>8 business days</w:t>
      </w:r>
      <w:r w:rsidR="002172B8" w:rsidRPr="0041627E">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41627E" w:rsidRDefault="00416D2B" w:rsidP="00600B67">
      <w:pPr>
        <w:pStyle w:val="ListParagraph"/>
        <w:numPr>
          <w:ilvl w:val="0"/>
          <w:numId w:val="19"/>
        </w:numPr>
        <w:ind w:left="426"/>
        <w:jc w:val="both"/>
        <w:rPr>
          <w:rFonts w:ascii="Arial" w:hAnsi="Arial" w:cs="Arial"/>
          <w:sz w:val="22"/>
          <w:szCs w:val="22"/>
          <w:highlight w:val="yellow"/>
          <w:lang w:val="en-GB"/>
        </w:rPr>
      </w:pPr>
      <w:r w:rsidRPr="0041627E">
        <w:rPr>
          <w:rFonts w:ascii="Arial" w:hAnsi="Arial" w:cs="Arial"/>
          <w:sz w:val="22"/>
          <w:szCs w:val="22"/>
          <w:highlight w:val="yellow"/>
          <w:lang w:val="en-GB"/>
        </w:rPr>
        <w:t>T</w:t>
      </w:r>
      <w:r w:rsidR="002476AF" w:rsidRPr="0041627E">
        <w:rPr>
          <w:rFonts w:ascii="Arial" w:hAnsi="Arial" w:cs="Arial"/>
          <w:sz w:val="22"/>
          <w:szCs w:val="22"/>
          <w:highlight w:val="yellow"/>
          <w:lang w:val="en-GB"/>
        </w:rPr>
        <w:t xml:space="preserve">he part dealing with receivers, and other controllers, of property of </w:t>
      </w:r>
      <w:r w:rsidRPr="0041627E">
        <w:rPr>
          <w:rFonts w:ascii="Arial" w:hAnsi="Arial" w:cs="Arial"/>
          <w:sz w:val="22"/>
          <w:szCs w:val="22"/>
          <w:highlight w:val="yellow"/>
          <w:lang w:val="en-GB"/>
        </w:rPr>
        <w:t xml:space="preserve">the </w:t>
      </w:r>
      <w:r w:rsidR="002476AF" w:rsidRPr="0041627E">
        <w:rPr>
          <w:rFonts w:ascii="Arial" w:hAnsi="Arial" w:cs="Arial"/>
          <w:sz w:val="22"/>
          <w:szCs w:val="22"/>
          <w:highlight w:val="yellow"/>
          <w:lang w:val="en-GB"/>
        </w:rPr>
        <w:t>corporation</w:t>
      </w:r>
      <w:r w:rsidRPr="0041627E">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41627E" w:rsidRDefault="002476AF" w:rsidP="00B953FA">
      <w:pPr>
        <w:pStyle w:val="ListParagraph"/>
        <w:numPr>
          <w:ilvl w:val="0"/>
          <w:numId w:val="20"/>
        </w:numPr>
        <w:ind w:left="426"/>
        <w:jc w:val="both"/>
        <w:rPr>
          <w:rFonts w:ascii="Arial" w:hAnsi="Arial" w:cs="Arial"/>
          <w:sz w:val="22"/>
          <w:szCs w:val="22"/>
          <w:highlight w:val="yellow"/>
          <w:lang w:val="en-GB"/>
        </w:rPr>
      </w:pPr>
      <w:r w:rsidRPr="0041627E">
        <w:rPr>
          <w:rFonts w:ascii="Arial" w:hAnsi="Arial" w:cs="Arial"/>
          <w:sz w:val="22"/>
          <w:szCs w:val="22"/>
          <w:highlight w:val="yellow"/>
          <w:lang w:val="en-GB"/>
        </w:rPr>
        <w:t xml:space="preserve">simplified </w:t>
      </w:r>
      <w:r w:rsidR="008235B7" w:rsidRPr="0041627E">
        <w:rPr>
          <w:rFonts w:ascii="Arial" w:hAnsi="Arial" w:cs="Arial"/>
          <w:sz w:val="22"/>
          <w:szCs w:val="22"/>
          <w:highlight w:val="yellow"/>
          <w:lang w:val="en-GB"/>
        </w:rPr>
        <w:t>restructuring and liquidation regimes for small companies</w:t>
      </w:r>
      <w:r w:rsidRPr="0041627E">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175F1845" w:rsidR="009B07AD" w:rsidRDefault="00760DC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types of voidable transactions that can be reversed by the bankruptcy trustee are the preferences, transfer to defeat creditors and undervalued transactions.</w:t>
      </w:r>
    </w:p>
    <w:p w14:paraId="3632D86C" w14:textId="2C13CE91" w:rsidR="00760DCF" w:rsidRDefault="00760DC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preferred payment transaction is the situation where within six months prior to the presentation of a debtor’s or creditor’s petition for bankruptcy, the debtor makes a transfer for the benefit of a creditor while the debtor is insolvent at the time of transfer and the effect of the transfer was to give the transferee creditor a preference, priority or advantage over the other creditors.</w:t>
      </w:r>
    </w:p>
    <w:p w14:paraId="0EE85158" w14:textId="264F3373" w:rsidR="006B2F11" w:rsidRDefault="006B2F1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transfer cannot be reversed if it is shown that the transfer was received in good faith, in the ordinary course of business</w:t>
      </w:r>
      <w:r w:rsidR="002313BB">
        <w:rPr>
          <w:rFonts w:ascii="Arial" w:hAnsi="Arial" w:cs="Arial"/>
          <w:color w:val="7B7B7B" w:themeColor="accent3" w:themeShade="BF"/>
          <w:sz w:val="22"/>
          <w:szCs w:val="22"/>
          <w:lang w:val="en-GB"/>
        </w:rPr>
        <w:t xml:space="preserve"> and in return for new valuable consideration distinct from discharge of indebtedness solely to the past goods or services.</w:t>
      </w:r>
    </w:p>
    <w:p w14:paraId="47758264" w14:textId="09EF13AF" w:rsidR="00A1497B" w:rsidRDefault="00A1497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Transfer to defeat creditors has no time limitation and is the situation where the debtor’s main purpose in the transfer is to prevent, hinder or delay creditors from reaching the transfer to satisfy their claims against the debtor.</w:t>
      </w:r>
    </w:p>
    <w:p w14:paraId="33D2D4CD" w14:textId="13D8BBEE" w:rsidR="00A1497B" w:rsidRDefault="00A1497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transfer will not be reversed if at the time of the transfer, the transferee did not know and could reasonably have inferred that the transferor had the main purpose of defeating creditors or the transferor was insolvent or about to become insolvent.</w:t>
      </w:r>
    </w:p>
    <w:p w14:paraId="7CAE5374" w14:textId="59875E1C" w:rsidR="00AD1A69" w:rsidRDefault="00AD1A6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Undervalued transaction is the situation where the transaction took place in the </w:t>
      </w:r>
      <w:r w:rsidR="00F377A6">
        <w:rPr>
          <w:rFonts w:ascii="Arial" w:hAnsi="Arial" w:cs="Arial"/>
          <w:color w:val="7B7B7B" w:themeColor="accent3" w:themeShade="BF"/>
          <w:sz w:val="22"/>
          <w:szCs w:val="22"/>
          <w:lang w:val="en-GB"/>
        </w:rPr>
        <w:t>five</w:t>
      </w:r>
      <w:r>
        <w:rPr>
          <w:rFonts w:ascii="Arial" w:hAnsi="Arial" w:cs="Arial"/>
          <w:color w:val="7B7B7B" w:themeColor="accent3" w:themeShade="BF"/>
          <w:sz w:val="22"/>
          <w:szCs w:val="22"/>
          <w:lang w:val="en-GB"/>
        </w:rPr>
        <w:t>-year period before the commencement of the bankruptcy proceedings and the transfe</w:t>
      </w:r>
      <w:r w:rsidR="00F377A6">
        <w:rPr>
          <w:rFonts w:ascii="Arial" w:hAnsi="Arial" w:cs="Arial"/>
          <w:color w:val="7B7B7B" w:themeColor="accent3" w:themeShade="BF"/>
          <w:sz w:val="22"/>
          <w:szCs w:val="22"/>
          <w:lang w:val="en-GB"/>
        </w:rPr>
        <w:t>ree gave no consideration or less consideration than the market value consideration for the transfer.</w:t>
      </w:r>
    </w:p>
    <w:p w14:paraId="080E0019" w14:textId="39785F0E" w:rsidR="00F377A6" w:rsidRPr="002A37BB" w:rsidRDefault="00F377A6"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transfer will not be recoverable if the transferee can show that the transaction occurred more than two -years ago (or more than four-years ago for related party transaction) and that the debtor was solvent at the time of the transaction.</w:t>
      </w:r>
    </w:p>
    <w:p w14:paraId="363CC2DF" w14:textId="7A8B0511" w:rsidR="00020557" w:rsidRDefault="00020557" w:rsidP="002A37BB">
      <w:pPr>
        <w:jc w:val="both"/>
        <w:rPr>
          <w:rFonts w:ascii="Arial" w:hAnsi="Arial" w:cs="Arial"/>
          <w:sz w:val="22"/>
          <w:szCs w:val="22"/>
        </w:rPr>
      </w:pP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20218E0F" w:rsidR="009B07AD" w:rsidRDefault="00BA372E" w:rsidP="00BA372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scope of stay in relation to a corporate debtor under the Australia’s implementation of Article 20 of the Model Law is the stay or suspension under chapter five</w:t>
      </w:r>
      <w:r w:rsidR="00364D1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(other than Parts 5.2 and 5.4A) of the Corporations Act.</w:t>
      </w:r>
      <w:r w:rsidR="00364D10">
        <w:rPr>
          <w:rFonts w:ascii="Arial" w:hAnsi="Arial" w:cs="Arial"/>
          <w:color w:val="7B7B7B" w:themeColor="accent3" w:themeShade="BF"/>
          <w:sz w:val="22"/>
          <w:szCs w:val="22"/>
        </w:rPr>
        <w:t xml:space="preserve"> </w:t>
      </w:r>
      <w:r w:rsidR="00F97DC4">
        <w:rPr>
          <w:rFonts w:ascii="Arial" w:hAnsi="Arial" w:cs="Arial"/>
          <w:color w:val="7B7B7B" w:themeColor="accent3" w:themeShade="BF"/>
          <w:sz w:val="22"/>
          <w:szCs w:val="22"/>
        </w:rPr>
        <w:t>The court in considering the recognition application will have to decide whether to gr</w:t>
      </w:r>
      <w:r w:rsidR="00364D10">
        <w:rPr>
          <w:rFonts w:ascii="Arial" w:hAnsi="Arial" w:cs="Arial"/>
          <w:color w:val="7B7B7B" w:themeColor="accent3" w:themeShade="BF"/>
          <w:sz w:val="22"/>
          <w:szCs w:val="22"/>
        </w:rPr>
        <w:t>a</w:t>
      </w:r>
      <w:r w:rsidR="00F97DC4">
        <w:rPr>
          <w:rFonts w:ascii="Arial" w:hAnsi="Arial" w:cs="Arial"/>
          <w:color w:val="7B7B7B" w:themeColor="accent3" w:themeShade="BF"/>
          <w:sz w:val="22"/>
          <w:szCs w:val="22"/>
        </w:rPr>
        <w:t>nt</w:t>
      </w:r>
      <w:r w:rsidR="00364D10">
        <w:rPr>
          <w:rFonts w:ascii="Arial" w:hAnsi="Arial" w:cs="Arial"/>
          <w:color w:val="7B7B7B" w:themeColor="accent3" w:themeShade="BF"/>
          <w:sz w:val="22"/>
          <w:szCs w:val="22"/>
        </w:rPr>
        <w:t xml:space="preserve"> the voluntary administration stay that affects both the secured and unsecured creditors or the standard liquidation stay that affects only the unsecured creditors.</w:t>
      </w:r>
    </w:p>
    <w:p w14:paraId="53A3E298" w14:textId="32DA4250" w:rsidR="00364D10" w:rsidRDefault="00364D10" w:rsidP="00BA372E">
      <w:pPr>
        <w:jc w:val="both"/>
        <w:rPr>
          <w:rFonts w:ascii="Arial" w:hAnsi="Arial" w:cs="Arial"/>
          <w:sz w:val="22"/>
          <w:szCs w:val="22"/>
        </w:rPr>
      </w:pPr>
      <w:r>
        <w:rPr>
          <w:rFonts w:ascii="Arial" w:hAnsi="Arial" w:cs="Arial"/>
          <w:sz w:val="22"/>
          <w:szCs w:val="22"/>
        </w:rPr>
        <w:t>The Australian liquidation moratorium applies to unsecured creditors only. The elements are: i) stay in the enforcement action against the assets of the company and ii) a stay of proceedings against the company. Unsecured creditors cannot enforce their rights during liquidation outside the of the liquidation process whether by attachment, execution or court proceedings.</w:t>
      </w:r>
      <w:r w:rsidR="00B73002">
        <w:rPr>
          <w:rFonts w:ascii="Arial" w:hAnsi="Arial" w:cs="Arial"/>
          <w:sz w:val="22"/>
          <w:szCs w:val="22"/>
        </w:rPr>
        <w:t xml:space="preserve"> The court may grant leave for court proceedings to be commenced or continue against the debtor company where it is appropriate to do so. The circumstances justifying a grant of leave include: where the proceedings were already well advanced before the liquidation proceeding began or when the claims is of such complexity that it is better determined by the court than by the liquidator in adjudicating on a proof of debt and in combination with either of the above, where it is likely that any decision by the liquidator in adjudicating on the proof of debt would be the subject of appeal by the creditor.</w:t>
      </w:r>
    </w:p>
    <w:p w14:paraId="7A2ECF8D" w14:textId="6957315A" w:rsidR="00B73002" w:rsidRDefault="00B73002" w:rsidP="00BA372E">
      <w:pPr>
        <w:jc w:val="both"/>
        <w:rPr>
          <w:rFonts w:ascii="Arial" w:hAnsi="Arial" w:cs="Arial"/>
          <w:sz w:val="22"/>
          <w:szCs w:val="22"/>
        </w:rPr>
      </w:pPr>
      <w:r>
        <w:rPr>
          <w:rFonts w:ascii="Arial" w:hAnsi="Arial" w:cs="Arial"/>
          <w:sz w:val="22"/>
          <w:szCs w:val="22"/>
        </w:rPr>
        <w:t>Under the voluntary administration regime, except with the consent of the administrator</w:t>
      </w:r>
      <w:r w:rsidR="00126D8B">
        <w:rPr>
          <w:rFonts w:ascii="Arial" w:hAnsi="Arial" w:cs="Arial"/>
          <w:sz w:val="22"/>
          <w:szCs w:val="22"/>
        </w:rPr>
        <w:t xml:space="preserve"> or the leave of court all creditors, both secured and unsecured cannot enforce their rights.</w:t>
      </w:r>
    </w:p>
    <w:p w14:paraId="510D463A" w14:textId="4C49D0CC" w:rsidR="00126D8B" w:rsidRPr="002A37BB" w:rsidRDefault="00126D8B" w:rsidP="00BA372E">
      <w:pPr>
        <w:jc w:val="both"/>
        <w:rPr>
          <w:rFonts w:ascii="Arial" w:hAnsi="Arial" w:cs="Arial"/>
          <w:sz w:val="22"/>
          <w:szCs w:val="22"/>
        </w:rPr>
      </w:pPr>
      <w:r>
        <w:rPr>
          <w:rFonts w:ascii="Arial" w:hAnsi="Arial" w:cs="Arial"/>
          <w:sz w:val="22"/>
          <w:szCs w:val="22"/>
        </w:rPr>
        <w:t>The exceptions are: a creditor with security interest over the whole or substantially the whole of the company’s property can enforce its security interest by appointing a receiver within the decision period of 13 business days from the commencement of the voluntary administration or from the secured party receiving notice of the appointment of the voluntary administrator and subject to contrary order of the court, a secured creditor or owner or lessor that seeks to either continue with enforcement action commenced prior to the appointment of the voluntary administrator or otherwise recover perishable property. Additionally,</w:t>
      </w:r>
      <w:r w:rsidR="00F278F9">
        <w:rPr>
          <w:rFonts w:ascii="Arial" w:hAnsi="Arial" w:cs="Arial"/>
          <w:sz w:val="22"/>
          <w:szCs w:val="22"/>
        </w:rPr>
        <w:t xml:space="preserve"> </w:t>
      </w:r>
      <w:r>
        <w:rPr>
          <w:rFonts w:ascii="Arial" w:hAnsi="Arial" w:cs="Arial"/>
          <w:sz w:val="22"/>
          <w:szCs w:val="22"/>
        </w:rPr>
        <w:t>the liability of a director or related party who has provided a guarantee in favour of the company cannot be enforced during voluntary administration without leave of court.</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282AE267" w:rsidR="00C72848" w:rsidRDefault="00944FF9" w:rsidP="002A37BB">
      <w:pPr>
        <w:ind w:left="720" w:hanging="720"/>
        <w:jc w:val="both"/>
        <w:rPr>
          <w:rFonts w:ascii="Arial" w:hAnsi="Arial" w:cs="Arial"/>
          <w:sz w:val="22"/>
          <w:szCs w:val="22"/>
          <w:lang w:val="en-GB"/>
        </w:rPr>
      </w:pPr>
      <w:r>
        <w:rPr>
          <w:rFonts w:ascii="Arial" w:hAnsi="Arial" w:cs="Arial"/>
          <w:sz w:val="22"/>
          <w:szCs w:val="22"/>
          <w:lang w:val="en-GB"/>
        </w:rPr>
        <w:t>An Ipso Facto clause is a provision inserted into contracts that allows a party to the contract to terminate or modify the operation of the contract (including accelerating payments) upon occurrence of certain event such as counterparty’s insolvency or restructuring.</w:t>
      </w:r>
    </w:p>
    <w:p w14:paraId="09F66F68" w14:textId="645F56D4" w:rsidR="00944FF9" w:rsidRPr="002A37BB" w:rsidRDefault="00944FF9" w:rsidP="002A37BB">
      <w:pPr>
        <w:ind w:left="720" w:hanging="720"/>
        <w:jc w:val="both"/>
        <w:rPr>
          <w:rFonts w:ascii="Arial" w:hAnsi="Arial" w:cs="Arial"/>
          <w:sz w:val="22"/>
          <w:szCs w:val="22"/>
          <w:lang w:val="en-GB"/>
        </w:rPr>
      </w:pPr>
      <w:r>
        <w:rPr>
          <w:rFonts w:ascii="Arial" w:hAnsi="Arial" w:cs="Arial"/>
          <w:sz w:val="22"/>
          <w:szCs w:val="22"/>
          <w:lang w:val="en-GB"/>
        </w:rPr>
        <w:t>Except for one condition, the liquidator cannot stay the operation of an ipso facto clause in a contract during liquidation. The only exception relates to the circumstance where a creditor’s voluntary liquidation immediately follows from a prior voluntary administration or attempt to negotiate a creditor’s</w:t>
      </w:r>
      <w:r w:rsidR="00700B69">
        <w:rPr>
          <w:rFonts w:ascii="Arial" w:hAnsi="Arial" w:cs="Arial"/>
          <w:sz w:val="22"/>
          <w:szCs w:val="22"/>
          <w:lang w:val="en-GB"/>
        </w:rPr>
        <w:t xml:space="preserve"> scheme of arrangement in which case the moratorium introduced as part of the recent amendment of 1</w:t>
      </w:r>
      <w:r w:rsidR="00700B69" w:rsidRPr="00700B69">
        <w:rPr>
          <w:rFonts w:ascii="Arial" w:hAnsi="Arial" w:cs="Arial"/>
          <w:sz w:val="22"/>
          <w:szCs w:val="22"/>
          <w:vertAlign w:val="superscript"/>
          <w:lang w:val="en-GB"/>
        </w:rPr>
        <w:t>st</w:t>
      </w:r>
      <w:r w:rsidR="00700B69">
        <w:rPr>
          <w:rFonts w:ascii="Arial" w:hAnsi="Arial" w:cs="Arial"/>
          <w:sz w:val="22"/>
          <w:szCs w:val="22"/>
          <w:lang w:val="en-GB"/>
        </w:rPr>
        <w:t xml:space="preserve"> July 2018, to the Corporations Act will be invoked. Otherwise</w:t>
      </w:r>
      <w:r w:rsidR="00191AA8">
        <w:rPr>
          <w:rFonts w:ascii="Arial" w:hAnsi="Arial" w:cs="Arial"/>
          <w:sz w:val="22"/>
          <w:szCs w:val="22"/>
          <w:lang w:val="en-GB"/>
        </w:rPr>
        <w:t>,</w:t>
      </w:r>
      <w:r w:rsidR="00700B69">
        <w:rPr>
          <w:rFonts w:ascii="Arial" w:hAnsi="Arial" w:cs="Arial"/>
          <w:sz w:val="22"/>
          <w:szCs w:val="22"/>
          <w:lang w:val="en-GB"/>
        </w:rPr>
        <w:t xml:space="preserve"> an ipso facto clause in liquidation is fully operat</w:t>
      </w:r>
      <w:r w:rsidR="00191AA8">
        <w:rPr>
          <w:rFonts w:ascii="Arial" w:hAnsi="Arial" w:cs="Arial"/>
          <w:sz w:val="22"/>
          <w:szCs w:val="22"/>
          <w:lang w:val="en-GB"/>
        </w:rPr>
        <w:t>i</w:t>
      </w:r>
      <w:r w:rsidR="00700B69">
        <w:rPr>
          <w:rFonts w:ascii="Arial" w:hAnsi="Arial" w:cs="Arial"/>
          <w:sz w:val="22"/>
          <w:szCs w:val="22"/>
          <w:lang w:val="en-GB"/>
        </w:rPr>
        <w:t>onal.</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64205131" w:rsidR="00DF75F8" w:rsidRDefault="003C52D4" w:rsidP="002A37BB">
      <w:pPr>
        <w:jc w:val="both"/>
        <w:rPr>
          <w:rFonts w:ascii="Arial" w:hAnsi="Arial" w:cs="Arial"/>
          <w:sz w:val="22"/>
          <w:szCs w:val="22"/>
          <w:lang w:val="en-GB"/>
        </w:rPr>
      </w:pPr>
      <w:r>
        <w:rPr>
          <w:rFonts w:ascii="Arial" w:hAnsi="Arial" w:cs="Arial"/>
          <w:sz w:val="22"/>
          <w:szCs w:val="22"/>
          <w:lang w:val="en-GB"/>
        </w:rPr>
        <w:lastRenderedPageBreak/>
        <w:t>Creditor’s schemes of arrangement are costly and time consuming but not an ineffective corporate rescue mechanism in Australia. BY the scheme the directors of a financially distressed company embark on negotiations with the company’s creditors in an effort to secure their support for a formal restructuring of the company’s debts and the existing operations.</w:t>
      </w:r>
      <w:r w:rsidR="00E908A2">
        <w:rPr>
          <w:rFonts w:ascii="Arial" w:hAnsi="Arial" w:cs="Arial"/>
          <w:sz w:val="22"/>
          <w:szCs w:val="22"/>
          <w:lang w:val="en-GB"/>
        </w:rPr>
        <w:t xml:space="preserve"> </w:t>
      </w:r>
      <w:r>
        <w:rPr>
          <w:rFonts w:ascii="Arial" w:hAnsi="Arial" w:cs="Arial"/>
          <w:sz w:val="22"/>
          <w:szCs w:val="22"/>
          <w:lang w:val="en-GB"/>
        </w:rPr>
        <w:t>The company’s creditors are made aware of certain prescribed matters including cr</w:t>
      </w:r>
      <w:r w:rsidR="00E908A2">
        <w:rPr>
          <w:rFonts w:ascii="Arial" w:hAnsi="Arial" w:cs="Arial"/>
          <w:sz w:val="22"/>
          <w:szCs w:val="22"/>
          <w:lang w:val="en-GB"/>
        </w:rPr>
        <w:t>e</w:t>
      </w:r>
      <w:r>
        <w:rPr>
          <w:rFonts w:ascii="Arial" w:hAnsi="Arial" w:cs="Arial"/>
          <w:sz w:val="22"/>
          <w:szCs w:val="22"/>
          <w:lang w:val="en-GB"/>
        </w:rPr>
        <w:t>ditors expected dividends under the scheme compared to a winding up and the amount of creditors</w:t>
      </w:r>
      <w:r w:rsidR="001566B9">
        <w:rPr>
          <w:rFonts w:ascii="Arial" w:hAnsi="Arial" w:cs="Arial"/>
          <w:sz w:val="22"/>
          <w:szCs w:val="22"/>
          <w:lang w:val="en-GB"/>
        </w:rPr>
        <w:t>’</w:t>
      </w:r>
      <w:r>
        <w:rPr>
          <w:rFonts w:ascii="Arial" w:hAnsi="Arial" w:cs="Arial"/>
          <w:sz w:val="22"/>
          <w:szCs w:val="22"/>
          <w:lang w:val="en-GB"/>
        </w:rPr>
        <w:t xml:space="preserve"> claims and comprehensive information about the financial and other affairs during the negotiations</w:t>
      </w:r>
      <w:r w:rsidR="00E908A2">
        <w:rPr>
          <w:rFonts w:ascii="Arial" w:hAnsi="Arial" w:cs="Arial"/>
          <w:sz w:val="22"/>
          <w:szCs w:val="22"/>
          <w:lang w:val="en-GB"/>
        </w:rPr>
        <w:t>.</w:t>
      </w:r>
    </w:p>
    <w:p w14:paraId="1CA67F9D" w14:textId="42600BC6" w:rsidR="00825A82" w:rsidRDefault="00825A82" w:rsidP="002A37BB">
      <w:pPr>
        <w:jc w:val="both"/>
        <w:rPr>
          <w:rFonts w:ascii="Arial" w:hAnsi="Arial" w:cs="Arial"/>
          <w:sz w:val="22"/>
          <w:szCs w:val="22"/>
          <w:lang w:val="en-GB"/>
        </w:rPr>
      </w:pPr>
      <w:r>
        <w:rPr>
          <w:rFonts w:ascii="Arial" w:hAnsi="Arial" w:cs="Arial"/>
          <w:sz w:val="22"/>
          <w:szCs w:val="22"/>
          <w:lang w:val="en-GB"/>
        </w:rPr>
        <w:t xml:space="preserve">It is only when the directors gain substantial support from the relevant creditors, in this case, the major creditors of </w:t>
      </w:r>
      <w:r w:rsidR="002F504F">
        <w:rPr>
          <w:rFonts w:ascii="Arial" w:hAnsi="Arial" w:cs="Arial"/>
          <w:sz w:val="22"/>
          <w:szCs w:val="22"/>
          <w:lang w:val="en-GB"/>
        </w:rPr>
        <w:t xml:space="preserve">the </w:t>
      </w:r>
      <w:r>
        <w:rPr>
          <w:rFonts w:ascii="Arial" w:hAnsi="Arial" w:cs="Arial"/>
          <w:sz w:val="22"/>
          <w:szCs w:val="22"/>
          <w:lang w:val="en-GB"/>
        </w:rPr>
        <w:t xml:space="preserve">company such as the secured creditors, key financiers and suppliers that they apply to the court for a meeting of all the creditors. The court will then order a setup of the meeting of creditors and even order different </w:t>
      </w:r>
      <w:r w:rsidR="00AF63A6">
        <w:rPr>
          <w:rFonts w:ascii="Arial" w:hAnsi="Arial" w:cs="Arial"/>
          <w:sz w:val="22"/>
          <w:szCs w:val="22"/>
          <w:lang w:val="en-GB"/>
        </w:rPr>
        <w:t xml:space="preserve">classes of </w:t>
      </w:r>
      <w:r>
        <w:rPr>
          <w:rFonts w:ascii="Arial" w:hAnsi="Arial" w:cs="Arial"/>
          <w:sz w:val="22"/>
          <w:szCs w:val="22"/>
          <w:lang w:val="en-GB"/>
        </w:rPr>
        <w:t>meetings for different group of creditors if all creditors are not being treated equally.</w:t>
      </w:r>
    </w:p>
    <w:p w14:paraId="3575BC1E" w14:textId="303F1B5F" w:rsidR="00825A82" w:rsidRDefault="00825A82" w:rsidP="002A37BB">
      <w:pPr>
        <w:jc w:val="both"/>
        <w:rPr>
          <w:rFonts w:ascii="Arial" w:hAnsi="Arial" w:cs="Arial"/>
          <w:sz w:val="22"/>
          <w:szCs w:val="22"/>
          <w:lang w:val="en-GB"/>
        </w:rPr>
      </w:pPr>
      <w:r>
        <w:rPr>
          <w:rFonts w:ascii="Arial" w:hAnsi="Arial" w:cs="Arial"/>
          <w:sz w:val="22"/>
          <w:szCs w:val="22"/>
          <w:lang w:val="en-GB"/>
        </w:rPr>
        <w:t xml:space="preserve">The creditors meet to consider and approve the schedule of arrangement </w:t>
      </w:r>
      <w:r w:rsidR="002F504F">
        <w:rPr>
          <w:rFonts w:ascii="Arial" w:hAnsi="Arial" w:cs="Arial"/>
          <w:sz w:val="22"/>
          <w:szCs w:val="22"/>
          <w:lang w:val="en-GB"/>
        </w:rPr>
        <w:t xml:space="preserve">and </w:t>
      </w:r>
      <w:r>
        <w:rPr>
          <w:rFonts w:ascii="Arial" w:hAnsi="Arial" w:cs="Arial"/>
          <w:sz w:val="22"/>
          <w:szCs w:val="22"/>
          <w:lang w:val="en-GB"/>
        </w:rPr>
        <w:t xml:space="preserve">must approve it by a majority of those present and voting </w:t>
      </w:r>
      <w:r w:rsidR="009278C9">
        <w:rPr>
          <w:rFonts w:ascii="Arial" w:hAnsi="Arial" w:cs="Arial"/>
          <w:sz w:val="22"/>
          <w:szCs w:val="22"/>
          <w:lang w:val="en-GB"/>
        </w:rPr>
        <w:t xml:space="preserve">whether in person, </w:t>
      </w:r>
      <w:r w:rsidR="00545766">
        <w:rPr>
          <w:rFonts w:ascii="Arial" w:hAnsi="Arial" w:cs="Arial"/>
          <w:sz w:val="22"/>
          <w:szCs w:val="22"/>
          <w:lang w:val="en-GB"/>
        </w:rPr>
        <w:t xml:space="preserve">by </w:t>
      </w:r>
      <w:r w:rsidR="009278C9">
        <w:rPr>
          <w:rFonts w:ascii="Arial" w:hAnsi="Arial" w:cs="Arial"/>
          <w:sz w:val="22"/>
          <w:szCs w:val="22"/>
          <w:lang w:val="en-GB"/>
        </w:rPr>
        <w:t xml:space="preserve">proxy, </w:t>
      </w:r>
      <w:r w:rsidR="002F504F">
        <w:rPr>
          <w:rFonts w:ascii="Arial" w:hAnsi="Arial" w:cs="Arial"/>
          <w:sz w:val="22"/>
          <w:szCs w:val="22"/>
          <w:lang w:val="en-GB"/>
        </w:rPr>
        <w:t xml:space="preserve">by </w:t>
      </w:r>
      <w:r w:rsidR="009278C9">
        <w:rPr>
          <w:rFonts w:ascii="Arial" w:hAnsi="Arial" w:cs="Arial"/>
          <w:sz w:val="22"/>
          <w:szCs w:val="22"/>
          <w:lang w:val="en-GB"/>
        </w:rPr>
        <w:t>attorney or by corporate representation.</w:t>
      </w:r>
    </w:p>
    <w:p w14:paraId="20BD29EE" w14:textId="1723417A" w:rsidR="00AF63A6" w:rsidRPr="002A37BB" w:rsidRDefault="00AF63A6" w:rsidP="002A37BB">
      <w:pPr>
        <w:jc w:val="both"/>
        <w:rPr>
          <w:rFonts w:ascii="Arial" w:hAnsi="Arial" w:cs="Arial"/>
          <w:sz w:val="22"/>
          <w:szCs w:val="22"/>
          <w:lang w:val="en-GB"/>
        </w:rPr>
      </w:pPr>
      <w:r>
        <w:rPr>
          <w:rFonts w:ascii="Arial" w:hAnsi="Arial" w:cs="Arial"/>
          <w:sz w:val="22"/>
          <w:szCs w:val="22"/>
          <w:lang w:val="en-GB"/>
        </w:rPr>
        <w:t>At the meeting of creditors</w:t>
      </w:r>
      <w:r w:rsidR="00D54498">
        <w:rPr>
          <w:rFonts w:ascii="Arial" w:hAnsi="Arial" w:cs="Arial"/>
          <w:sz w:val="22"/>
          <w:szCs w:val="22"/>
          <w:lang w:val="en-GB"/>
        </w:rPr>
        <w:t>,</w:t>
      </w:r>
      <w:r>
        <w:rPr>
          <w:rFonts w:ascii="Arial" w:hAnsi="Arial" w:cs="Arial"/>
          <w:sz w:val="22"/>
          <w:szCs w:val="22"/>
          <w:lang w:val="en-GB"/>
        </w:rPr>
        <w:t xml:space="preserve"> the approval of the scheme must also have at least 75 percent of the total value of the debt and claims present and voting also approve the scheme. The scheme cannot proceed unless all classes of creditors vote in favour of it by the required majorities.</w:t>
      </w:r>
    </w:p>
    <w:p w14:paraId="6DD9BB66" w14:textId="7F98B89F" w:rsidR="00FA18CF" w:rsidRDefault="00545766" w:rsidP="002A37BB">
      <w:pPr>
        <w:jc w:val="both"/>
        <w:rPr>
          <w:rFonts w:ascii="Arial" w:hAnsi="Arial" w:cs="Arial"/>
          <w:sz w:val="22"/>
          <w:szCs w:val="22"/>
          <w:shd w:val="clear" w:color="auto" w:fill="FFFFFF"/>
        </w:rPr>
      </w:pPr>
      <w:r>
        <w:rPr>
          <w:rFonts w:ascii="Arial" w:hAnsi="Arial" w:cs="Arial"/>
          <w:sz w:val="22"/>
          <w:szCs w:val="22"/>
          <w:shd w:val="clear" w:color="auto" w:fill="FFFFFF"/>
        </w:rPr>
        <w:t>If the scheme is approved by the creditors, then a second application is made to the court for the court’s approval of the scheme. The court will consider if all the conditions were properly met such as the meetings were properly convened and there was no clear case of unfairness or injustice at the separate meetings if there was that.</w:t>
      </w:r>
    </w:p>
    <w:p w14:paraId="20EFB123" w14:textId="71DDBEA5" w:rsidR="00692283" w:rsidRDefault="00692283" w:rsidP="002A37BB">
      <w:pPr>
        <w:jc w:val="both"/>
        <w:rPr>
          <w:rFonts w:ascii="Arial" w:hAnsi="Arial" w:cs="Arial"/>
          <w:sz w:val="22"/>
          <w:szCs w:val="22"/>
          <w:shd w:val="clear" w:color="auto" w:fill="FFFFFF"/>
        </w:rPr>
      </w:pPr>
      <w:r>
        <w:rPr>
          <w:rFonts w:ascii="Arial" w:hAnsi="Arial" w:cs="Arial"/>
          <w:sz w:val="22"/>
          <w:szCs w:val="22"/>
          <w:shd w:val="clear" w:color="auto" w:fill="FFFFFF"/>
        </w:rPr>
        <w:t>Even though it takes more than one application to the court for the scheme of arrangement to be approved and it must be performed as approved, the cost and time expended on achieving the consensus of the creditors approval of the scheme makes it worth its while. The creditors can be assured that their input into the scheme of arrangement would be followed and has the judicial blessing. The cost of fees from filings in the court and the extra time can be factored into the scheme during the negotiations of the terms of the scheme with the creditors.</w:t>
      </w:r>
      <w:r w:rsidR="00E00C04">
        <w:rPr>
          <w:rFonts w:ascii="Arial" w:hAnsi="Arial" w:cs="Arial"/>
          <w:sz w:val="22"/>
          <w:szCs w:val="22"/>
          <w:shd w:val="clear" w:color="auto" w:fill="FFFFFF"/>
        </w:rPr>
        <w:t xml:space="preserve"> </w:t>
      </w:r>
      <w:r>
        <w:rPr>
          <w:rFonts w:ascii="Arial" w:hAnsi="Arial" w:cs="Arial"/>
          <w:sz w:val="22"/>
          <w:szCs w:val="22"/>
          <w:shd w:val="clear" w:color="auto" w:fill="FFFFFF"/>
        </w:rPr>
        <w:t>If the scheme</w:t>
      </w:r>
      <w:r w:rsidR="00E00C04">
        <w:rPr>
          <w:rFonts w:ascii="Arial" w:hAnsi="Arial" w:cs="Arial"/>
          <w:sz w:val="22"/>
          <w:szCs w:val="22"/>
          <w:shd w:val="clear" w:color="auto" w:fill="FFFFFF"/>
        </w:rPr>
        <w:t xml:space="preserve"> of arrangement was carefully thought through and designed to meet the exigent situation then if it is faithfully executed and implemented it bodes well for the customers and I will endorse it.</w:t>
      </w:r>
    </w:p>
    <w:p w14:paraId="62E7BC52" w14:textId="77777777" w:rsidR="00E00C04" w:rsidRDefault="00E00C04"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 xml:space="preserve">A liquidator has been appointed to Aussiebee in Lyonesse. She applies to the Federal Court of Australia for recognition of the Lyonessian liquidation as a foreign main proceeding, and for orders entrusting Aussiebee’s assets (including Aussiebee’s shares in NewYums which </w:t>
      </w:r>
      <w:r>
        <w:rPr>
          <w:rFonts w:ascii="Arial" w:hAnsi="Arial" w:cs="Arial"/>
          <w:sz w:val="22"/>
          <w:szCs w:val="22"/>
          <w:lang w:val="en-GB"/>
        </w:rPr>
        <w:lastRenderedPageBreak/>
        <w:t>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DCD9019" w14:textId="682CE2B8" w:rsidR="00634E3B" w:rsidRDefault="007C017B"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Australian case of Ackers v Deputy Commissioner of Taxation (2014) 223 FCR8; [2014] FCAFC 57, the full court of the Federal Court of Australia tackled similar issues as in the fact pattern of this case. The court was to apply Article 22 “adequate protection” of the Model Law as adopted in the Australian CBIA to the situation where the debtor’s company owes the Australia Tax Commis</w:t>
      </w:r>
      <w:r w:rsidR="00462C2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ion AUD 83 million and was attempting to transfer some AUD 7 million of proceeds out of Australia to settle the liquidation </w:t>
      </w:r>
      <w:r w:rsidR="00634E3B">
        <w:rPr>
          <w:rFonts w:ascii="Arial" w:hAnsi="Arial" w:cs="Arial"/>
          <w:color w:val="7B7B7B" w:themeColor="accent3" w:themeShade="BF"/>
          <w:sz w:val="22"/>
          <w:szCs w:val="22"/>
          <w:lang w:val="en-GB"/>
        </w:rPr>
        <w:t>proceeding in the Cayman Islands of the Company.</w:t>
      </w:r>
      <w:r w:rsidR="00462C22">
        <w:rPr>
          <w:rFonts w:ascii="Arial" w:hAnsi="Arial" w:cs="Arial"/>
          <w:color w:val="7B7B7B" w:themeColor="accent3" w:themeShade="BF"/>
          <w:sz w:val="22"/>
          <w:szCs w:val="22"/>
          <w:lang w:val="en-GB"/>
        </w:rPr>
        <w:t xml:space="preserve"> </w:t>
      </w:r>
      <w:r w:rsidR="00634E3B">
        <w:rPr>
          <w:rFonts w:ascii="Arial" w:hAnsi="Arial" w:cs="Arial"/>
          <w:color w:val="7B7B7B" w:themeColor="accent3" w:themeShade="BF"/>
          <w:sz w:val="22"/>
          <w:szCs w:val="22"/>
          <w:lang w:val="en-GB"/>
        </w:rPr>
        <w:t>In the case at bar, there is an attempt to realise and transfer AUD 20 million to Lyonese while the company owes the Austr</w:t>
      </w:r>
      <w:r w:rsidR="00462C22">
        <w:rPr>
          <w:rFonts w:ascii="Arial" w:hAnsi="Arial" w:cs="Arial"/>
          <w:color w:val="7B7B7B" w:themeColor="accent3" w:themeShade="BF"/>
          <w:sz w:val="22"/>
          <w:szCs w:val="22"/>
          <w:lang w:val="en-GB"/>
        </w:rPr>
        <w:t>a</w:t>
      </w:r>
      <w:r w:rsidR="00634E3B">
        <w:rPr>
          <w:rFonts w:ascii="Arial" w:hAnsi="Arial" w:cs="Arial"/>
          <w:color w:val="7B7B7B" w:themeColor="accent3" w:themeShade="BF"/>
          <w:sz w:val="22"/>
          <w:szCs w:val="22"/>
          <w:lang w:val="en-GB"/>
        </w:rPr>
        <w:t>lian Taxation Office AUD 12 million.</w:t>
      </w:r>
    </w:p>
    <w:p w14:paraId="14856FE1" w14:textId="1D02911A" w:rsidR="00634E3B" w:rsidRDefault="00634E3B"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Ackers v DCT case, supra the Federal Court modified the recognition orders upon application by the Deputy Commissioner of Taxation in Australia’s leave to take steps to enforce its claims in Australia, expressly for the purpose of receiving an amount up to the pari passu amount the ATO would have received if it were to prove for the tax debt as an unsecured creditor.</w:t>
      </w:r>
      <w:r w:rsidR="00462C2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This decision was upheld on appeal by the full bench of the Federal Court finding that the modification of the recognition order was appropriate</w:t>
      </w:r>
      <w:r w:rsidR="00462C22">
        <w:rPr>
          <w:rFonts w:ascii="Arial" w:hAnsi="Arial" w:cs="Arial"/>
          <w:color w:val="7B7B7B" w:themeColor="accent3" w:themeShade="BF"/>
          <w:sz w:val="22"/>
          <w:szCs w:val="22"/>
          <w:lang w:val="en-GB"/>
        </w:rPr>
        <w:t xml:space="preserve"> way to ensure that the interest of the DCT as a creditor was adequately protected.</w:t>
      </w:r>
    </w:p>
    <w:p w14:paraId="129A7287" w14:textId="43DD5AE4" w:rsidR="00462C22" w:rsidRPr="00634E3B" w:rsidRDefault="00462C22"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shall, therefore, advise the ATO to apply to the Federal Court which has jurisdiction in the cross-border insolvency issues to apply to the court relying on the decision of the Ackers v DCT above for a similar decision.</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0"/>
    </w:p>
    <w:bookmarkEnd w:id="1"/>
    <w:p w14:paraId="154681F0" w14:textId="3933A239" w:rsidR="009D20B1" w:rsidRDefault="009D20B1" w:rsidP="00087F21">
      <w:pPr>
        <w:jc w:val="both"/>
        <w:rPr>
          <w:rFonts w:ascii="Arial" w:hAnsi="Arial" w:cs="Arial"/>
          <w:color w:val="000000" w:themeColor="text1"/>
          <w:sz w:val="22"/>
          <w:szCs w:val="22"/>
          <w:lang w:val="en-GB"/>
        </w:rPr>
      </w:pPr>
    </w:p>
    <w:p w14:paraId="68CCCFE5" w14:textId="4707D968" w:rsidR="00B77F46" w:rsidRPr="00692909" w:rsidRDefault="00267E8E" w:rsidP="0069290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S</w:t>
      </w:r>
      <w:r w:rsidR="001E0BEC">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ipmin is owned 100% by Shipmax and has only one asset. Shipmin owes CBA AUD 20 million and has mortgaged its only asset to secure that loan. However, the mortgage is not registered on the Australian PPSR. My advi</w:t>
      </w:r>
      <w:r w:rsidR="001E0BEC">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e to the liquidator of Shipmax will be to voluntarily liquidate Shipmin and dissolve Shipmin and since the mortgage is not registered, </w:t>
      </w:r>
      <w:r>
        <w:rPr>
          <w:rFonts w:ascii="Arial" w:hAnsi="Arial" w:cs="Arial"/>
          <w:color w:val="7B7B7B" w:themeColor="accent3" w:themeShade="BF"/>
          <w:sz w:val="22"/>
          <w:szCs w:val="22"/>
          <w:lang w:val="en-GB"/>
        </w:rPr>
        <w:lastRenderedPageBreak/>
        <w:t>the property will revert to Shipmin and Shipmax can then take over the asset to improve and maximize its assets since it owns Shipmin totally.</w:t>
      </w:r>
    </w:p>
    <w:sectPr w:rsidR="00B77F46" w:rsidRPr="0069290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4CC57" w14:textId="77777777" w:rsidR="004A58CA" w:rsidRDefault="004A58CA" w:rsidP="00241B44">
      <w:r>
        <w:separator/>
      </w:r>
    </w:p>
  </w:endnote>
  <w:endnote w:type="continuationSeparator" w:id="0">
    <w:p w14:paraId="1986977C" w14:textId="77777777" w:rsidR="004A58CA" w:rsidRDefault="004A58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28"/>
      <w:gridCol w:w="4628"/>
    </w:tblGrid>
    <w:tr w:rsidR="00E64944" w14:paraId="3ADFA6E9" w14:textId="77777777">
      <w:tc>
        <w:tcPr>
          <w:tcW w:w="2500" w:type="pct"/>
          <w:shd w:val="clear" w:color="auto" w:fill="4472C4" w:themeFill="accent1"/>
          <w:vAlign w:val="center"/>
        </w:tcPr>
        <w:p w14:paraId="4D37ADE2" w14:textId="291E522A" w:rsidR="00E64944" w:rsidRDefault="004A58CA">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3FBF16BCFB94B0C9E76192F7D009324"/>
              </w:placeholder>
              <w:dataBinding w:prefixMappings="xmlns:ns0='http://purl.org/dc/elements/1.1/' xmlns:ns1='http://schemas.openxmlformats.org/package/2006/metadata/core-properties' " w:xpath="/ns1:coreProperties[1]/ns0:title[1]" w:storeItemID="{6C3C8BC8-F283-45AE-878A-BAB7291924A1}"/>
              <w:text/>
            </w:sdtPr>
            <w:sdtEndPr/>
            <w:sdtContent>
              <w:r w:rsidR="00E64944">
                <w:rPr>
                  <w:caps/>
                  <w:color w:val="FFFFFF" w:themeColor="background1"/>
                  <w:sz w:val="18"/>
                  <w:szCs w:val="18"/>
                </w:rPr>
                <w:t>202021-IFU-268.assessment8a</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7B54B8B8755D4BC1AE838F22971C67E7"/>
            </w:placeholder>
            <w:dataBinding w:prefixMappings="xmlns:ns0='http://purl.org/dc/elements/1.1/' xmlns:ns1='http://schemas.openxmlformats.org/package/2006/metadata/core-properties' " w:xpath="/ns1:coreProperties[1]/ns0:creator[1]" w:storeItemID="{6C3C8BC8-F283-45AE-878A-BAB7291924A1}"/>
            <w:text/>
          </w:sdtPr>
          <w:sdtEndPr/>
          <w:sdtContent>
            <w:p w14:paraId="6C169F06" w14:textId="53F5D7C7" w:rsidR="00E64944" w:rsidRDefault="00E64944">
              <w:pPr>
                <w:pStyle w:val="Footer"/>
                <w:spacing w:before="80" w:after="80"/>
                <w:jc w:val="right"/>
                <w:rPr>
                  <w:caps/>
                  <w:color w:val="FFFFFF" w:themeColor="background1"/>
                  <w:sz w:val="18"/>
                  <w:szCs w:val="18"/>
                </w:rPr>
              </w:pPr>
              <w:r>
                <w:rPr>
                  <w:caps/>
                  <w:color w:val="FFFFFF" w:themeColor="background1"/>
                  <w:sz w:val="18"/>
                  <w:szCs w:val="18"/>
                </w:rPr>
                <w:t>Microsoft Office User</w:t>
              </w:r>
            </w:p>
          </w:sdtContent>
        </w:sdt>
      </w:tc>
    </w:tr>
  </w:tbl>
  <w:p w14:paraId="4652DD67" w14:textId="700A10E9" w:rsidR="00542A3A" w:rsidRPr="009B4976" w:rsidRDefault="00542A3A"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0DD10" w14:textId="77777777" w:rsidR="004A58CA" w:rsidRDefault="004A58CA" w:rsidP="00241B44">
      <w:r>
        <w:separator/>
      </w:r>
    </w:p>
  </w:footnote>
  <w:footnote w:type="continuationSeparator" w:id="0">
    <w:p w14:paraId="1C0D64B9" w14:textId="77777777" w:rsidR="004A58CA" w:rsidRDefault="004A58C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4"/>
  </w:num>
  <w:num w:numId="3">
    <w:abstractNumId w:val="2"/>
  </w:num>
  <w:num w:numId="4">
    <w:abstractNumId w:val="13"/>
  </w:num>
  <w:num w:numId="5">
    <w:abstractNumId w:val="3"/>
  </w:num>
  <w:num w:numId="6">
    <w:abstractNumId w:val="11"/>
  </w:num>
  <w:num w:numId="7">
    <w:abstractNumId w:val="14"/>
  </w:num>
  <w:num w:numId="8">
    <w:abstractNumId w:val="12"/>
  </w:num>
  <w:num w:numId="9">
    <w:abstractNumId w:val="1"/>
  </w:num>
  <w:num w:numId="10">
    <w:abstractNumId w:val="0"/>
  </w:num>
  <w:num w:numId="11">
    <w:abstractNumId w:val="16"/>
  </w:num>
  <w:num w:numId="12">
    <w:abstractNumId w:val="6"/>
  </w:num>
  <w:num w:numId="13">
    <w:abstractNumId w:val="17"/>
  </w:num>
  <w:num w:numId="14">
    <w:abstractNumId w:val="18"/>
  </w:num>
  <w:num w:numId="15">
    <w:abstractNumId w:val="10"/>
  </w:num>
  <w:num w:numId="16">
    <w:abstractNumId w:val="19"/>
  </w:num>
  <w:num w:numId="17">
    <w:abstractNumId w:val="9"/>
  </w:num>
  <w:num w:numId="18">
    <w:abstractNumId w:val="5"/>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0066"/>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26D8B"/>
    <w:rsid w:val="0014171F"/>
    <w:rsid w:val="0014622C"/>
    <w:rsid w:val="00152348"/>
    <w:rsid w:val="0015456D"/>
    <w:rsid w:val="00155FA2"/>
    <w:rsid w:val="001566B9"/>
    <w:rsid w:val="00161F1B"/>
    <w:rsid w:val="00162829"/>
    <w:rsid w:val="0016705D"/>
    <w:rsid w:val="00180548"/>
    <w:rsid w:val="00180AC4"/>
    <w:rsid w:val="00180CCE"/>
    <w:rsid w:val="0018267A"/>
    <w:rsid w:val="00182779"/>
    <w:rsid w:val="001830DF"/>
    <w:rsid w:val="00191AA8"/>
    <w:rsid w:val="001966D9"/>
    <w:rsid w:val="001A007A"/>
    <w:rsid w:val="001A2660"/>
    <w:rsid w:val="001A7E9A"/>
    <w:rsid w:val="001B0F70"/>
    <w:rsid w:val="001B5016"/>
    <w:rsid w:val="001C45FC"/>
    <w:rsid w:val="001D0469"/>
    <w:rsid w:val="001D29C0"/>
    <w:rsid w:val="001D4862"/>
    <w:rsid w:val="001D5785"/>
    <w:rsid w:val="001E0BEC"/>
    <w:rsid w:val="001E25B9"/>
    <w:rsid w:val="001E49E0"/>
    <w:rsid w:val="001E7B5A"/>
    <w:rsid w:val="001F7412"/>
    <w:rsid w:val="0020090A"/>
    <w:rsid w:val="00202DFE"/>
    <w:rsid w:val="0020725B"/>
    <w:rsid w:val="002110F1"/>
    <w:rsid w:val="00216FA9"/>
    <w:rsid w:val="002172B8"/>
    <w:rsid w:val="002313BB"/>
    <w:rsid w:val="002356EA"/>
    <w:rsid w:val="0024116D"/>
    <w:rsid w:val="00241B44"/>
    <w:rsid w:val="00241FA3"/>
    <w:rsid w:val="00245EFB"/>
    <w:rsid w:val="002476AF"/>
    <w:rsid w:val="0025386E"/>
    <w:rsid w:val="002638B0"/>
    <w:rsid w:val="0026647A"/>
    <w:rsid w:val="002668D3"/>
    <w:rsid w:val="00267E8E"/>
    <w:rsid w:val="0027299F"/>
    <w:rsid w:val="00284EBE"/>
    <w:rsid w:val="002903A7"/>
    <w:rsid w:val="0029433F"/>
    <w:rsid w:val="00294829"/>
    <w:rsid w:val="002956E6"/>
    <w:rsid w:val="0029690F"/>
    <w:rsid w:val="00297C8A"/>
    <w:rsid w:val="002A2A60"/>
    <w:rsid w:val="002A37BB"/>
    <w:rsid w:val="002A4B95"/>
    <w:rsid w:val="002B1C45"/>
    <w:rsid w:val="002C13C8"/>
    <w:rsid w:val="002C3547"/>
    <w:rsid w:val="002D0021"/>
    <w:rsid w:val="002D299D"/>
    <w:rsid w:val="002D3473"/>
    <w:rsid w:val="002E3310"/>
    <w:rsid w:val="002F1956"/>
    <w:rsid w:val="002F3440"/>
    <w:rsid w:val="002F504F"/>
    <w:rsid w:val="002F75A3"/>
    <w:rsid w:val="00303C2F"/>
    <w:rsid w:val="003042CB"/>
    <w:rsid w:val="003144EF"/>
    <w:rsid w:val="00321D73"/>
    <w:rsid w:val="00326292"/>
    <w:rsid w:val="00326415"/>
    <w:rsid w:val="00330937"/>
    <w:rsid w:val="00330F31"/>
    <w:rsid w:val="00334648"/>
    <w:rsid w:val="003361F2"/>
    <w:rsid w:val="0033768C"/>
    <w:rsid w:val="00337938"/>
    <w:rsid w:val="00340769"/>
    <w:rsid w:val="00341AA6"/>
    <w:rsid w:val="00361A0A"/>
    <w:rsid w:val="00364836"/>
    <w:rsid w:val="00364D10"/>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2D4"/>
    <w:rsid w:val="003D0A6D"/>
    <w:rsid w:val="003E0B16"/>
    <w:rsid w:val="003E67D1"/>
    <w:rsid w:val="004003CF"/>
    <w:rsid w:val="00404329"/>
    <w:rsid w:val="00405DC1"/>
    <w:rsid w:val="00415F1F"/>
    <w:rsid w:val="0041627E"/>
    <w:rsid w:val="00416D2B"/>
    <w:rsid w:val="0042108F"/>
    <w:rsid w:val="00430FED"/>
    <w:rsid w:val="00434A8C"/>
    <w:rsid w:val="00437297"/>
    <w:rsid w:val="00444284"/>
    <w:rsid w:val="00445CE6"/>
    <w:rsid w:val="004534C2"/>
    <w:rsid w:val="0045446F"/>
    <w:rsid w:val="0045683E"/>
    <w:rsid w:val="00462C22"/>
    <w:rsid w:val="00477C72"/>
    <w:rsid w:val="004900C7"/>
    <w:rsid w:val="00491675"/>
    <w:rsid w:val="00493855"/>
    <w:rsid w:val="00495E79"/>
    <w:rsid w:val="004A2B80"/>
    <w:rsid w:val="004A2D83"/>
    <w:rsid w:val="004A57DD"/>
    <w:rsid w:val="004A58CA"/>
    <w:rsid w:val="004A7B51"/>
    <w:rsid w:val="004A7D71"/>
    <w:rsid w:val="004A7EF3"/>
    <w:rsid w:val="004B11FD"/>
    <w:rsid w:val="004B23A2"/>
    <w:rsid w:val="004C15FB"/>
    <w:rsid w:val="004D05ED"/>
    <w:rsid w:val="004D1A5A"/>
    <w:rsid w:val="004D2FFF"/>
    <w:rsid w:val="004D3721"/>
    <w:rsid w:val="004D64F9"/>
    <w:rsid w:val="004E3A6B"/>
    <w:rsid w:val="004E622C"/>
    <w:rsid w:val="004F5FDF"/>
    <w:rsid w:val="005177FE"/>
    <w:rsid w:val="0052263B"/>
    <w:rsid w:val="00524728"/>
    <w:rsid w:val="00532230"/>
    <w:rsid w:val="005331CA"/>
    <w:rsid w:val="00537970"/>
    <w:rsid w:val="00540E3A"/>
    <w:rsid w:val="00542A3A"/>
    <w:rsid w:val="00544127"/>
    <w:rsid w:val="00544FF6"/>
    <w:rsid w:val="00545766"/>
    <w:rsid w:val="005463A9"/>
    <w:rsid w:val="00551038"/>
    <w:rsid w:val="00553EB2"/>
    <w:rsid w:val="00560534"/>
    <w:rsid w:val="0056391B"/>
    <w:rsid w:val="005650E2"/>
    <w:rsid w:val="00567AD7"/>
    <w:rsid w:val="00575B2D"/>
    <w:rsid w:val="00577141"/>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4E3B"/>
    <w:rsid w:val="00636808"/>
    <w:rsid w:val="00641515"/>
    <w:rsid w:val="00654C2F"/>
    <w:rsid w:val="00657087"/>
    <w:rsid w:val="006639DB"/>
    <w:rsid w:val="006661EF"/>
    <w:rsid w:val="00671AF1"/>
    <w:rsid w:val="00677AEB"/>
    <w:rsid w:val="00680EF2"/>
    <w:rsid w:val="00687A1D"/>
    <w:rsid w:val="00690AFA"/>
    <w:rsid w:val="00692283"/>
    <w:rsid w:val="00692909"/>
    <w:rsid w:val="00697EA1"/>
    <w:rsid w:val="006A2646"/>
    <w:rsid w:val="006A5375"/>
    <w:rsid w:val="006A56DF"/>
    <w:rsid w:val="006A6530"/>
    <w:rsid w:val="006B2F11"/>
    <w:rsid w:val="006B435A"/>
    <w:rsid w:val="006B4C64"/>
    <w:rsid w:val="006B7879"/>
    <w:rsid w:val="006D6BD5"/>
    <w:rsid w:val="006E481A"/>
    <w:rsid w:val="006E5298"/>
    <w:rsid w:val="006F4A78"/>
    <w:rsid w:val="006F734A"/>
    <w:rsid w:val="00700B69"/>
    <w:rsid w:val="00700D83"/>
    <w:rsid w:val="00704852"/>
    <w:rsid w:val="007074E9"/>
    <w:rsid w:val="00713DA4"/>
    <w:rsid w:val="00714BF1"/>
    <w:rsid w:val="00721383"/>
    <w:rsid w:val="0072360C"/>
    <w:rsid w:val="0073158B"/>
    <w:rsid w:val="007333CC"/>
    <w:rsid w:val="0073399A"/>
    <w:rsid w:val="0074088D"/>
    <w:rsid w:val="00740DAD"/>
    <w:rsid w:val="007603F5"/>
    <w:rsid w:val="00760DCF"/>
    <w:rsid w:val="00764DB0"/>
    <w:rsid w:val="0076764D"/>
    <w:rsid w:val="0077498C"/>
    <w:rsid w:val="007809BC"/>
    <w:rsid w:val="00784128"/>
    <w:rsid w:val="00787BCC"/>
    <w:rsid w:val="00793173"/>
    <w:rsid w:val="007A2A33"/>
    <w:rsid w:val="007B22CF"/>
    <w:rsid w:val="007B3A5E"/>
    <w:rsid w:val="007B5C89"/>
    <w:rsid w:val="007B7670"/>
    <w:rsid w:val="007C017B"/>
    <w:rsid w:val="007C1FCC"/>
    <w:rsid w:val="007C6201"/>
    <w:rsid w:val="007D7C92"/>
    <w:rsid w:val="007E1154"/>
    <w:rsid w:val="007E6BA4"/>
    <w:rsid w:val="007F41F8"/>
    <w:rsid w:val="007F659B"/>
    <w:rsid w:val="0080454E"/>
    <w:rsid w:val="00804C32"/>
    <w:rsid w:val="00806302"/>
    <w:rsid w:val="00807119"/>
    <w:rsid w:val="008235B7"/>
    <w:rsid w:val="00823B29"/>
    <w:rsid w:val="0082483F"/>
    <w:rsid w:val="00825A82"/>
    <w:rsid w:val="008279C0"/>
    <w:rsid w:val="00845D18"/>
    <w:rsid w:val="00867701"/>
    <w:rsid w:val="008723F3"/>
    <w:rsid w:val="00876F56"/>
    <w:rsid w:val="00881DE6"/>
    <w:rsid w:val="008837A6"/>
    <w:rsid w:val="0089145D"/>
    <w:rsid w:val="008A4DF2"/>
    <w:rsid w:val="008A6CFE"/>
    <w:rsid w:val="008B5333"/>
    <w:rsid w:val="008B6223"/>
    <w:rsid w:val="008C3FB9"/>
    <w:rsid w:val="008C66E0"/>
    <w:rsid w:val="008D4D4A"/>
    <w:rsid w:val="008E3339"/>
    <w:rsid w:val="008E52BC"/>
    <w:rsid w:val="008F20FC"/>
    <w:rsid w:val="008F2C4E"/>
    <w:rsid w:val="008F5FFE"/>
    <w:rsid w:val="00905A43"/>
    <w:rsid w:val="00912C79"/>
    <w:rsid w:val="00921B8C"/>
    <w:rsid w:val="009278C9"/>
    <w:rsid w:val="009340D0"/>
    <w:rsid w:val="00942123"/>
    <w:rsid w:val="00944FF9"/>
    <w:rsid w:val="0095207B"/>
    <w:rsid w:val="00953A75"/>
    <w:rsid w:val="00962045"/>
    <w:rsid w:val="0097581F"/>
    <w:rsid w:val="00980E61"/>
    <w:rsid w:val="00991428"/>
    <w:rsid w:val="0099169D"/>
    <w:rsid w:val="00992676"/>
    <w:rsid w:val="009954B2"/>
    <w:rsid w:val="00996691"/>
    <w:rsid w:val="009A082B"/>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1497B"/>
    <w:rsid w:val="00A2274A"/>
    <w:rsid w:val="00A23222"/>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563F"/>
    <w:rsid w:val="00AB685C"/>
    <w:rsid w:val="00AB6C2D"/>
    <w:rsid w:val="00AC08F7"/>
    <w:rsid w:val="00AC2F1F"/>
    <w:rsid w:val="00AC3839"/>
    <w:rsid w:val="00AC43F8"/>
    <w:rsid w:val="00AC68D5"/>
    <w:rsid w:val="00AC7082"/>
    <w:rsid w:val="00AC750A"/>
    <w:rsid w:val="00AD12C7"/>
    <w:rsid w:val="00AD1A69"/>
    <w:rsid w:val="00AD4BE8"/>
    <w:rsid w:val="00AF228E"/>
    <w:rsid w:val="00AF63A6"/>
    <w:rsid w:val="00B016A8"/>
    <w:rsid w:val="00B14819"/>
    <w:rsid w:val="00B15E2F"/>
    <w:rsid w:val="00B17AA9"/>
    <w:rsid w:val="00B37C3C"/>
    <w:rsid w:val="00B44713"/>
    <w:rsid w:val="00B51B95"/>
    <w:rsid w:val="00B53FBE"/>
    <w:rsid w:val="00B55DD2"/>
    <w:rsid w:val="00B56103"/>
    <w:rsid w:val="00B64929"/>
    <w:rsid w:val="00B73002"/>
    <w:rsid w:val="00B736DF"/>
    <w:rsid w:val="00B743D6"/>
    <w:rsid w:val="00B74FBD"/>
    <w:rsid w:val="00B77F46"/>
    <w:rsid w:val="00B811C1"/>
    <w:rsid w:val="00B82586"/>
    <w:rsid w:val="00B829A3"/>
    <w:rsid w:val="00B8406D"/>
    <w:rsid w:val="00B86DB1"/>
    <w:rsid w:val="00B87869"/>
    <w:rsid w:val="00B91EA1"/>
    <w:rsid w:val="00B953FA"/>
    <w:rsid w:val="00B9639B"/>
    <w:rsid w:val="00BA372E"/>
    <w:rsid w:val="00BA3AE6"/>
    <w:rsid w:val="00BA4008"/>
    <w:rsid w:val="00BB0F2B"/>
    <w:rsid w:val="00BB1FF5"/>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2DCF"/>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D0796B"/>
    <w:rsid w:val="00D14424"/>
    <w:rsid w:val="00D148DC"/>
    <w:rsid w:val="00D17FDC"/>
    <w:rsid w:val="00D21D8C"/>
    <w:rsid w:val="00D45B4F"/>
    <w:rsid w:val="00D53719"/>
    <w:rsid w:val="00D54498"/>
    <w:rsid w:val="00D6188D"/>
    <w:rsid w:val="00D63EFD"/>
    <w:rsid w:val="00D74D32"/>
    <w:rsid w:val="00D84752"/>
    <w:rsid w:val="00D86B3B"/>
    <w:rsid w:val="00D8748A"/>
    <w:rsid w:val="00D93196"/>
    <w:rsid w:val="00DA0DC0"/>
    <w:rsid w:val="00DA3537"/>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0C04"/>
    <w:rsid w:val="00E07C5A"/>
    <w:rsid w:val="00E1088A"/>
    <w:rsid w:val="00E11C54"/>
    <w:rsid w:val="00E14FED"/>
    <w:rsid w:val="00E15BA9"/>
    <w:rsid w:val="00E26E19"/>
    <w:rsid w:val="00E31DF3"/>
    <w:rsid w:val="00E450A4"/>
    <w:rsid w:val="00E506BE"/>
    <w:rsid w:val="00E55547"/>
    <w:rsid w:val="00E6302B"/>
    <w:rsid w:val="00E6452F"/>
    <w:rsid w:val="00E64944"/>
    <w:rsid w:val="00E64F45"/>
    <w:rsid w:val="00E6742D"/>
    <w:rsid w:val="00E71CB0"/>
    <w:rsid w:val="00E7563D"/>
    <w:rsid w:val="00E77C3D"/>
    <w:rsid w:val="00E908A2"/>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8F9"/>
    <w:rsid w:val="00F27CD8"/>
    <w:rsid w:val="00F30351"/>
    <w:rsid w:val="00F32C2B"/>
    <w:rsid w:val="00F3323E"/>
    <w:rsid w:val="00F341F4"/>
    <w:rsid w:val="00F34F9D"/>
    <w:rsid w:val="00F35CCE"/>
    <w:rsid w:val="00F377A6"/>
    <w:rsid w:val="00F5165C"/>
    <w:rsid w:val="00F5524B"/>
    <w:rsid w:val="00F60531"/>
    <w:rsid w:val="00F60538"/>
    <w:rsid w:val="00F61DD2"/>
    <w:rsid w:val="00F66AFF"/>
    <w:rsid w:val="00F71433"/>
    <w:rsid w:val="00F97C5B"/>
    <w:rsid w:val="00F97DC4"/>
    <w:rsid w:val="00FA18CF"/>
    <w:rsid w:val="00FA3D50"/>
    <w:rsid w:val="00FB1BAD"/>
    <w:rsid w:val="00FB4C6B"/>
    <w:rsid w:val="00FB7FBD"/>
    <w:rsid w:val="00FC1622"/>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FBF16BCFB94B0C9E76192F7D009324"/>
        <w:category>
          <w:name w:val="General"/>
          <w:gallery w:val="placeholder"/>
        </w:category>
        <w:types>
          <w:type w:val="bbPlcHdr"/>
        </w:types>
        <w:behaviors>
          <w:behavior w:val="content"/>
        </w:behaviors>
        <w:guid w:val="{E7D4088F-1589-42EE-8774-04D919EAFCD6}"/>
      </w:docPartPr>
      <w:docPartBody>
        <w:p w:rsidR="00EB4177" w:rsidRDefault="00535FB1" w:rsidP="00535FB1">
          <w:pPr>
            <w:pStyle w:val="03FBF16BCFB94B0C9E76192F7D009324"/>
          </w:pPr>
          <w:r>
            <w:rPr>
              <w:caps/>
              <w:color w:val="FFFFFF" w:themeColor="background1"/>
              <w:sz w:val="18"/>
              <w:szCs w:val="18"/>
            </w:rPr>
            <w:t>[Document title]</w:t>
          </w:r>
        </w:p>
      </w:docPartBody>
    </w:docPart>
    <w:docPart>
      <w:docPartPr>
        <w:name w:val="7B54B8B8755D4BC1AE838F22971C67E7"/>
        <w:category>
          <w:name w:val="General"/>
          <w:gallery w:val="placeholder"/>
        </w:category>
        <w:types>
          <w:type w:val="bbPlcHdr"/>
        </w:types>
        <w:behaviors>
          <w:behavior w:val="content"/>
        </w:behaviors>
        <w:guid w:val="{AECCCBA5-865A-46C8-A591-19DACB9FBA55}"/>
      </w:docPartPr>
      <w:docPartBody>
        <w:p w:rsidR="00EB4177" w:rsidRDefault="00535FB1" w:rsidP="00535FB1">
          <w:pPr>
            <w:pStyle w:val="7B54B8B8755D4BC1AE838F22971C67E7"/>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B1"/>
    <w:rsid w:val="00535FB1"/>
    <w:rsid w:val="006C69F2"/>
    <w:rsid w:val="006D2B49"/>
    <w:rsid w:val="00A33ABE"/>
    <w:rsid w:val="00E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BF16BCFB94B0C9E76192F7D009324">
    <w:name w:val="03FBF16BCFB94B0C9E76192F7D009324"/>
    <w:rsid w:val="00535FB1"/>
  </w:style>
  <w:style w:type="paragraph" w:customStyle="1" w:styleId="7B54B8B8755D4BC1AE838F22971C67E7">
    <w:name w:val="7B54B8B8755D4BC1AE838F22971C67E7"/>
    <w:rsid w:val="00535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202021-IFU-268.assessment8a</dc:title>
  <dc:creator>Microsoft Office User</dc:creator>
  <cp:lastModifiedBy>David Burdette</cp:lastModifiedBy>
  <cp:revision>2</cp:revision>
  <cp:lastPrinted>2021-03-09T02:45:00Z</cp:lastPrinted>
  <dcterms:created xsi:type="dcterms:W3CDTF">2021-06-12T09:16:00Z</dcterms:created>
  <dcterms:modified xsi:type="dcterms:W3CDTF">2021-06-12T09:16:00Z</dcterms:modified>
</cp:coreProperties>
</file>