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4D3B3B" w:rsidRDefault="002D6789" w:rsidP="002D6789">
      <w:pPr>
        <w:pStyle w:val="AODocTxt"/>
        <w:numPr>
          <w:ilvl w:val="0"/>
          <w:numId w:val="22"/>
        </w:numPr>
        <w:spacing w:before="0" w:line="240" w:lineRule="auto"/>
        <w:ind w:left="426"/>
        <w:rPr>
          <w:rFonts w:ascii="Arial" w:hAnsi="Arial" w:cs="Arial"/>
        </w:rPr>
      </w:pPr>
      <w:r w:rsidRPr="004D3B3B">
        <w:rPr>
          <w:rFonts w:ascii="Arial" w:hAnsi="Arial" w:cs="Arial"/>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2D78C5">
      <w:pPr>
        <w:pStyle w:val="AODocTxt"/>
        <w:numPr>
          <w:ilvl w:val="0"/>
          <w:numId w:val="24"/>
        </w:numPr>
        <w:spacing w:before="0" w:line="240" w:lineRule="auto"/>
        <w:ind w:left="426"/>
        <w:rPr>
          <w:rFonts w:ascii="Arial" w:hAnsi="Arial" w:cs="Arial"/>
        </w:rPr>
      </w:pPr>
      <w:r w:rsidRPr="004D3B3B">
        <w:rPr>
          <w:rFonts w:ascii="Arial" w:hAnsi="Arial" w:cs="Arial"/>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4D3B3B" w:rsidRDefault="006245E3" w:rsidP="006245E3">
      <w:pPr>
        <w:pStyle w:val="AODocTxt"/>
        <w:numPr>
          <w:ilvl w:val="0"/>
          <w:numId w:val="26"/>
        </w:numPr>
        <w:spacing w:before="0" w:line="240" w:lineRule="auto"/>
        <w:ind w:left="426"/>
        <w:rPr>
          <w:rFonts w:ascii="Arial" w:hAnsi="Arial" w:cs="Arial"/>
        </w:rPr>
      </w:pPr>
      <w:r w:rsidRPr="004D3B3B">
        <w:rPr>
          <w:rFonts w:ascii="Arial" w:hAnsi="Arial" w:cs="Arial"/>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4D3B3B">
        <w:rPr>
          <w:rFonts w:ascii="Arial" w:hAnsi="Arial" w:cs="Arial"/>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4D3B3B" w:rsidRDefault="00DF158F" w:rsidP="00DF158F">
      <w:pPr>
        <w:pStyle w:val="AODocTxt"/>
        <w:numPr>
          <w:ilvl w:val="0"/>
          <w:numId w:val="30"/>
        </w:numPr>
        <w:spacing w:before="0" w:line="240" w:lineRule="auto"/>
        <w:ind w:left="426"/>
        <w:rPr>
          <w:rFonts w:ascii="Arial" w:hAnsi="Arial" w:cs="Arial"/>
        </w:rPr>
      </w:pPr>
      <w:r w:rsidRPr="004D3B3B">
        <w:rPr>
          <w:rFonts w:ascii="Arial" w:hAnsi="Arial" w:cs="Arial"/>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64E2652" w:rsidR="009B07AD"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0BAE8391" w:rsidR="009B07AD"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42E9A666" w:rsidR="00C72848"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240977F4" w:rsidR="009954B2" w:rsidRDefault="009954B2"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27D8A4BF" w14:textId="65371E1B" w:rsidR="00787BCC" w:rsidRDefault="00787BCC" w:rsidP="00787BCC">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lastRenderedPageBreak/>
        <w:t>[Type your answer here]</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4E83D7AF" w14:textId="304F7C8C"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77777777" w:rsidR="005E6076" w:rsidRPr="002A37BB" w:rsidRDefault="005E6076" w:rsidP="005E6076">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2E29B1ED" w:rsidR="002F75A3" w:rsidRPr="002A37BB" w:rsidRDefault="002F75A3"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77777777" w:rsidR="0012224B" w:rsidRPr="002A37BB" w:rsidRDefault="0012224B" w:rsidP="0012224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280DD6AD" w:rsidR="00E653A0" w:rsidRDefault="00E653A0" w:rsidP="00BD4A58">
      <w:pPr>
        <w:pStyle w:val="AODocTxt"/>
        <w:spacing w:before="0"/>
        <w:rPr>
          <w:rFonts w:ascii="Arial" w:hAnsi="Arial" w:cs="Arial"/>
          <w:color w:val="808080" w:themeColor="background1" w:themeShade="80"/>
        </w:rPr>
      </w:pP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lastRenderedPageBreak/>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073F1975" w:rsidR="002D3473" w:rsidRPr="002A37BB" w:rsidRDefault="002D3473" w:rsidP="002A37BB">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327F" w14:textId="77777777" w:rsidR="00A748A8" w:rsidRDefault="00A748A8" w:rsidP="00241B44">
      <w:r>
        <w:separator/>
      </w:r>
    </w:p>
  </w:endnote>
  <w:endnote w:type="continuationSeparator" w:id="0">
    <w:p w14:paraId="35DC84B4" w14:textId="77777777" w:rsidR="00A748A8" w:rsidRDefault="00A748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FC63BB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170B" w14:textId="77777777" w:rsidR="00A748A8" w:rsidRDefault="00A748A8" w:rsidP="00241B44">
      <w:r>
        <w:separator/>
      </w:r>
    </w:p>
  </w:footnote>
  <w:footnote w:type="continuationSeparator" w:id="0">
    <w:p w14:paraId="2FA127FB" w14:textId="77777777" w:rsidR="00A748A8" w:rsidRDefault="00A748A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2483F"/>
    <w:rsid w:val="008279C0"/>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5</cp:revision>
  <cp:lastPrinted>2019-08-27T05:42:00Z</cp:lastPrinted>
  <dcterms:created xsi:type="dcterms:W3CDTF">2020-08-30T16:04:00Z</dcterms:created>
  <dcterms:modified xsi:type="dcterms:W3CDTF">2020-08-31T12:32:00Z</dcterms:modified>
</cp:coreProperties>
</file>