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1D3BD3B" w:rsidR="004B23A2" w:rsidRDefault="006B1CA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30F2380" wp14:editId="66D1BFA4">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1009499" w:rsidR="0011473D" w:rsidRDefault="009D081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3C4471">
        <w:rPr>
          <w:rFonts w:ascii="Arial" w:hAnsi="Arial" w:cs="Arial"/>
          <w:b/>
          <w:color w:val="000000" w:themeColor="text1"/>
          <w:sz w:val="28"/>
          <w:szCs w:val="28"/>
          <w:lang w:val="en-GB"/>
        </w:rPr>
        <w:t>FORMATIVE</w:t>
      </w:r>
      <w:r w:rsidR="007F45F1">
        <w:rPr>
          <w:rFonts w:ascii="Arial" w:hAnsi="Arial" w:cs="Arial"/>
          <w:b/>
          <w:color w:val="000000" w:themeColor="text1"/>
          <w:sz w:val="28"/>
          <w:szCs w:val="28"/>
          <w:lang w:val="en-GB"/>
        </w:rPr>
        <w:t xml:space="preserve"> </w:t>
      </w:r>
      <w:r w:rsidRPr="003C4471">
        <w:rPr>
          <w:rFonts w:ascii="Arial" w:hAnsi="Arial" w:cs="Arial"/>
          <w:b/>
          <w:color w:val="000000" w:themeColor="text1"/>
          <w:sz w:val="28"/>
          <w:szCs w:val="28"/>
          <w:lang w:val="en-GB"/>
        </w:rPr>
        <w:t>ASSESSMENT: MODULE 1</w:t>
      </w:r>
    </w:p>
    <w:p w14:paraId="3ABA26DC" w14:textId="1271A563" w:rsidR="00B72AE1" w:rsidRDefault="00B72AE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CE27AD1" w14:textId="06996DA4" w:rsidR="00B72AE1" w:rsidRPr="00B72AE1" w:rsidRDefault="00B72AE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B72AE1">
        <w:rPr>
          <w:rFonts w:ascii="Arial" w:hAnsi="Arial" w:cs="Arial"/>
          <w:b/>
          <w:color w:val="000000" w:themeColor="text1"/>
          <w:sz w:val="24"/>
          <w:lang w:val="en-GB"/>
        </w:rPr>
        <w:t>INTRODUCTION TO INTERNATIONAL INSOLVENCY LAW</w:t>
      </w:r>
    </w:p>
    <w:p w14:paraId="5E119630" w14:textId="77777777" w:rsidR="00434A8C" w:rsidRPr="007C6201" w:rsidRDefault="00434A8C"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270B3F7C"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2020.</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987A988" w14:textId="77777777" w:rsidR="00AD6A7D" w:rsidRDefault="00AD6A7D" w:rsidP="007C6201">
      <w:pPr>
        <w:jc w:val="both"/>
        <w:rPr>
          <w:rFonts w:ascii="Arial" w:hAnsi="Arial" w:cs="Arial"/>
          <w:b/>
          <w:sz w:val="22"/>
          <w:szCs w:val="22"/>
          <w:lang w:val="en-GB"/>
        </w:rPr>
        <w:sectPr w:rsidR="00AD6A7D" w:rsidSect="00AD6A7D">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4DFA50FF" w14:textId="7FA86069" w:rsidR="00397D3A" w:rsidRDefault="00397D3A" w:rsidP="007C6201">
      <w:pPr>
        <w:jc w:val="both"/>
        <w:rPr>
          <w:rFonts w:ascii="Arial" w:hAnsi="Arial" w:cs="Arial"/>
          <w:b/>
          <w:sz w:val="22"/>
          <w:szCs w:val="22"/>
          <w:lang w:val="en-GB"/>
        </w:rPr>
      </w:pPr>
    </w:p>
    <w:p w14:paraId="494E26DA" w14:textId="5635567B" w:rsidR="00397D3A" w:rsidRDefault="00397D3A" w:rsidP="007C6201">
      <w:pPr>
        <w:jc w:val="both"/>
        <w:rPr>
          <w:rFonts w:ascii="Arial" w:hAnsi="Arial" w:cs="Arial"/>
          <w:b/>
          <w:sz w:val="22"/>
          <w:szCs w:val="22"/>
          <w:lang w:val="en-GB"/>
        </w:rPr>
      </w:pPr>
    </w:p>
    <w:p w14:paraId="01F7DC12" w14:textId="77777777" w:rsidR="00FF296F" w:rsidRDefault="00FF296F"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3A7B66D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number.assessment1formative.docx]</w:t>
      </w:r>
      <w:r w:rsidRPr="00BF1C6F">
        <w:rPr>
          <w:rFonts w:ascii="Arial" w:hAnsi="Arial" w:cs="Arial"/>
          <w:sz w:val="22"/>
          <w:szCs w:val="22"/>
          <w:lang w:val="en-GB" w:eastAsia="en-GB"/>
        </w:rPr>
        <w:t>. An example would be something along the following lines: 202021IFU-314.assessment1formative.docx</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 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47E6559B"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2020</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2020</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9463222"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Pr="00BF1C6F">
        <w:rPr>
          <w:rFonts w:ascii="Arial" w:hAnsi="Arial" w:cs="Arial"/>
          <w:b/>
          <w:bCs/>
          <w:sz w:val="22"/>
          <w:szCs w:val="22"/>
          <w:lang w:val="en-GB"/>
        </w:rPr>
        <w:t>8 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0D9EC1E"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F06D026"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705E90E" w:rsidR="00C72848" w:rsidRPr="00BF1C6F" w:rsidRDefault="00C72848"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544D5306"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[Type your answer here]</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576F987"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A9F3C4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 number.assessment1formative.docx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9</cp:revision>
  <cp:lastPrinted>2019-09-04T15:45:00Z</cp:lastPrinted>
  <dcterms:created xsi:type="dcterms:W3CDTF">2020-08-30T09:33:00Z</dcterms:created>
  <dcterms:modified xsi:type="dcterms:W3CDTF">2020-08-30T09:44:00Z</dcterms:modified>
</cp:coreProperties>
</file>