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apply to the court for the decision to be reversed or varied</w:t>
      </w:r>
      <w:r w:rsidR="005A2E18" w:rsidRPr="00B2234F">
        <w:rPr>
          <w:rFonts w:ascii="Avenir Next" w:hAnsi="Avenir Next"/>
          <w:sz w:val="22"/>
          <w:szCs w:val="22"/>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w:t>
      </w:r>
      <w:r w:rsidR="00422295" w:rsidRPr="00B2234F">
        <w:rPr>
          <w:rFonts w:ascii="Avenir Next" w:hAnsi="Avenir Next" w:cs="Arial"/>
          <w:sz w:val="22"/>
          <w:szCs w:val="22"/>
          <w:lang w:val="en-GB"/>
        </w:rPr>
        <w:t xml:space="preserve">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S</w:t>
      </w:r>
      <w:r w:rsidR="00422295" w:rsidRPr="00B2234F">
        <w:rPr>
          <w:rFonts w:ascii="Avenir Next" w:hAnsi="Avenir Next" w:cs="Arial"/>
          <w:sz w:val="22"/>
          <w:szCs w:val="22"/>
          <w:lang w:val="en-GB"/>
        </w:rPr>
        <w:t>mall company restructuring</w:t>
      </w:r>
      <w:r w:rsidR="005A2E18" w:rsidRPr="00B2234F">
        <w:rPr>
          <w:rFonts w:ascii="Avenir Next" w:hAnsi="Avenir Next" w:cs="Arial"/>
          <w:sz w:val="22"/>
          <w:szCs w:val="22"/>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w:t>
      </w:r>
      <w:r w:rsidR="00AD12C7" w:rsidRPr="00B2234F">
        <w:rPr>
          <w:rFonts w:ascii="Avenir Next" w:hAnsi="Avenir Next" w:cs="Arial"/>
          <w:sz w:val="22"/>
          <w:szCs w:val="22"/>
          <w:lang w:val="en-GB"/>
        </w:rPr>
        <w:t xml:space="preserve">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w:t>
      </w:r>
      <w:r w:rsidR="00AD12C7" w:rsidRPr="00B2234F">
        <w:rPr>
          <w:rFonts w:ascii="Avenir Next" w:hAnsi="Avenir Next" w:cs="Arial"/>
          <w:sz w:val="22"/>
          <w:szCs w:val="22"/>
          <w:lang w:val="en-GB"/>
        </w:rPr>
        <w:t xml:space="preserve">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lastRenderedPageBreak/>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scheme of arrangement</w:t>
      </w:r>
      <w:r w:rsidR="00265D2D" w:rsidRPr="00B2234F">
        <w:rPr>
          <w:rFonts w:ascii="Avenir Next" w:hAnsi="Avenir Next" w:cs="Arial"/>
          <w:sz w:val="22"/>
          <w:szCs w:val="22"/>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00</w:t>
      </w:r>
      <w:r w:rsidRPr="00B2234F">
        <w:rPr>
          <w:rFonts w:ascii="Avenir Next" w:hAnsi="Avenir Next" w:cs="Arial"/>
          <w:sz w:val="22"/>
          <w:szCs w:val="22"/>
          <w:lang w:val="en-GB"/>
        </w:rPr>
        <w:t xml:space="preserve">,000 to its trade creditors and it has a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AE20EB" w:rsidRPr="00B2234F">
        <w:rPr>
          <w:rFonts w:ascii="Avenir Next" w:hAnsi="Avenir Next" w:cs="Arial"/>
          <w:sz w:val="22"/>
          <w:szCs w:val="22"/>
          <w:lang w:val="en-GB"/>
        </w:rPr>
        <w:t xml:space="preserve"> debt agreement under Part IX</w:t>
      </w:r>
      <w:r w:rsidR="00E131DE" w:rsidRPr="00B2234F">
        <w:rPr>
          <w:rFonts w:ascii="Avenir Next" w:hAnsi="Avenir Next" w:cs="Arial"/>
          <w:sz w:val="22"/>
          <w:szCs w:val="22"/>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w:t>
      </w:r>
      <w:r w:rsidR="00E131DE" w:rsidRPr="00B2234F">
        <w:rPr>
          <w:rFonts w:ascii="Avenir Next" w:hAnsi="Avenir Next" w:cs="Arial"/>
          <w:sz w:val="22"/>
          <w:szCs w:val="22"/>
          <w:lang w:val="en-GB"/>
        </w:rPr>
        <w:t xml:space="preserve">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w:t>
      </w:r>
      <w:r w:rsidR="00FB4C6B" w:rsidRPr="00B2234F">
        <w:rPr>
          <w:rFonts w:ascii="Avenir Next" w:hAnsi="Avenir Next" w:cs="Arial"/>
          <w:sz w:val="22"/>
          <w:szCs w:val="22"/>
          <w:lang w:val="en-GB"/>
        </w:rPr>
        <w:t xml:space="preserve">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w:t>
      </w:r>
      <w:r w:rsidR="00FB4C6B" w:rsidRPr="00B2234F">
        <w:rPr>
          <w:rFonts w:ascii="Avenir Next" w:hAnsi="Avenir Next" w:cs="Arial"/>
          <w:sz w:val="22"/>
          <w:szCs w:val="22"/>
          <w:lang w:val="en-GB"/>
        </w:rPr>
        <w:t xml:space="preserv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w:t>
      </w:r>
      <w:r w:rsidR="00AD12C7" w:rsidRPr="00B2234F">
        <w:rPr>
          <w:rFonts w:ascii="Avenir Next" w:hAnsi="Avenir Next" w:cs="Arial"/>
          <w:sz w:val="22"/>
          <w:szCs w:val="22"/>
          <w:lang w:val="en-GB"/>
        </w:rPr>
        <w:t xml:space="preserve"> in action relating to the debtors’ assets</w:t>
      </w:r>
      <w:r w:rsidR="007B3A5E" w:rsidRPr="00B2234F">
        <w:rPr>
          <w:rFonts w:ascii="Avenir Next" w:hAnsi="Avenir Next" w:cs="Arial"/>
          <w:sz w:val="22"/>
          <w:szCs w:val="22"/>
          <w:lang w:val="en-GB"/>
        </w:rPr>
        <w:t>.</w:t>
      </w:r>
    </w:p>
    <w:p w14:paraId="68C2D7AD" w14:textId="46CE4CD7" w:rsidR="00265D2D" w:rsidRDefault="00265D2D" w:rsidP="00265D2D">
      <w:pPr>
        <w:ind w:left="426"/>
        <w:rPr>
          <w:rFonts w:ascii="Avenir Next" w:hAnsi="Avenir Next" w:cs="Arial"/>
          <w:sz w:val="22"/>
          <w:szCs w:val="22"/>
          <w:lang w:val="en-GB"/>
        </w:rPr>
      </w:pPr>
    </w:p>
    <w:p w14:paraId="7366A074" w14:textId="432685DD" w:rsidR="008465BE" w:rsidRDefault="008465BE" w:rsidP="00265D2D">
      <w:pPr>
        <w:ind w:left="426"/>
        <w:rPr>
          <w:rFonts w:ascii="Avenir Next" w:hAnsi="Avenir Next" w:cs="Arial"/>
          <w:sz w:val="22"/>
          <w:szCs w:val="22"/>
          <w:lang w:val="en-GB"/>
        </w:rPr>
      </w:pP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lastRenderedPageBreak/>
        <w:t>T</w:t>
      </w:r>
      <w:r w:rsidR="00FB4C6B" w:rsidRPr="00B2234F">
        <w:rPr>
          <w:rFonts w:ascii="Avenir Next" w:hAnsi="Avenir Next" w:cs="Arial"/>
          <w:sz w:val="22"/>
          <w:szCs w:val="22"/>
          <w:lang w:val="en-GB"/>
        </w:rPr>
        <w:t>he</w:t>
      </w:r>
      <w:r w:rsidR="00FB4C6B" w:rsidRPr="00B2234F">
        <w:rPr>
          <w:rFonts w:ascii="Avenir Next" w:hAnsi="Avenir Next" w:cs="Arial"/>
          <w:sz w:val="22"/>
          <w:szCs w:val="22"/>
          <w:lang w:val="en-GB"/>
        </w:rPr>
        <w:t xml:space="preserv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B2234F" w:rsidRDefault="008465BE" w:rsidP="00265D2D">
      <w:pPr>
        <w:pStyle w:val="ListParagraph"/>
        <w:numPr>
          <w:ilvl w:val="0"/>
          <w:numId w:val="15"/>
        </w:numPr>
        <w:autoSpaceDE w:val="0"/>
        <w:autoSpaceDN w:val="0"/>
        <w:adjustRightInd w:val="0"/>
        <w:ind w:left="426"/>
        <w:jc w:val="both"/>
        <w:rPr>
          <w:rFonts w:ascii="Avenir Next" w:hAnsi="Avenir Next" w:cs="Arial"/>
          <w:sz w:val="22"/>
          <w:szCs w:val="22"/>
        </w:rPr>
      </w:pPr>
      <w:r>
        <w:rPr>
          <w:rFonts w:ascii="Avenir Next" w:hAnsi="Avenir Next" w:cs="Arial"/>
          <w:sz w:val="22"/>
          <w:szCs w:val="22"/>
          <w:lang w:val="en-GB"/>
        </w:rPr>
        <w:t>S</w:t>
      </w:r>
      <w:r w:rsidR="00AD12C7" w:rsidRPr="00B2234F">
        <w:rPr>
          <w:rFonts w:ascii="Avenir Next" w:hAnsi="Avenir Next" w:cs="Arial"/>
          <w:sz w:val="22"/>
          <w:szCs w:val="22"/>
          <w:lang w:val="en-GB"/>
        </w:rPr>
        <w:t>uperannuation</w:t>
      </w:r>
      <w:r w:rsidR="00AD12C7" w:rsidRPr="00B2234F">
        <w:rPr>
          <w:rFonts w:ascii="Avenir Next" w:hAnsi="Avenir Next" w:cs="Arial"/>
          <w:sz w:val="22"/>
          <w:szCs w:val="22"/>
          <w:lang w:val="en-GB"/>
        </w:rPr>
        <w:t xml:space="preserve"> funds</w:t>
      </w:r>
      <w:r w:rsidR="007B3A5E" w:rsidRPr="00B2234F">
        <w:rPr>
          <w:rFonts w:ascii="Avenir Next" w:hAnsi="Avenir Next" w:cs="Arial"/>
          <w:sz w:val="22"/>
          <w:szCs w:val="22"/>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w:t>
      </w:r>
      <w:r w:rsidR="00AE20EB" w:rsidRPr="00B2234F">
        <w:rPr>
          <w:rFonts w:ascii="Avenir Next" w:hAnsi="Avenir Next" w:cs="Arial"/>
          <w:sz w:val="22"/>
          <w:szCs w:val="22"/>
          <w:lang w:val="en-GB"/>
        </w:rPr>
        <w:t xml:space="preserve">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w:t>
      </w:r>
      <w:r w:rsidR="00AE20EB" w:rsidRPr="008465BE">
        <w:rPr>
          <w:rFonts w:ascii="Avenir Next Demi Bold" w:hAnsi="Avenir Next Demi Bold" w:cs="Arial"/>
          <w:b/>
          <w:bCs/>
          <w:sz w:val="22"/>
          <w:szCs w:val="22"/>
          <w:u w:val="single"/>
          <w:lang w:val="en-GB"/>
        </w:rPr>
        <w:t>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P</w:t>
      </w:r>
      <w:r w:rsidR="00BF0AFE" w:rsidRPr="00B2234F">
        <w:rPr>
          <w:rFonts w:ascii="Avenir Next" w:hAnsi="Avenir Next" w:cs="Arial"/>
          <w:sz w:val="22"/>
          <w:szCs w:val="22"/>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2C3F121F" w14:textId="6BE36C22" w:rsidR="00265D2D" w:rsidRDefault="00265D2D" w:rsidP="00265D2D">
      <w:pPr>
        <w:ind w:left="66"/>
        <w:jc w:val="both"/>
        <w:rPr>
          <w:rFonts w:ascii="Avenir Next" w:hAnsi="Avenir Next" w:cs="Arial"/>
          <w:sz w:val="22"/>
          <w:szCs w:val="22"/>
          <w:lang w:val="en-GB"/>
        </w:rPr>
      </w:pPr>
    </w:p>
    <w:p w14:paraId="0EB83B28" w14:textId="4CC22919" w:rsidR="008465BE" w:rsidRDefault="008465BE" w:rsidP="00265D2D">
      <w:pPr>
        <w:ind w:left="66"/>
        <w:jc w:val="both"/>
        <w:rPr>
          <w:rFonts w:ascii="Avenir Next" w:hAnsi="Avenir Next" w:cs="Arial"/>
          <w:sz w:val="22"/>
          <w:szCs w:val="22"/>
          <w:lang w:val="en-GB"/>
        </w:rPr>
      </w:pP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lastRenderedPageBreak/>
        <w:t>is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r w:rsidR="002476AF" w:rsidRPr="00B2234F">
        <w:rPr>
          <w:rFonts w:ascii="Avenir Next" w:hAnsi="Avenir Next" w:cs="Arial"/>
          <w:sz w:val="22"/>
          <w:szCs w:val="22"/>
          <w:lang w:val="en-GB"/>
        </w:rPr>
        <w:t xml:space="preserv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r w:rsidR="002476AF" w:rsidRPr="00B2234F">
        <w:rPr>
          <w:rFonts w:ascii="Avenir Next" w:hAnsi="Avenir Next" w:cs="Arial"/>
          <w:sz w:val="22"/>
          <w:szCs w:val="22"/>
          <w:lang w:val="en-GB"/>
        </w:rPr>
        <w:t xml:space="preserv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r w:rsidR="002476AF" w:rsidRPr="00B2234F">
        <w:rPr>
          <w:rFonts w:ascii="Avenir Next" w:hAnsi="Avenir Next" w:cs="Arial"/>
          <w:sz w:val="22"/>
          <w:szCs w:val="22"/>
          <w:lang w:val="en-GB"/>
        </w:rPr>
        <w:t xml:space="preserv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r w:rsidR="002476AF" w:rsidRPr="00B2234F">
        <w:rPr>
          <w:rFonts w:ascii="Avenir Next" w:hAnsi="Avenir Next" w:cs="Arial"/>
          <w:sz w:val="22"/>
          <w:szCs w:val="22"/>
          <w:lang w:val="en-GB"/>
        </w:rPr>
        <w:t xml:space="preserv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w:t>
      </w:r>
      <w:r w:rsidR="002476AF" w:rsidRPr="00B2234F">
        <w:rPr>
          <w:rFonts w:ascii="Avenir Next" w:hAnsi="Avenir Next" w:cs="Arial"/>
          <w:sz w:val="22"/>
          <w:szCs w:val="22"/>
          <w:lang w:val="en-GB"/>
        </w:rPr>
        <w:t xml:space="preserve"> part dealing with receivers, and other controllers, of property of </w:t>
      </w:r>
      <w:r w:rsidR="00416D2B" w:rsidRPr="00B2234F">
        <w:rPr>
          <w:rFonts w:ascii="Avenir Next" w:hAnsi="Avenir Next" w:cs="Arial"/>
          <w:sz w:val="22"/>
          <w:szCs w:val="22"/>
          <w:lang w:val="en-GB"/>
        </w:rPr>
        <w:t xml:space="preserve">the </w:t>
      </w:r>
      <w:r w:rsidR="002476AF" w:rsidRPr="00B2234F">
        <w:rPr>
          <w:rFonts w:ascii="Avenir Next" w:hAnsi="Avenir Next" w:cs="Arial"/>
          <w:sz w:val="22"/>
          <w:szCs w:val="22"/>
          <w:lang w:val="en-GB"/>
        </w:rPr>
        <w:t>corporation</w:t>
      </w:r>
      <w:r w:rsidR="00416D2B" w:rsidRPr="00B2234F">
        <w:rPr>
          <w:rFonts w:ascii="Avenir Next" w:hAnsi="Avenir Next" w:cs="Arial"/>
          <w:sz w:val="22"/>
          <w:szCs w:val="22"/>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S</w:t>
      </w:r>
      <w:r w:rsidR="002476AF" w:rsidRPr="00B2234F">
        <w:rPr>
          <w:rFonts w:ascii="Avenir Next" w:hAnsi="Avenir Next" w:cs="Arial"/>
          <w:sz w:val="22"/>
          <w:szCs w:val="22"/>
          <w:lang w:val="en-GB"/>
        </w:rPr>
        <w:t xml:space="preserve">implified </w:t>
      </w:r>
      <w:r w:rsidR="008235B7" w:rsidRPr="00B2234F">
        <w:rPr>
          <w:rFonts w:ascii="Avenir Next" w:hAnsi="Avenir Next" w:cs="Arial"/>
          <w:sz w:val="22"/>
          <w:szCs w:val="22"/>
          <w:lang w:val="en-GB"/>
        </w:rPr>
        <w:t>restructuring and liquidation regimes for small companies</w:t>
      </w:r>
      <w:r w:rsidR="002476AF" w:rsidRPr="00B2234F">
        <w:rPr>
          <w:rFonts w:ascii="Avenir Next" w:hAnsi="Avenir Next" w:cs="Arial"/>
          <w:sz w:val="22"/>
          <w:szCs w:val="22"/>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five</w:t>
      </w:r>
      <w:r w:rsidR="00796B95"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 xml:space="preserve">reversed by a </w:t>
      </w:r>
      <w:r w:rsidR="00796B95" w:rsidRPr="00B2234F">
        <w:rPr>
          <w:rFonts w:ascii="Avenir Next" w:hAnsi="Avenir Next" w:cs="Arial"/>
          <w:sz w:val="22"/>
          <w:szCs w:val="22"/>
          <w:lang w:val="en-GB"/>
        </w:rPr>
        <w:t>liquidator on application to the court,</w:t>
      </w:r>
      <w:r w:rsidR="00823B29" w:rsidRPr="00B2234F">
        <w:rPr>
          <w:rFonts w:ascii="Avenir Next" w:hAnsi="Avenir Next" w:cs="Arial"/>
          <w:sz w:val="22"/>
          <w:szCs w:val="22"/>
          <w:lang w:val="en-GB"/>
        </w:rPr>
        <w:t xml:space="preserve"> and </w:t>
      </w:r>
      <w:r w:rsidR="0035372F" w:rsidRPr="00B2234F">
        <w:rPr>
          <w:rFonts w:ascii="Avenir Next" w:hAnsi="Avenir Next" w:cs="Arial"/>
          <w:sz w:val="22"/>
          <w:szCs w:val="22"/>
          <w:lang w:val="en-GB"/>
        </w:rPr>
        <w:t>explain whether it is</w:t>
      </w:r>
      <w:r w:rsidR="0035372F" w:rsidRPr="00B2234F">
        <w:rPr>
          <w:rFonts w:ascii="Avenir Next" w:hAnsi="Avenir Next" w:cs="Arial"/>
          <w:sz w:val="22"/>
          <w:szCs w:val="22"/>
          <w:lang w:val="en-GB"/>
        </w:rPr>
        <w:t xml:space="preserve"> a </w:t>
      </w:r>
      <w:r w:rsidR="0035372F" w:rsidRPr="00B2234F">
        <w:rPr>
          <w:rFonts w:ascii="Avenir Next" w:hAnsi="Avenir Next" w:cs="Arial"/>
          <w:sz w:val="22"/>
          <w:szCs w:val="22"/>
          <w:lang w:val="en-GB"/>
        </w:rPr>
        <w:t>complete defence to each of these types of voidable transactions if the defendant proves that they</w:t>
      </w:r>
      <w:r w:rsidR="0035372F" w:rsidRPr="00B2234F">
        <w:rPr>
          <w:rFonts w:ascii="Avenir Next" w:hAnsi="Avenir Next" w:cs="Arial"/>
          <w:sz w:val="22"/>
          <w:szCs w:val="22"/>
          <w:lang w:val="en-GB"/>
        </w:rPr>
        <w:t xml:space="preserve">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 xml:space="preserve">not </w:t>
      </w:r>
      <w:r w:rsidR="0035372F" w:rsidRPr="00B2234F">
        <w:rPr>
          <w:rFonts w:ascii="Avenir Next" w:hAnsi="Avenir Next" w:cs="Arial"/>
          <w:sz w:val="22"/>
          <w:szCs w:val="22"/>
          <w:lang w:val="en-GB"/>
        </w:rPr>
        <w:t>aware that the company was insolvent at the time they entered into the transactions</w:t>
      </w:r>
      <w:r w:rsidR="0035372F" w:rsidRPr="00B2234F">
        <w:rPr>
          <w:rFonts w:ascii="Avenir Next" w:hAnsi="Avenir Next" w:cs="Arial"/>
          <w:sz w:val="22"/>
          <w:szCs w:val="22"/>
          <w:lang w:val="en-GB"/>
        </w:rPr>
        <w:t>.</w:t>
      </w:r>
    </w:p>
    <w:p w14:paraId="66FCBB75" w14:textId="4443E04A" w:rsidR="00526091" w:rsidRPr="00B04780" w:rsidRDefault="00B04780" w:rsidP="002476AF">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lastRenderedPageBreak/>
        <w:t>[Type your answer here]</w:t>
      </w:r>
    </w:p>
    <w:p w14:paraId="7B005E35" w14:textId="77777777" w:rsidR="00B04780" w:rsidRPr="00B2234F" w:rsidRDefault="00B04780" w:rsidP="002476AF">
      <w:pPr>
        <w:jc w:val="both"/>
        <w:rPr>
          <w:rFonts w:ascii="Avenir Next" w:hAnsi="Avenir Next" w:cs="Arial"/>
          <w:sz w:val="22"/>
          <w:szCs w:val="22"/>
          <w:lang w:val="en-GB"/>
        </w:rPr>
      </w:pPr>
    </w:p>
    <w:p w14:paraId="216E7750" w14:textId="4C1FDA49" w:rsidR="00007BF3" w:rsidRPr="00B2234F" w:rsidRDefault="00007BF3" w:rsidP="002A37BB">
      <w:pPr>
        <w:ind w:left="720" w:hanging="720"/>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656234E1" w14:textId="77777777" w:rsidR="00B04780" w:rsidRPr="00B04780" w:rsidRDefault="00B04780" w:rsidP="00B04780">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48DD1B04" w14:textId="77777777" w:rsidR="00B04780" w:rsidRPr="00B2234F" w:rsidRDefault="00B04780" w:rsidP="002476AF">
      <w:pPr>
        <w:jc w:val="both"/>
        <w:rPr>
          <w:rFonts w:ascii="Avenir Next" w:hAnsi="Avenir Next" w:cs="Arial"/>
          <w:sz w:val="22"/>
          <w:szCs w:val="22"/>
          <w:lang w:val="en-GB"/>
        </w:rPr>
      </w:pP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w:t>
      </w:r>
      <w:r w:rsidRPr="00B2234F">
        <w:rPr>
          <w:rFonts w:ascii="Avenir Next" w:hAnsi="Avenir Next" w:cs="Arial"/>
          <w:sz w:val="22"/>
          <w:szCs w:val="22"/>
          <w:lang w:val="en-GB"/>
        </w:rPr>
        <w:t xml:space="preserve">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w:t>
      </w:r>
      <w:r w:rsidRPr="00B2234F">
        <w:rPr>
          <w:rFonts w:ascii="Avenir Next" w:hAnsi="Avenir Next" w:cs="Arial"/>
          <w:sz w:val="22"/>
          <w:szCs w:val="22"/>
          <w:lang w:val="en-GB"/>
        </w:rPr>
        <w:t>small company</w:t>
      </w:r>
      <w:r w:rsidRPr="00B2234F">
        <w:rPr>
          <w:rFonts w:ascii="Avenir Next" w:hAnsi="Avenir Next" w:cs="Arial"/>
          <w:sz w:val="22"/>
          <w:szCs w:val="22"/>
          <w:lang w:val="en-GB"/>
        </w:rPr>
        <w:t xml:space="preserve">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3B543430"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6AB84C4E" w14:textId="77777777" w:rsidR="008420F8" w:rsidRPr="00B2234F" w:rsidRDefault="008420F8" w:rsidP="002476AF">
      <w:pPr>
        <w:jc w:val="both"/>
        <w:rPr>
          <w:rFonts w:ascii="Avenir Next" w:hAnsi="Avenir Next" w:cs="Arial"/>
          <w:sz w:val="22"/>
          <w:szCs w:val="22"/>
          <w:lang w:val="en-GB"/>
        </w:rPr>
      </w:pP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r w:rsidR="0089536F" w:rsidRPr="00B2234F">
        <w:rPr>
          <w:rFonts w:ascii="Avenir Next" w:hAnsi="Avenir Next" w:cs="Arial"/>
          <w:sz w:val="22"/>
          <w:szCs w:val="22"/>
          <w:lang w:val="en-GB"/>
        </w:rPr>
        <w:t xml:space="preserve">creditor-friendly.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a debtor-friendly jurisdiction.“</w:t>
      </w:r>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5898180A"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5700E683" w14:textId="77777777" w:rsidR="008420F8" w:rsidRPr="00B2234F" w:rsidRDefault="008420F8" w:rsidP="002476AF">
      <w:pPr>
        <w:jc w:val="both"/>
        <w:rPr>
          <w:rFonts w:ascii="Avenir Next" w:hAnsi="Avenir Next" w:cs="Arial"/>
          <w:sz w:val="22"/>
          <w:szCs w:val="22"/>
          <w:lang w:val="en-GB"/>
        </w:rPr>
      </w:pP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t>
      </w:r>
      <w:r w:rsidR="00F477C9" w:rsidRPr="00B2234F">
        <w:rPr>
          <w:rFonts w:ascii="Avenir Next" w:hAnsi="Avenir Next" w:cs="Arial"/>
          <w:sz w:val="22"/>
          <w:szCs w:val="22"/>
          <w:lang w:val="en-GB"/>
        </w:rPr>
        <w:t>with orders received in</w:t>
      </w:r>
      <w:r w:rsidR="00F477C9" w:rsidRPr="00B2234F">
        <w:rPr>
          <w:rFonts w:ascii="Avenir Next" w:hAnsi="Avenir Next" w:cs="Arial"/>
          <w:sz w:val="22"/>
          <w:szCs w:val="22"/>
          <w:lang w:val="en-GB"/>
        </w:rPr>
        <w:t xml:space="preserve"> Lyonesse and </w:t>
      </w:r>
      <w:r w:rsidR="00F477C9" w:rsidRPr="00B2234F">
        <w:rPr>
          <w:rFonts w:ascii="Avenir Next" w:hAnsi="Avenir Next" w:cs="Arial"/>
          <w:sz w:val="22"/>
          <w:szCs w:val="22"/>
          <w:lang w:val="en-GB"/>
        </w:rPr>
        <w:t xml:space="preserve">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20 in Sydney and 20 in Lyonesse. Aussiebee’s CEO is an Australian, but resident in Lyonesse. Aussiebee’s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lastRenderedPageBreak/>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 liquidator has been appointed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and for orders entrusting 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05B26E9A"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61835074" w14:textId="77777777" w:rsidR="008420F8" w:rsidRPr="00B2234F" w:rsidRDefault="008420F8" w:rsidP="00E14FED">
      <w:pPr>
        <w:jc w:val="both"/>
        <w:rPr>
          <w:rFonts w:ascii="Avenir Next" w:hAnsi="Avenir Next" w:cs="Arial"/>
          <w:sz w:val="22"/>
          <w:szCs w:val="22"/>
          <w:lang w:val="en-GB"/>
        </w:rPr>
      </w:pPr>
    </w:p>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r w:rsidR="00533704" w:rsidRPr="00B2234F">
        <w:rPr>
          <w:rFonts w:ascii="Avenir Next" w:hAnsi="Avenir Next" w:cs="Arial"/>
          <w:sz w:val="22"/>
          <w:szCs w:val="22"/>
          <w:lang w:val="en-GB"/>
        </w:rPr>
        <w:t xml:space="preserve">All of the shares 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directors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FC7249"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FA0CE9" w:rsidRPr="00B2234F">
        <w:rPr>
          <w:rFonts w:ascii="Avenir Next" w:hAnsi="Avenir Next" w:cs="Arial"/>
          <w:sz w:val="22"/>
          <w:szCs w:val="22"/>
          <w:lang w:val="en-GB"/>
        </w:rPr>
        <w:t>enters into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a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w:t>
      </w:r>
      <w:r w:rsidRPr="00B2234F">
        <w:rPr>
          <w:rFonts w:ascii="Avenir Next" w:hAnsi="Avenir Next" w:cs="Arial"/>
          <w:sz w:val="22"/>
          <w:szCs w:val="22"/>
          <w:lang w:val="en-GB"/>
        </w:rPr>
        <w:lastRenderedPageBreak/>
        <w:t xml:space="preserve">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in </w:t>
      </w:r>
      <w:r w:rsidR="00FC7249" w:rsidRPr="00B2234F">
        <w:rPr>
          <w:rFonts w:ascii="Avenir Next" w:hAnsi="Avenir Next" w:cs="Arial"/>
          <w:sz w:val="22"/>
          <w:szCs w:val="22"/>
          <w:lang w:val="en-GB"/>
        </w:rPr>
        <w:t>light of the facts set out above?</w:t>
      </w:r>
    </w:p>
    <w:p w14:paraId="0B429D70" w14:textId="159E8D2F" w:rsidR="008420F8" w:rsidRDefault="008420F8" w:rsidP="00FC7249">
      <w:pPr>
        <w:jc w:val="both"/>
        <w:rPr>
          <w:rFonts w:ascii="Avenir Next" w:hAnsi="Avenir Next" w:cs="Arial"/>
          <w:sz w:val="22"/>
          <w:szCs w:val="22"/>
          <w:lang w:val="en-GB"/>
        </w:rPr>
      </w:pPr>
    </w:p>
    <w:p w14:paraId="1B5F5F27"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F4A5" w14:textId="77777777" w:rsidR="00ED6316" w:rsidRDefault="00ED6316" w:rsidP="00241B44">
      <w:r>
        <w:separator/>
      </w:r>
    </w:p>
  </w:endnote>
  <w:endnote w:type="continuationSeparator" w:id="0">
    <w:p w14:paraId="30D02CE7" w14:textId="77777777" w:rsidR="00ED6316" w:rsidRDefault="00ED6316" w:rsidP="00241B44">
      <w:r>
        <w:continuationSeparator/>
      </w:r>
    </w:p>
  </w:endnote>
  <w:endnote w:type="continuationNotice" w:id="1">
    <w:p w14:paraId="5E31B475" w14:textId="77777777" w:rsidR="00ED6316" w:rsidRDefault="00ED6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F8C30D0" w:rsidR="00542A3A" w:rsidRPr="009B4976" w:rsidRDefault="00542A3A"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265D2D">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AFE02" w14:textId="77777777" w:rsidR="00ED6316" w:rsidRDefault="00ED6316" w:rsidP="00241B44">
      <w:r>
        <w:separator/>
      </w:r>
    </w:p>
  </w:footnote>
  <w:footnote w:type="continuationSeparator" w:id="0">
    <w:p w14:paraId="54470CA1" w14:textId="77777777" w:rsidR="00ED6316" w:rsidRDefault="00ED6316" w:rsidP="00241B44">
      <w:r>
        <w:continuationSeparator/>
      </w:r>
    </w:p>
  </w:footnote>
  <w:footnote w:type="continuationNotice" w:id="1">
    <w:p w14:paraId="0C593760" w14:textId="77777777" w:rsidR="00ED6316" w:rsidRDefault="00ED6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943E" w14:textId="77777777" w:rsidR="008A7666" w:rsidRDefault="008A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9"/>
  </w:num>
  <w:num w:numId="4">
    <w:abstractNumId w:val="20"/>
  </w:num>
  <w:num w:numId="5">
    <w:abstractNumId w:val="10"/>
  </w:num>
  <w:num w:numId="6">
    <w:abstractNumId w:val="13"/>
  </w:num>
  <w:num w:numId="7">
    <w:abstractNumId w:val="22"/>
  </w:num>
  <w:num w:numId="8">
    <w:abstractNumId w:val="18"/>
  </w:num>
  <w:num w:numId="9">
    <w:abstractNumId w:val="8"/>
  </w:num>
  <w:num w:numId="10">
    <w:abstractNumId w:val="6"/>
  </w:num>
  <w:num w:numId="11">
    <w:abstractNumId w:val="0"/>
  </w:num>
  <w:num w:numId="12">
    <w:abstractNumId w:val="19"/>
  </w:num>
  <w:num w:numId="13">
    <w:abstractNumId w:val="24"/>
  </w:num>
  <w:num w:numId="14">
    <w:abstractNumId w:val="7"/>
  </w:num>
  <w:num w:numId="15">
    <w:abstractNumId w:val="3"/>
  </w:num>
  <w:num w:numId="16">
    <w:abstractNumId w:val="1"/>
  </w:num>
  <w:num w:numId="17">
    <w:abstractNumId w:val="25"/>
  </w:num>
  <w:num w:numId="18">
    <w:abstractNumId w:val="4"/>
  </w:num>
  <w:num w:numId="19">
    <w:abstractNumId w:val="16"/>
  </w:num>
  <w:num w:numId="20">
    <w:abstractNumId w:val="2"/>
  </w:num>
  <w:num w:numId="21">
    <w:abstractNumId w:val="14"/>
  </w:num>
  <w:num w:numId="22">
    <w:abstractNumId w:val="26"/>
  </w:num>
  <w:num w:numId="23">
    <w:abstractNumId w:val="12"/>
  </w:num>
  <w:num w:numId="24">
    <w:abstractNumId w:val="15"/>
  </w:num>
  <w:num w:numId="25">
    <w:abstractNumId w:val="17"/>
  </w:num>
  <w:num w:numId="26">
    <w:abstractNumId w:val="21"/>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3356C"/>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5F1F"/>
    <w:rsid w:val="00416D2B"/>
    <w:rsid w:val="0042108F"/>
    <w:rsid w:val="00422295"/>
    <w:rsid w:val="00430FED"/>
    <w:rsid w:val="00433844"/>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22E8"/>
    <w:rsid w:val="007603F5"/>
    <w:rsid w:val="00764DB0"/>
    <w:rsid w:val="0076764D"/>
    <w:rsid w:val="0077498C"/>
    <w:rsid w:val="00775C59"/>
    <w:rsid w:val="007809BC"/>
    <w:rsid w:val="00784128"/>
    <w:rsid w:val="00785534"/>
    <w:rsid w:val="00787BCC"/>
    <w:rsid w:val="00793173"/>
    <w:rsid w:val="00796B95"/>
    <w:rsid w:val="007A2A33"/>
    <w:rsid w:val="007B22CF"/>
    <w:rsid w:val="007B3A5E"/>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67701"/>
    <w:rsid w:val="00867C22"/>
    <w:rsid w:val="008723F3"/>
    <w:rsid w:val="0087682F"/>
    <w:rsid w:val="00876F56"/>
    <w:rsid w:val="00881DE6"/>
    <w:rsid w:val="008837A6"/>
    <w:rsid w:val="0089145D"/>
    <w:rsid w:val="0089536F"/>
    <w:rsid w:val="008A3075"/>
    <w:rsid w:val="008A4DF2"/>
    <w:rsid w:val="008A6CFE"/>
    <w:rsid w:val="008A7666"/>
    <w:rsid w:val="008B5333"/>
    <w:rsid w:val="008B6223"/>
    <w:rsid w:val="008C3FB9"/>
    <w:rsid w:val="008C66E0"/>
    <w:rsid w:val="008D4D4A"/>
    <w:rsid w:val="008E3339"/>
    <w:rsid w:val="008F20FC"/>
    <w:rsid w:val="008F240F"/>
    <w:rsid w:val="008F2C4E"/>
    <w:rsid w:val="008F5FFE"/>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27DC9"/>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E20EB"/>
    <w:rsid w:val="00AE21A8"/>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5A60"/>
    <w:rsid w:val="00BE4FF3"/>
    <w:rsid w:val="00BF0AFE"/>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079CC"/>
    <w:rsid w:val="00D148DC"/>
    <w:rsid w:val="00D17FDC"/>
    <w:rsid w:val="00D21D8C"/>
    <w:rsid w:val="00D45B4F"/>
    <w:rsid w:val="00D53719"/>
    <w:rsid w:val="00D6188D"/>
    <w:rsid w:val="00D63EFD"/>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31DE"/>
    <w:rsid w:val="00E14FED"/>
    <w:rsid w:val="00E15BA9"/>
    <w:rsid w:val="00E26E19"/>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D6316"/>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6</cp:revision>
  <cp:lastPrinted>2019-08-27T05:42:00Z</cp:lastPrinted>
  <dcterms:created xsi:type="dcterms:W3CDTF">2022-09-12T13:55:00Z</dcterms:created>
  <dcterms:modified xsi:type="dcterms:W3CDTF">2022-09-12T14:22:00Z</dcterms:modified>
</cp:coreProperties>
</file>