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640623">
      <w:pPr>
        <w:pStyle w:val="ListParagraph"/>
        <w:numPr>
          <w:ilvl w:val="0"/>
          <w:numId w:val="13"/>
        </w:numPr>
        <w:ind w:left="426" w:hanging="426"/>
        <w:rPr>
          <w:rFonts w:ascii="Arial" w:hAnsi="Arial" w:cs="Arial"/>
          <w:bCs/>
          <w:sz w:val="22"/>
          <w:szCs w:val="22"/>
          <w:lang w:val="en-GB"/>
        </w:rPr>
      </w:pPr>
      <w:r w:rsidRPr="007B4F09">
        <w:rPr>
          <w:rFonts w:ascii="Arial" w:hAnsi="Arial" w:cs="Arial"/>
          <w:bCs/>
          <w:sz w:val="22"/>
          <w:szCs w:val="22"/>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Default="008D1432" w:rsidP="00640623">
      <w:pPr>
        <w:pStyle w:val="ListParagraph"/>
        <w:numPr>
          <w:ilvl w:val="0"/>
          <w:numId w:val="15"/>
        </w:numPr>
        <w:ind w:left="426" w:hanging="426"/>
        <w:rPr>
          <w:rFonts w:ascii="Arial" w:hAnsi="Arial" w:cs="Arial"/>
          <w:bCs/>
          <w:sz w:val="22"/>
          <w:szCs w:val="22"/>
          <w:lang w:val="en-GB"/>
        </w:rPr>
      </w:pPr>
      <w:r w:rsidRPr="007B4F09">
        <w:rPr>
          <w:rFonts w:ascii="Arial" w:hAnsi="Arial" w:cs="Arial"/>
          <w:bCs/>
          <w:sz w:val="22"/>
          <w:szCs w:val="22"/>
          <w:lang w:val="en-GB"/>
        </w:rPr>
        <w:t>True</w:t>
      </w:r>
      <w:r w:rsidR="002073B6" w:rsidRPr="007B4F09">
        <w:rPr>
          <w:rFonts w:ascii="Arial" w:hAnsi="Arial" w:cs="Arial"/>
          <w:bCs/>
          <w:sz w:val="22"/>
          <w:szCs w:val="22"/>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7B4F09" w:rsidRDefault="002073B6" w:rsidP="00640623">
      <w:pPr>
        <w:pStyle w:val="ListParagraph"/>
        <w:numPr>
          <w:ilvl w:val="0"/>
          <w:numId w:val="17"/>
        </w:numPr>
        <w:ind w:left="426" w:hanging="426"/>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Default="002073B6" w:rsidP="00640623">
      <w:pPr>
        <w:pStyle w:val="ListParagraph"/>
        <w:numPr>
          <w:ilvl w:val="0"/>
          <w:numId w:val="18"/>
        </w:numPr>
        <w:ind w:left="426" w:hanging="426"/>
        <w:rPr>
          <w:rFonts w:ascii="Arial" w:hAnsi="Arial" w:cs="Arial"/>
          <w:bCs/>
          <w:sz w:val="22"/>
          <w:szCs w:val="22"/>
          <w:lang w:val="en-GB"/>
        </w:rPr>
      </w:pPr>
      <w:r w:rsidRPr="007B4F09">
        <w:rPr>
          <w:rFonts w:ascii="Arial" w:hAnsi="Arial" w:cs="Arial"/>
          <w:bCs/>
          <w:sz w:val="22"/>
          <w:szCs w:val="22"/>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Default="002073B6" w:rsidP="00640623">
      <w:pPr>
        <w:pStyle w:val="ListParagraph"/>
        <w:numPr>
          <w:ilvl w:val="0"/>
          <w:numId w:val="20"/>
        </w:numPr>
        <w:ind w:left="426" w:hanging="426"/>
        <w:rPr>
          <w:rFonts w:ascii="Arial" w:hAnsi="Arial" w:cs="Arial"/>
          <w:bCs/>
          <w:sz w:val="22"/>
          <w:szCs w:val="22"/>
          <w:lang w:val="en-GB"/>
        </w:rPr>
      </w:pPr>
      <w:r w:rsidRPr="007B4F09">
        <w:rPr>
          <w:rFonts w:ascii="Arial" w:hAnsi="Arial" w:cs="Arial"/>
          <w:bCs/>
          <w:sz w:val="22"/>
          <w:szCs w:val="22"/>
          <w:lang w:val="en-GB"/>
        </w:rPr>
        <w:t xml:space="preserve">Interest on debts owed by the debtor stops accruing on the date of commencement of Preventive Composition. </w:t>
      </w:r>
      <w:r w:rsidRPr="007B4F09">
        <w:rPr>
          <w:rFonts w:ascii="Arial" w:hAnsi="Arial" w:cs="Arial"/>
          <w:bCs/>
          <w:sz w:val="22"/>
          <w:szCs w:val="22"/>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Default="002073B6" w:rsidP="00640623">
      <w:pPr>
        <w:pStyle w:val="ListParagraph"/>
        <w:numPr>
          <w:ilvl w:val="0"/>
          <w:numId w:val="22"/>
        </w:numPr>
        <w:ind w:left="426" w:hanging="426"/>
        <w:rPr>
          <w:rFonts w:ascii="Arial" w:hAnsi="Arial" w:cs="Arial"/>
          <w:bCs/>
          <w:sz w:val="22"/>
          <w:szCs w:val="22"/>
          <w:lang w:val="en-GB"/>
        </w:rPr>
      </w:pPr>
      <w:r w:rsidRPr="007B4F09">
        <w:rPr>
          <w:rFonts w:ascii="Arial" w:hAnsi="Arial" w:cs="Arial"/>
          <w:bCs/>
          <w:sz w:val="22"/>
          <w:szCs w:val="22"/>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Default="00BA06CC" w:rsidP="00640623">
      <w:pPr>
        <w:pStyle w:val="ListParagraph"/>
        <w:numPr>
          <w:ilvl w:val="0"/>
          <w:numId w:val="24"/>
        </w:numPr>
        <w:ind w:left="426" w:hanging="426"/>
        <w:rPr>
          <w:rFonts w:ascii="Arial" w:hAnsi="Arial" w:cs="Arial"/>
          <w:bCs/>
          <w:sz w:val="22"/>
          <w:szCs w:val="22"/>
          <w:lang w:val="en-GB"/>
        </w:rPr>
      </w:pPr>
      <w:r w:rsidRPr="007B4F09">
        <w:rPr>
          <w:rFonts w:ascii="Arial" w:hAnsi="Arial" w:cs="Arial"/>
          <w:sz w:val="22"/>
          <w:szCs w:val="22"/>
        </w:rPr>
        <w:t>A</w:t>
      </w:r>
      <w:r w:rsidR="00F80E9B" w:rsidRPr="007B4F09">
        <w:rPr>
          <w:rFonts w:ascii="Arial" w:hAnsi="Arial" w:cs="Arial"/>
          <w:sz w:val="22"/>
          <w:szCs w:val="22"/>
        </w:rPr>
        <w:t xml:space="preserve"> moratorium comes into effect for an initial 180 days, preventing creditors from commencing or continuing legal action against the company</w:t>
      </w:r>
      <w:r w:rsidR="002073B6" w:rsidRPr="007B4F09">
        <w:rPr>
          <w:rFonts w:ascii="Arial" w:hAnsi="Arial" w:cs="Arial"/>
          <w:bCs/>
          <w:sz w:val="22"/>
          <w:szCs w:val="22"/>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ListParagraph"/>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17B83652" w:rsidR="00A334F9" w:rsidRPr="00CA448F" w:rsidRDefault="006F58B3"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A334F9"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324A8A3D" w:rsidR="00651151" w:rsidRPr="00CA448F" w:rsidRDefault="006F58B3"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[Type your answer here]</w:t>
      </w:r>
    </w:p>
    <w:p w14:paraId="115D0320" w14:textId="0B45D446" w:rsidR="00651151" w:rsidRDefault="00651151" w:rsidP="00640623">
      <w:pPr>
        <w:ind w:left="720" w:hanging="720"/>
        <w:rPr>
          <w:rFonts w:ascii="Arial" w:hAnsi="Arial" w:cs="Arial"/>
          <w:color w:val="808080" w:themeColor="background1" w:themeShade="80"/>
          <w:sz w:val="22"/>
          <w:szCs w:val="22"/>
        </w:rPr>
      </w:pPr>
    </w:p>
    <w:p w14:paraId="10ED3CB3" w14:textId="783E6C80" w:rsidR="006F58B3" w:rsidRDefault="006F58B3" w:rsidP="00640623">
      <w:pPr>
        <w:ind w:left="720" w:hanging="720"/>
        <w:rPr>
          <w:rFonts w:ascii="Arial" w:hAnsi="Arial" w:cs="Arial"/>
          <w:color w:val="808080" w:themeColor="background1" w:themeShade="80"/>
          <w:sz w:val="22"/>
          <w:szCs w:val="22"/>
        </w:rPr>
      </w:pPr>
    </w:p>
    <w:p w14:paraId="0DD563AA" w14:textId="4E5D194B" w:rsidR="006F58B3" w:rsidRDefault="006F58B3" w:rsidP="00640623">
      <w:pPr>
        <w:ind w:left="720" w:hanging="720"/>
        <w:rPr>
          <w:rFonts w:ascii="Arial" w:hAnsi="Arial" w:cs="Arial"/>
          <w:color w:val="808080" w:themeColor="background1" w:themeShade="80"/>
          <w:sz w:val="22"/>
          <w:szCs w:val="22"/>
        </w:rPr>
      </w:pPr>
    </w:p>
    <w:p w14:paraId="64A03659" w14:textId="7151E7F2" w:rsidR="006F58B3" w:rsidRDefault="006F58B3"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50DAF75B" w14:textId="6EEDAF0B" w:rsidR="00C72848" w:rsidRPr="00CA448F" w:rsidRDefault="006F58B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2FF264A4" w:rsidR="00B52047" w:rsidRPr="00CA448F" w:rsidRDefault="00E968B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0CA09841" w14:textId="07750787" w:rsidR="001A45DB" w:rsidRPr="00CA448F" w:rsidRDefault="00E968BE"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[Type your answer here]</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5B46938C" w:rsidR="001A45DB" w:rsidRPr="00CA448F" w:rsidRDefault="00E968B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718EECD5" w14:textId="174A3E89" w:rsidR="001A45DB" w:rsidRPr="00CA448F" w:rsidRDefault="00E968BE"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[Type your answer </w:t>
      </w:r>
      <w:r w:rsidR="00224E71">
        <w:rPr>
          <w:rFonts w:ascii="Arial" w:hAnsi="Arial" w:cs="Arial"/>
          <w:color w:val="808080" w:themeColor="background1" w:themeShade="80"/>
          <w:sz w:val="22"/>
          <w:szCs w:val="22"/>
          <w:shd w:val="clear" w:color="auto" w:fill="FFFFFF"/>
        </w:rPr>
        <w:t>here]</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7E21B68A" w:rsidR="0077431E" w:rsidRDefault="0077431E" w:rsidP="00640623">
      <w:pPr>
        <w:rPr>
          <w:rFonts w:ascii="Arial" w:hAnsi="Arial" w:cs="Arial"/>
          <w:sz w:val="22"/>
          <w:szCs w:val="22"/>
          <w:shd w:val="clear" w:color="auto" w:fill="FFFFFF"/>
        </w:rPr>
      </w:pPr>
    </w:p>
    <w:p w14:paraId="6E64D493" w14:textId="2D3C02C4" w:rsidR="00224E71" w:rsidRDefault="00224E71" w:rsidP="00640623">
      <w:pPr>
        <w:rPr>
          <w:rFonts w:ascii="Arial" w:hAnsi="Arial" w:cs="Arial"/>
          <w:sz w:val="22"/>
          <w:szCs w:val="22"/>
          <w:shd w:val="clear" w:color="auto" w:fill="FFFFFF"/>
        </w:rPr>
      </w:pPr>
    </w:p>
    <w:p w14:paraId="7242DA50" w14:textId="09BE2959" w:rsidR="00224E71" w:rsidRDefault="00224E71" w:rsidP="00640623">
      <w:pPr>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lastRenderedPageBreak/>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5D931986" w14:textId="74A04236" w:rsidR="00BD1061" w:rsidRPr="00CA448F" w:rsidRDefault="00224E7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6CDA2848" w14:textId="08483F1B" w:rsidR="00BD1061" w:rsidRPr="00CA448F" w:rsidRDefault="00BD1061"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018D5BEE" w14:textId="528E5761" w:rsidR="009D3106" w:rsidRPr="00CA448F" w:rsidRDefault="00224E7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9D3106"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385F7F1A" w14:textId="5AE7E827" w:rsidR="00640623" w:rsidRPr="00CA448F" w:rsidRDefault="00DA4D42"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640623"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0EE7894"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4C2F"/>
    <w:rsid w:val="00657087"/>
    <w:rsid w:val="006639DB"/>
    <w:rsid w:val="006645D6"/>
    <w:rsid w:val="006661EF"/>
    <w:rsid w:val="00677AEB"/>
    <w:rsid w:val="00680EF2"/>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7C86"/>
    <w:rsid w:val="00740DAD"/>
    <w:rsid w:val="007566B8"/>
    <w:rsid w:val="007603F5"/>
    <w:rsid w:val="00764DB0"/>
    <w:rsid w:val="0076764D"/>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5F57"/>
    <w:rsid w:val="00821EDC"/>
    <w:rsid w:val="00822751"/>
    <w:rsid w:val="0082483F"/>
    <w:rsid w:val="008279C0"/>
    <w:rsid w:val="00830004"/>
    <w:rsid w:val="00830097"/>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62045"/>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2021-06-10T09:58:00Z</dcterms:created>
  <dcterms:modified xsi:type="dcterms:W3CDTF">2021-06-10T09:58:00Z</dcterms:modified>
</cp:coreProperties>
</file>