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E453EA" w:rsidRDefault="00DE366A" w:rsidP="00B3727B">
      <w:pPr>
        <w:pStyle w:val="ListParagraph"/>
        <w:numPr>
          <w:ilvl w:val="0"/>
          <w:numId w:val="1"/>
        </w:numPr>
        <w:ind w:left="426"/>
        <w:jc w:val="both"/>
        <w:rPr>
          <w:rFonts w:ascii="Avenir Next" w:hAnsi="Avenir Next" w:cs="Arial"/>
          <w:sz w:val="22"/>
          <w:szCs w:val="22"/>
          <w:lang w:val="en-GB"/>
        </w:rPr>
      </w:pPr>
      <w:r w:rsidRPr="00E453EA">
        <w:rPr>
          <w:rFonts w:ascii="Avenir Next" w:hAnsi="Avenir Next" w:cs="Arial"/>
          <w:sz w:val="22"/>
          <w:szCs w:val="22"/>
          <w:lang w:val="en-GB"/>
        </w:rPr>
        <w:t>If the Master has approved a plan of distribution to repay all of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lastRenderedPageBreak/>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9904EE" w:rsidRDefault="00765AE9" w:rsidP="00765AE9">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Options (</w:t>
      </w:r>
      <w:proofErr w:type="spellStart"/>
      <w:r w:rsidRPr="009904EE">
        <w:rPr>
          <w:rFonts w:ascii="Avenir Next" w:hAnsi="Avenir Next" w:cs="Arial"/>
          <w:sz w:val="22"/>
          <w:szCs w:val="22"/>
        </w:rPr>
        <w:t>i</w:t>
      </w:r>
      <w:proofErr w:type="spellEnd"/>
      <w:r w:rsidRPr="009904EE">
        <w:rPr>
          <w:rFonts w:ascii="Avenir Next" w:hAnsi="Avenir Next" w:cs="Arial"/>
          <w:sz w:val="22"/>
          <w:szCs w:val="22"/>
        </w:rPr>
        <w:t>) and (i</w:t>
      </w:r>
      <w:r w:rsidR="00F220A7" w:rsidRPr="009904EE">
        <w:rPr>
          <w:rFonts w:ascii="Avenir Next" w:hAnsi="Avenir Next" w:cs="Arial"/>
          <w:sz w:val="22"/>
          <w:szCs w:val="22"/>
        </w:rPr>
        <w:t>v</w:t>
      </w:r>
      <w:r w:rsidRPr="009904EE">
        <w:rPr>
          <w:rFonts w:ascii="Avenir Next" w:hAnsi="Avenir Next" w:cs="Arial"/>
          <w:sz w:val="22"/>
          <w:szCs w:val="22"/>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Option</w:t>
      </w:r>
      <w:r w:rsidR="0007191F" w:rsidRPr="00B87DBA">
        <w:rPr>
          <w:rFonts w:ascii="Avenir Next" w:hAnsi="Avenir Next" w:cs="Arial"/>
          <w:sz w:val="22"/>
          <w:szCs w:val="22"/>
        </w:rPr>
        <w:t>s (</w:t>
      </w:r>
      <w:proofErr w:type="spellStart"/>
      <w:r w:rsidR="0007191F" w:rsidRPr="00B87DBA">
        <w:rPr>
          <w:rFonts w:ascii="Avenir Next" w:hAnsi="Avenir Next" w:cs="Arial"/>
          <w:sz w:val="22"/>
          <w:szCs w:val="22"/>
        </w:rPr>
        <w:t>i</w:t>
      </w:r>
      <w:proofErr w:type="spellEnd"/>
      <w:r w:rsidR="0007191F" w:rsidRPr="00B87DBA">
        <w:rPr>
          <w:rFonts w:ascii="Avenir Next" w:hAnsi="Avenir Next" w:cs="Arial"/>
          <w:sz w:val="22"/>
          <w:szCs w:val="22"/>
        </w:rPr>
        <w:t>),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904EE" w:rsidRDefault="0007191F" w:rsidP="00895343">
      <w:pPr>
        <w:pStyle w:val="ListParagraph"/>
        <w:numPr>
          <w:ilvl w:val="0"/>
          <w:numId w:val="22"/>
        </w:numPr>
        <w:ind w:left="426"/>
        <w:jc w:val="both"/>
        <w:rPr>
          <w:rFonts w:ascii="Avenir Next" w:hAnsi="Avenir Next" w:cs="Arial"/>
          <w:sz w:val="22"/>
          <w:szCs w:val="22"/>
        </w:rPr>
      </w:pPr>
      <w:r w:rsidRPr="009904EE">
        <w:rPr>
          <w:rFonts w:ascii="Avenir Next" w:hAnsi="Avenir Next" w:cs="Arial"/>
          <w:sz w:val="22"/>
          <w:szCs w:val="22"/>
        </w:rPr>
        <w:t>All of the above</w:t>
      </w:r>
      <w:r w:rsidR="00895343" w:rsidRPr="009904EE">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9904EE" w:rsidRDefault="0001050B" w:rsidP="00B3727B">
      <w:pPr>
        <w:pStyle w:val="ListParagraph"/>
        <w:numPr>
          <w:ilvl w:val="0"/>
          <w:numId w:val="5"/>
        </w:numPr>
        <w:ind w:left="426"/>
        <w:jc w:val="both"/>
        <w:rPr>
          <w:rFonts w:ascii="Avenir Next" w:hAnsi="Avenir Next" w:cs="Arial"/>
          <w:sz w:val="22"/>
          <w:szCs w:val="22"/>
          <w:lang w:val="en-GB"/>
        </w:rPr>
      </w:pPr>
      <w:r w:rsidRPr="009904EE">
        <w:rPr>
          <w:rFonts w:ascii="Avenir Next" w:hAnsi="Avenir Next" w:cs="Arial"/>
          <w:sz w:val="22"/>
          <w:szCs w:val="22"/>
          <w:lang w:val="en-GB"/>
        </w:rPr>
        <w:t xml:space="preserve">Company </w:t>
      </w:r>
      <w:r w:rsidR="00D62306" w:rsidRPr="009904EE">
        <w:rPr>
          <w:rFonts w:ascii="Avenir Next" w:hAnsi="Avenir Next" w:cs="Arial"/>
          <w:sz w:val="22"/>
          <w:szCs w:val="22"/>
          <w:lang w:val="en-GB"/>
        </w:rPr>
        <w:t>ABC</w:t>
      </w:r>
      <w:r w:rsidRPr="009904EE">
        <w:rPr>
          <w:rFonts w:ascii="Avenir Next" w:hAnsi="Avenir Next" w:cs="Arial"/>
          <w:sz w:val="22"/>
          <w:szCs w:val="22"/>
          <w:lang w:val="en-GB"/>
        </w:rPr>
        <w:t xml:space="preserve"> will be required to return ZAR </w:t>
      </w:r>
      <w:r w:rsidR="00A35DA7" w:rsidRPr="009904EE">
        <w:rPr>
          <w:rFonts w:ascii="Avenir Next" w:hAnsi="Avenir Next" w:cs="Arial"/>
          <w:sz w:val="22"/>
          <w:szCs w:val="22"/>
          <w:lang w:val="en-GB"/>
        </w:rPr>
        <w:t>5</w:t>
      </w:r>
      <w:r w:rsidR="005925C2" w:rsidRPr="009904EE">
        <w:rPr>
          <w:rFonts w:ascii="Avenir Next" w:hAnsi="Avenir Next" w:cs="Arial"/>
          <w:sz w:val="22"/>
          <w:szCs w:val="22"/>
          <w:lang w:val="en-GB"/>
        </w:rPr>
        <w:t>,</w:t>
      </w:r>
      <w:r w:rsidRPr="009904EE">
        <w:rPr>
          <w:rFonts w:ascii="Avenir Next" w:hAnsi="Avenir Next" w:cs="Arial"/>
          <w:sz w:val="22"/>
          <w:szCs w:val="22"/>
          <w:lang w:val="en-GB"/>
        </w:rPr>
        <w:t xml:space="preserve">000 to the liquidator of Company </w:t>
      </w:r>
      <w:r w:rsidR="008E7F55" w:rsidRPr="009904EE">
        <w:rPr>
          <w:rFonts w:ascii="Avenir Next" w:hAnsi="Avenir Next" w:cs="Arial"/>
          <w:sz w:val="22"/>
          <w:szCs w:val="22"/>
          <w:lang w:val="en-GB"/>
        </w:rPr>
        <w:t>X</w:t>
      </w:r>
      <w:r w:rsidR="00D62306" w:rsidRPr="009904EE">
        <w:rPr>
          <w:rFonts w:ascii="Avenir Next" w:hAnsi="Avenir Next" w:cs="Arial"/>
          <w:sz w:val="22"/>
          <w:szCs w:val="22"/>
          <w:lang w:val="en-GB"/>
        </w:rPr>
        <w:t>YZ</w:t>
      </w:r>
      <w:r w:rsidRPr="009904EE">
        <w:rPr>
          <w:rFonts w:ascii="Avenir Next" w:hAnsi="Avenir Next" w:cs="Arial"/>
          <w:sz w:val="22"/>
          <w:szCs w:val="22"/>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4D31CC" w:rsidRDefault="00256E1E" w:rsidP="00B3727B">
      <w:pPr>
        <w:pStyle w:val="ListParagraph"/>
        <w:numPr>
          <w:ilvl w:val="0"/>
          <w:numId w:val="6"/>
        </w:numPr>
        <w:ind w:left="426"/>
        <w:jc w:val="both"/>
        <w:rPr>
          <w:rFonts w:ascii="Avenir Next" w:hAnsi="Avenir Next" w:cs="Arial"/>
          <w:sz w:val="22"/>
          <w:szCs w:val="22"/>
          <w:lang w:val="en-GB"/>
        </w:rPr>
      </w:pPr>
      <w:r w:rsidRPr="004D31CC">
        <w:rPr>
          <w:rFonts w:ascii="Avenir Next" w:hAnsi="Avenir Next" w:cs="Arial"/>
          <w:sz w:val="22"/>
          <w:szCs w:val="22"/>
          <w:lang w:val="en-GB"/>
        </w:rPr>
        <w:t>The enforcement of the judgment must not be contrary to South African public policy or the concept of natural justice, but the judgment need not be final and conclusive</w:t>
      </w:r>
      <w:r w:rsidR="0001050B" w:rsidRPr="004D31CC">
        <w:rPr>
          <w:rFonts w:ascii="Avenir Next" w:hAnsi="Avenir Next" w:cs="Arial"/>
          <w:sz w:val="22"/>
          <w:szCs w:val="22"/>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4D31CC" w:rsidRDefault="00F83DBA" w:rsidP="00B3727B">
      <w:pPr>
        <w:pStyle w:val="ListParagraph"/>
        <w:numPr>
          <w:ilvl w:val="0"/>
          <w:numId w:val="8"/>
        </w:numPr>
        <w:ind w:left="426"/>
        <w:jc w:val="both"/>
        <w:rPr>
          <w:rFonts w:ascii="Avenir Next" w:hAnsi="Avenir Next" w:cs="Arial"/>
          <w:sz w:val="22"/>
          <w:szCs w:val="22"/>
          <w:lang w:val="en-GB"/>
        </w:rPr>
      </w:pPr>
      <w:r w:rsidRPr="004D31CC">
        <w:rPr>
          <w:rFonts w:ascii="Avenir Next" w:hAnsi="Avenir Next" w:cs="Arial"/>
          <w:sz w:val="22"/>
          <w:szCs w:val="22"/>
          <w:lang w:val="en-GB"/>
        </w:rPr>
        <w:t>S</w:t>
      </w:r>
      <w:r w:rsidR="0001050B" w:rsidRPr="004D31CC">
        <w:rPr>
          <w:rFonts w:ascii="Avenir Next" w:hAnsi="Avenir Next" w:cs="Arial"/>
          <w:sz w:val="22"/>
          <w:szCs w:val="22"/>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4D31CC" w:rsidRDefault="001D4BA3" w:rsidP="004D31CC">
      <w:pPr>
        <w:pStyle w:val="ListParagraph"/>
        <w:numPr>
          <w:ilvl w:val="0"/>
          <w:numId w:val="29"/>
        </w:numPr>
        <w:ind w:left="426"/>
        <w:rPr>
          <w:rFonts w:ascii="Avenir Next" w:hAnsi="Avenir Next" w:cs="Arial"/>
          <w:sz w:val="22"/>
          <w:szCs w:val="22"/>
        </w:rPr>
      </w:pPr>
      <w:r w:rsidRPr="004D31CC">
        <w:rPr>
          <w:rFonts w:ascii="Avenir Next" w:hAnsi="Avenir Next" w:cs="Arial"/>
          <w:sz w:val="22"/>
          <w:szCs w:val="22"/>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4D31CC" w:rsidRDefault="00230812" w:rsidP="00B3727B">
      <w:pPr>
        <w:pStyle w:val="ListParagraph"/>
        <w:numPr>
          <w:ilvl w:val="0"/>
          <w:numId w:val="9"/>
        </w:numPr>
        <w:ind w:left="426"/>
        <w:jc w:val="both"/>
        <w:rPr>
          <w:rFonts w:ascii="Avenir Next" w:hAnsi="Avenir Next" w:cs="Arial"/>
          <w:sz w:val="22"/>
          <w:szCs w:val="22"/>
          <w:lang w:val="en-GB"/>
        </w:rPr>
      </w:pPr>
      <w:r w:rsidRPr="004D31CC">
        <w:rPr>
          <w:rFonts w:ascii="Avenir Next" w:hAnsi="Avenir Next" w:cs="Arial"/>
          <w:sz w:val="22"/>
          <w:szCs w:val="22"/>
          <w:lang w:val="en-GB"/>
        </w:rPr>
        <w:t>Movable property is governed by the law of the natural person’s domicile (</w:t>
      </w:r>
      <w:r w:rsidRPr="004D31CC">
        <w:rPr>
          <w:rFonts w:ascii="Avenir Next" w:hAnsi="Avenir Next" w:cs="Arial"/>
          <w:i/>
          <w:iCs/>
          <w:sz w:val="22"/>
          <w:szCs w:val="22"/>
          <w:lang w:val="en-GB"/>
        </w:rPr>
        <w:t xml:space="preserve">lex </w:t>
      </w:r>
      <w:proofErr w:type="spellStart"/>
      <w:r w:rsidRPr="004D31CC">
        <w:rPr>
          <w:rFonts w:ascii="Avenir Next" w:hAnsi="Avenir Next" w:cs="Arial"/>
          <w:i/>
          <w:iCs/>
          <w:sz w:val="22"/>
          <w:szCs w:val="22"/>
          <w:lang w:val="en-GB"/>
        </w:rPr>
        <w:t>domicilii</w:t>
      </w:r>
      <w:proofErr w:type="spellEnd"/>
      <w:r w:rsidRPr="004D31CC">
        <w:rPr>
          <w:rFonts w:ascii="Avenir Next" w:hAnsi="Avenir Next" w:cs="Arial"/>
          <w:sz w:val="22"/>
          <w:szCs w:val="22"/>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 xml:space="preserve">lex </w:t>
      </w:r>
      <w:proofErr w:type="spellStart"/>
      <w:r w:rsidRPr="00B87DBA">
        <w:rPr>
          <w:rFonts w:ascii="Avenir Next" w:hAnsi="Avenir Next" w:cs="Arial"/>
          <w:i/>
          <w:iCs/>
          <w:sz w:val="22"/>
          <w:szCs w:val="22"/>
          <w:lang w:val="en-GB"/>
        </w:rPr>
        <w:t>domicilii</w:t>
      </w:r>
      <w:proofErr w:type="spellEnd"/>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1C34CF5F" w14:textId="73F39EE8" w:rsidR="00C61146" w:rsidRPr="008E79A7" w:rsidRDefault="008E79A7" w:rsidP="00E9426A">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05FBD9E4" w14:textId="17CDA9BE" w:rsidR="00C61146" w:rsidRPr="008E79A7"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1C47D821" w14:textId="5D9AA84A" w:rsidR="00B1461F" w:rsidRDefault="00B1461F" w:rsidP="0001050B">
      <w:pPr>
        <w:rPr>
          <w:rFonts w:ascii="Avenir Next" w:hAnsi="Avenir Next" w:cs="Arial"/>
          <w:bCs/>
          <w:color w:val="000000" w:themeColor="text1"/>
          <w:sz w:val="22"/>
          <w:szCs w:val="22"/>
          <w:lang w:val="en-GB"/>
        </w:rPr>
      </w:pPr>
      <w:bookmarkStart w:id="0"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lastRenderedPageBreak/>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Below is an extract from the business rescue plan of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xml:space="preserve"> Mine Proprietary Limited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7777777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11204EC2" w14:textId="7777777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The directors of ABC (Pty) Ltd (the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w:t>
      </w:r>
      <w:r w:rsidRPr="00B87DBA">
        <w:rPr>
          <w:rFonts w:ascii="Avenir Next" w:eastAsia="Calibri" w:hAnsi="Avenir Next" w:cs="Arial"/>
          <w:sz w:val="22"/>
          <w:szCs w:val="22"/>
          <w:lang w:val="en-GB"/>
        </w:rPr>
        <w:lastRenderedPageBreak/>
        <w:t>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also include any considerations in respect of the business rescue plan that the business rescue practitioner needs to take cognisance of.</w:t>
      </w:r>
    </w:p>
    <w:p w14:paraId="5B697BF6" w14:textId="7777777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[Type your answer here]</w:t>
      </w: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A92EFA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5"/>
  </w:num>
  <w:num w:numId="3">
    <w:abstractNumId w:val="25"/>
  </w:num>
  <w:num w:numId="4">
    <w:abstractNumId w:val="22"/>
  </w:num>
  <w:num w:numId="5">
    <w:abstractNumId w:val="31"/>
  </w:num>
  <w:num w:numId="6">
    <w:abstractNumId w:val="19"/>
  </w:num>
  <w:num w:numId="7">
    <w:abstractNumId w:val="24"/>
  </w:num>
  <w:num w:numId="8">
    <w:abstractNumId w:val="6"/>
  </w:num>
  <w:num w:numId="9">
    <w:abstractNumId w:val="13"/>
  </w:num>
  <w:num w:numId="10">
    <w:abstractNumId w:val="2"/>
  </w:num>
  <w:num w:numId="11">
    <w:abstractNumId w:val="27"/>
  </w:num>
  <w:num w:numId="12">
    <w:abstractNumId w:val="26"/>
  </w:num>
  <w:num w:numId="13">
    <w:abstractNumId w:val="9"/>
  </w:num>
  <w:num w:numId="14">
    <w:abstractNumId w:val="0"/>
  </w:num>
  <w:num w:numId="15">
    <w:abstractNumId w:val="20"/>
  </w:num>
  <w:num w:numId="16">
    <w:abstractNumId w:val="17"/>
  </w:num>
  <w:num w:numId="17">
    <w:abstractNumId w:val="30"/>
  </w:num>
  <w:num w:numId="18">
    <w:abstractNumId w:val="28"/>
  </w:num>
  <w:num w:numId="19">
    <w:abstractNumId w:val="12"/>
  </w:num>
  <w:num w:numId="20">
    <w:abstractNumId w:val="15"/>
  </w:num>
  <w:num w:numId="21">
    <w:abstractNumId w:val="1"/>
  </w:num>
  <w:num w:numId="22">
    <w:abstractNumId w:val="10"/>
  </w:num>
  <w:num w:numId="23">
    <w:abstractNumId w:val="21"/>
  </w:num>
  <w:num w:numId="24">
    <w:abstractNumId w:val="18"/>
  </w:num>
  <w:num w:numId="25">
    <w:abstractNumId w:val="11"/>
  </w:num>
  <w:num w:numId="26">
    <w:abstractNumId w:val="23"/>
  </w:num>
  <w:num w:numId="27">
    <w:abstractNumId w:val="32"/>
  </w:num>
  <w:num w:numId="28">
    <w:abstractNumId w:val="14"/>
  </w:num>
  <w:num w:numId="29">
    <w:abstractNumId w:val="29"/>
  </w:num>
  <w:num w:numId="30">
    <w:abstractNumId w:val="7"/>
  </w:num>
  <w:num w:numId="31">
    <w:abstractNumId w:val="8"/>
  </w:num>
  <w:num w:numId="32">
    <w:abstractNumId w:val="16"/>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4451"/>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5</cp:revision>
  <cp:lastPrinted>2019-08-27T05:42:00Z</cp:lastPrinted>
  <dcterms:created xsi:type="dcterms:W3CDTF">2022-09-21T13:25:00Z</dcterms:created>
  <dcterms:modified xsi:type="dcterms:W3CDTF">2022-09-21T13:52:00Z</dcterms:modified>
</cp:coreProperties>
</file>