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rsidP="00CF6AFC">
      <w:pPr>
        <w:pStyle w:val="ListParagraph"/>
        <w:numPr>
          <w:ilvl w:val="0"/>
          <w:numId w:val="12"/>
        </w:numPr>
        <w:ind w:left="426"/>
        <w:jc w:val="both"/>
        <w:rPr>
          <w:rFonts w:ascii="Arial" w:hAnsi="Arial" w:cs="Arial"/>
          <w:sz w:val="22"/>
          <w:szCs w:val="22"/>
          <w:lang w:val="en-GB"/>
        </w:rPr>
      </w:pPr>
      <w:r w:rsidRPr="00243C99">
        <w:rPr>
          <w:rFonts w:ascii="Arial" w:hAnsi="Arial" w:cs="Arial"/>
          <w:sz w:val="22"/>
          <w:szCs w:val="22"/>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243C99" w:rsidRDefault="0001050B" w:rsidP="00AA4EEA">
      <w:pPr>
        <w:pStyle w:val="ListParagraph"/>
        <w:numPr>
          <w:ilvl w:val="0"/>
          <w:numId w:val="43"/>
        </w:numPr>
        <w:ind w:left="426"/>
        <w:jc w:val="both"/>
        <w:rPr>
          <w:rFonts w:ascii="Arial" w:hAnsi="Arial" w:cs="Arial"/>
          <w:sz w:val="22"/>
          <w:szCs w:val="22"/>
          <w:lang w:val="en-GB"/>
        </w:rPr>
      </w:pPr>
      <w:r w:rsidRPr="00243C99">
        <w:rPr>
          <w:rFonts w:ascii="Arial" w:hAnsi="Arial" w:cs="Arial"/>
          <w:sz w:val="22"/>
          <w:szCs w:val="22"/>
          <w:lang w:val="en-GB"/>
        </w:rPr>
        <w:t xml:space="preserve">A disposition not for value made by the company prior to being placed under </w:t>
      </w:r>
      <w:r w:rsidR="00D97A68" w:rsidRPr="00243C99">
        <w:rPr>
          <w:rFonts w:ascii="Arial" w:hAnsi="Arial" w:cs="Arial"/>
          <w:sz w:val="22"/>
          <w:szCs w:val="22"/>
          <w:lang w:val="en-GB"/>
        </w:rPr>
        <w:t>liquidation</w:t>
      </w:r>
      <w:r w:rsidRPr="00243C99">
        <w:rPr>
          <w:rFonts w:ascii="Arial" w:hAnsi="Arial" w:cs="Arial"/>
          <w:sz w:val="22"/>
          <w:szCs w:val="22"/>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01050B">
      <w:pPr>
        <w:pStyle w:val="ListParagraph"/>
        <w:numPr>
          <w:ilvl w:val="0"/>
          <w:numId w:val="14"/>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rsidP="0001050B">
      <w:pPr>
        <w:pStyle w:val="ListParagraph"/>
        <w:numPr>
          <w:ilvl w:val="0"/>
          <w:numId w:val="14"/>
        </w:numPr>
        <w:ind w:left="426"/>
        <w:jc w:val="both"/>
        <w:rPr>
          <w:rFonts w:ascii="Arial" w:hAnsi="Arial" w:cs="Arial"/>
          <w:sz w:val="22"/>
          <w:szCs w:val="22"/>
          <w:lang w:val="en-GB"/>
        </w:rPr>
      </w:pPr>
      <w:r w:rsidRPr="00243C99">
        <w:rPr>
          <w:rFonts w:ascii="Arial" w:hAnsi="Arial" w:cs="Arial"/>
          <w:sz w:val="22"/>
          <w:szCs w:val="22"/>
          <w:lang w:val="en-GB"/>
        </w:rPr>
        <w:t>The statement is incorrect</w:t>
      </w:r>
      <w:r w:rsidR="00F67EA8" w:rsidRPr="00243C99">
        <w:rPr>
          <w:rFonts w:ascii="Arial" w:hAnsi="Arial" w:cs="Arial"/>
          <w:sz w:val="22"/>
          <w:szCs w:val="22"/>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83DBA">
      <w:pPr>
        <w:pStyle w:val="ListParagraph"/>
        <w:numPr>
          <w:ilvl w:val="0"/>
          <w:numId w:val="18"/>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rsidP="00F83DBA">
      <w:pPr>
        <w:pStyle w:val="ListParagraph"/>
        <w:numPr>
          <w:ilvl w:val="0"/>
          <w:numId w:val="19"/>
        </w:numPr>
        <w:ind w:left="426"/>
        <w:jc w:val="both"/>
        <w:rPr>
          <w:rFonts w:ascii="Arial" w:hAnsi="Arial" w:cs="Arial"/>
          <w:sz w:val="22"/>
          <w:szCs w:val="22"/>
        </w:rPr>
      </w:pPr>
      <w:r w:rsidRPr="00243C99">
        <w:rPr>
          <w:rFonts w:ascii="Arial" w:hAnsi="Arial" w:cs="Arial"/>
          <w:sz w:val="22"/>
          <w:szCs w:val="22"/>
        </w:rPr>
        <w:t>Options (ii) and (i</w:t>
      </w:r>
      <w:r w:rsidR="00A06C2B" w:rsidRPr="00243C99">
        <w:rPr>
          <w:rFonts w:ascii="Arial" w:hAnsi="Arial" w:cs="Arial"/>
          <w:sz w:val="22"/>
          <w:szCs w:val="22"/>
        </w:rPr>
        <w:t>ii</w:t>
      </w:r>
      <w:r w:rsidRPr="00243C99">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1</w:t>
      </w:r>
      <w:r w:rsidR="006B2D95">
        <w:rPr>
          <w:rFonts w:ascii="Arial" w:hAnsi="Arial" w:cs="Arial"/>
          <w:sz w:val="22"/>
          <w:szCs w:val="22"/>
          <w:lang w:val="en-GB"/>
        </w:rPr>
        <w:t>2</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83DBA">
      <w:pPr>
        <w:pStyle w:val="ListParagraph"/>
        <w:numPr>
          <w:ilvl w:val="0"/>
          <w:numId w:val="20"/>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785FE5">
      <w:pPr>
        <w:pStyle w:val="ListParagraph"/>
        <w:numPr>
          <w:ilvl w:val="0"/>
          <w:numId w:val="41"/>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785FE5">
      <w:pPr>
        <w:pStyle w:val="ListParagraph"/>
        <w:numPr>
          <w:ilvl w:val="0"/>
          <w:numId w:val="41"/>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243C99" w:rsidRDefault="00A039BC" w:rsidP="00785FE5">
      <w:pPr>
        <w:pStyle w:val="ListParagraph"/>
        <w:numPr>
          <w:ilvl w:val="0"/>
          <w:numId w:val="25"/>
        </w:numPr>
        <w:spacing w:line="276" w:lineRule="auto"/>
        <w:ind w:left="426"/>
        <w:jc w:val="both"/>
        <w:rPr>
          <w:rFonts w:ascii="Arial" w:hAnsi="Arial" w:cs="Arial"/>
          <w:sz w:val="22"/>
          <w:szCs w:val="22"/>
          <w:lang w:val="en-GB"/>
        </w:rPr>
      </w:pPr>
      <w:r w:rsidRPr="00243C99">
        <w:rPr>
          <w:rFonts w:ascii="Arial" w:hAnsi="Arial" w:cs="Arial"/>
          <w:sz w:val="22"/>
          <w:szCs w:val="22"/>
          <w:lang w:val="en-GB"/>
        </w:rPr>
        <w:t>Options (ii) and (iv)</w:t>
      </w:r>
      <w:r w:rsidR="0001050B" w:rsidRPr="00243C99">
        <w:rPr>
          <w:rFonts w:ascii="Arial" w:hAnsi="Arial" w:cs="Arial"/>
          <w:sz w:val="22"/>
          <w:szCs w:val="22"/>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243C99">
      <w:pPr>
        <w:pStyle w:val="ListParagraph"/>
        <w:numPr>
          <w:ilvl w:val="0"/>
          <w:numId w:val="23"/>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243C99" w:rsidRDefault="00256E1E" w:rsidP="00243C99">
      <w:pPr>
        <w:pStyle w:val="ListParagraph"/>
        <w:numPr>
          <w:ilvl w:val="0"/>
          <w:numId w:val="23"/>
        </w:numPr>
        <w:ind w:left="426"/>
        <w:jc w:val="both"/>
        <w:rPr>
          <w:rFonts w:ascii="Arial" w:hAnsi="Arial" w:cs="Arial"/>
          <w:sz w:val="22"/>
          <w:szCs w:val="22"/>
          <w:lang w:val="en-GB"/>
        </w:rPr>
      </w:pPr>
      <w:r w:rsidRPr="00243C99">
        <w:rPr>
          <w:rFonts w:ascii="Arial" w:hAnsi="Arial" w:cs="Arial"/>
          <w:sz w:val="22"/>
          <w:szCs w:val="22"/>
          <w:lang w:val="en-GB"/>
        </w:rPr>
        <w:t>The enforcement of the judgment must not be contrary to South African public policy or the concept of natural justice, but the judgment need not be final and conclusive</w:t>
      </w:r>
      <w:r w:rsidR="0001050B" w:rsidRPr="00243C99">
        <w:rPr>
          <w:rFonts w:ascii="Arial" w:hAnsi="Arial" w:cs="Arial"/>
          <w:sz w:val="22"/>
          <w:szCs w:val="22"/>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43C99">
      <w:pPr>
        <w:pStyle w:val="ListParagraph"/>
        <w:numPr>
          <w:ilvl w:val="0"/>
          <w:numId w:val="23"/>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43C99">
      <w:pPr>
        <w:pStyle w:val="ListParagraph"/>
        <w:numPr>
          <w:ilvl w:val="0"/>
          <w:numId w:val="23"/>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43C99" w:rsidRDefault="00F83DBA" w:rsidP="00F83DBA">
      <w:pPr>
        <w:pStyle w:val="ListParagraph"/>
        <w:numPr>
          <w:ilvl w:val="0"/>
          <w:numId w:val="28"/>
        </w:numPr>
        <w:ind w:left="426"/>
        <w:jc w:val="both"/>
        <w:rPr>
          <w:rFonts w:ascii="Arial" w:hAnsi="Arial" w:cs="Arial"/>
          <w:sz w:val="22"/>
          <w:szCs w:val="22"/>
          <w:lang w:val="en-GB"/>
        </w:rPr>
      </w:pPr>
      <w:r w:rsidRPr="00243C99">
        <w:rPr>
          <w:rFonts w:ascii="Arial" w:hAnsi="Arial" w:cs="Arial"/>
          <w:sz w:val="22"/>
          <w:szCs w:val="22"/>
          <w:lang w:val="en-GB"/>
        </w:rPr>
        <w:t>C</w:t>
      </w:r>
      <w:r w:rsidR="0001050B" w:rsidRPr="00243C99">
        <w:rPr>
          <w:rFonts w:ascii="Arial" w:hAnsi="Arial" w:cs="Arial"/>
          <w:sz w:val="22"/>
          <w:szCs w:val="22"/>
          <w:lang w:val="en-GB"/>
        </w:rPr>
        <w:t>ession in security of a debt (</w:t>
      </w:r>
      <w:r w:rsidR="0001050B" w:rsidRPr="00243C99">
        <w:rPr>
          <w:rFonts w:ascii="Arial" w:hAnsi="Arial" w:cs="Arial"/>
          <w:i/>
          <w:iCs/>
          <w:sz w:val="22"/>
          <w:szCs w:val="22"/>
          <w:lang w:val="en-GB"/>
        </w:rPr>
        <w:t xml:space="preserve">in </w:t>
      </w:r>
      <w:proofErr w:type="spellStart"/>
      <w:r w:rsidR="0001050B" w:rsidRPr="00243C99">
        <w:rPr>
          <w:rFonts w:ascii="Arial" w:hAnsi="Arial" w:cs="Arial"/>
          <w:i/>
          <w:iCs/>
          <w:sz w:val="22"/>
          <w:szCs w:val="22"/>
          <w:lang w:val="en-GB"/>
        </w:rPr>
        <w:t>securitatem</w:t>
      </w:r>
      <w:proofErr w:type="spellEnd"/>
      <w:r w:rsidR="0001050B" w:rsidRPr="00243C99">
        <w:rPr>
          <w:rFonts w:ascii="Arial" w:hAnsi="Arial" w:cs="Arial"/>
          <w:i/>
          <w:iCs/>
          <w:sz w:val="22"/>
          <w:szCs w:val="22"/>
          <w:lang w:val="en-GB"/>
        </w:rPr>
        <w:t xml:space="preserve"> </w:t>
      </w:r>
      <w:proofErr w:type="spellStart"/>
      <w:r w:rsidR="0001050B" w:rsidRPr="00243C99">
        <w:rPr>
          <w:rFonts w:ascii="Arial" w:hAnsi="Arial" w:cs="Arial"/>
          <w:i/>
          <w:iCs/>
          <w:sz w:val="22"/>
          <w:szCs w:val="22"/>
          <w:lang w:val="en-GB"/>
        </w:rPr>
        <w:t>debiti</w:t>
      </w:r>
      <w:proofErr w:type="spellEnd"/>
      <w:r w:rsidR="0001050B" w:rsidRPr="00243C99">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243C99" w:rsidRDefault="0001050B" w:rsidP="00243C99">
      <w:pPr>
        <w:pStyle w:val="ListParagraph"/>
        <w:numPr>
          <w:ilvl w:val="0"/>
          <w:numId w:val="45"/>
        </w:numPr>
        <w:ind w:left="426"/>
        <w:jc w:val="both"/>
        <w:rPr>
          <w:rFonts w:ascii="Arial" w:hAnsi="Arial" w:cs="Arial"/>
          <w:sz w:val="22"/>
          <w:szCs w:val="22"/>
          <w:lang w:val="en-GB"/>
        </w:rPr>
      </w:pPr>
      <w:r w:rsidRPr="00243C99">
        <w:rPr>
          <w:rFonts w:ascii="Arial" w:hAnsi="Arial" w:cs="Arial"/>
          <w:sz w:val="22"/>
          <w:szCs w:val="22"/>
          <w:lang w:val="en-GB"/>
        </w:rPr>
        <w:t xml:space="preserve">A </w:t>
      </w:r>
      <w:r w:rsidR="00343808" w:rsidRPr="00243C99">
        <w:rPr>
          <w:rFonts w:ascii="Arial" w:hAnsi="Arial" w:cs="Arial"/>
          <w:sz w:val="22"/>
          <w:szCs w:val="22"/>
          <w:lang w:val="en-GB"/>
        </w:rPr>
        <w:t xml:space="preserve">director of a </w:t>
      </w:r>
      <w:r w:rsidRPr="00243C99">
        <w:rPr>
          <w:rFonts w:ascii="Arial" w:hAnsi="Arial" w:cs="Arial"/>
          <w:sz w:val="22"/>
          <w:szCs w:val="22"/>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243C99" w:rsidRDefault="00230812" w:rsidP="00230812">
      <w:pPr>
        <w:pStyle w:val="ListParagraph"/>
        <w:numPr>
          <w:ilvl w:val="0"/>
          <w:numId w:val="36"/>
        </w:numPr>
        <w:ind w:left="426"/>
        <w:jc w:val="both"/>
        <w:rPr>
          <w:rFonts w:ascii="Arial" w:hAnsi="Arial" w:cs="Arial"/>
          <w:sz w:val="22"/>
          <w:szCs w:val="22"/>
          <w:lang w:val="en-GB"/>
        </w:rPr>
      </w:pPr>
      <w:r w:rsidRPr="00243C99">
        <w:rPr>
          <w:rFonts w:ascii="Arial" w:hAnsi="Arial" w:cs="Arial"/>
          <w:sz w:val="22"/>
          <w:szCs w:val="22"/>
          <w:lang w:val="en-GB"/>
        </w:rPr>
        <w:t>Movable property is governed by the law of the natural person’s domicile (</w:t>
      </w:r>
      <w:r w:rsidRPr="00243C99">
        <w:rPr>
          <w:rFonts w:ascii="Arial" w:hAnsi="Arial" w:cs="Arial"/>
          <w:i/>
          <w:iCs/>
          <w:sz w:val="22"/>
          <w:szCs w:val="22"/>
          <w:lang w:val="en-GB"/>
        </w:rPr>
        <w:t xml:space="preserve">lex </w:t>
      </w:r>
      <w:proofErr w:type="spellStart"/>
      <w:r w:rsidRPr="00243C99">
        <w:rPr>
          <w:rFonts w:ascii="Arial" w:hAnsi="Arial" w:cs="Arial"/>
          <w:i/>
          <w:iCs/>
          <w:sz w:val="22"/>
          <w:szCs w:val="22"/>
          <w:lang w:val="en-GB"/>
        </w:rPr>
        <w:t>domicilii</w:t>
      </w:r>
      <w:proofErr w:type="spellEnd"/>
      <w:r w:rsidRPr="00243C99">
        <w:rPr>
          <w:rFonts w:ascii="Arial" w:hAnsi="Arial" w:cs="Arial"/>
          <w:sz w:val="22"/>
          <w:szCs w:val="22"/>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1C34CF5F" w14:textId="18D0F3B7" w:rsidR="00C61146" w:rsidRPr="00C61146" w:rsidRDefault="00243C99" w:rsidP="00E9426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07034991" w14:textId="77777777" w:rsidR="00243C99" w:rsidRPr="00C61146" w:rsidRDefault="00243C9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376A393F" w14:textId="77777777" w:rsidR="00C61146" w:rsidRPr="00C61146" w:rsidRDefault="00C61146"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lastRenderedPageBreak/>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37DAA5AE" w14:textId="77777777" w:rsidR="00243C99" w:rsidRPr="00243C99" w:rsidRDefault="00243C99" w:rsidP="00243C99">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[Type your answer here]</w:t>
      </w:r>
    </w:p>
    <w:p w14:paraId="43CF2418" w14:textId="5D8A991D" w:rsidR="00F93E2A" w:rsidRDefault="00F93E2A" w:rsidP="009F5B42">
      <w:pPr>
        <w:spacing w:line="276" w:lineRule="auto"/>
        <w:jc w:val="both"/>
        <w:rPr>
          <w:rFonts w:ascii="Arial" w:hAnsi="Arial" w:cs="Arial"/>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561ED764" w14:textId="77777777" w:rsidR="00243C99" w:rsidRPr="00C61146" w:rsidRDefault="00243C99" w:rsidP="00243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5D7FCE4C" w14:textId="77777777"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lastRenderedPageBreak/>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3707A2DB" w14:textId="77777777" w:rsidR="00243C99" w:rsidRPr="00243C99" w:rsidRDefault="00243C99" w:rsidP="00243C99">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[Type your answer here]</w:t>
      </w: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DF7F" w14:textId="77777777" w:rsidR="005B5C5F" w:rsidRDefault="005B5C5F" w:rsidP="00241B44">
      <w:r>
        <w:separator/>
      </w:r>
    </w:p>
  </w:endnote>
  <w:endnote w:type="continuationSeparator" w:id="0">
    <w:p w14:paraId="10BCE280" w14:textId="77777777" w:rsidR="005B5C5F" w:rsidRDefault="005B5C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87972B7"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E163" w14:textId="77777777" w:rsidR="005B5C5F" w:rsidRDefault="005B5C5F" w:rsidP="00241B44">
      <w:r>
        <w:separator/>
      </w:r>
    </w:p>
  </w:footnote>
  <w:footnote w:type="continuationSeparator" w:id="0">
    <w:p w14:paraId="14F05994" w14:textId="77777777" w:rsidR="005B5C5F" w:rsidRDefault="005B5C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924A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B352CC"/>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0"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1175A5F"/>
    <w:multiLevelType w:val="hybridMultilevel"/>
    <w:tmpl w:val="49941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40"/>
  </w:num>
  <w:num w:numId="6">
    <w:abstractNumId w:val="43"/>
  </w:num>
  <w:num w:numId="7">
    <w:abstractNumId w:val="8"/>
  </w:num>
  <w:num w:numId="8">
    <w:abstractNumId w:val="17"/>
  </w:num>
  <w:num w:numId="9">
    <w:abstractNumId w:val="14"/>
  </w:num>
  <w:num w:numId="10">
    <w:abstractNumId w:val="39"/>
  </w:num>
  <w:num w:numId="11">
    <w:abstractNumId w:val="2"/>
  </w:num>
  <w:num w:numId="12">
    <w:abstractNumId w:val="3"/>
  </w:num>
  <w:num w:numId="13">
    <w:abstractNumId w:val="28"/>
  </w:num>
  <w:num w:numId="14">
    <w:abstractNumId w:val="7"/>
  </w:num>
  <w:num w:numId="15">
    <w:abstractNumId w:val="20"/>
  </w:num>
  <w:num w:numId="16">
    <w:abstractNumId w:val="33"/>
  </w:num>
  <w:num w:numId="17">
    <w:abstractNumId w:val="37"/>
  </w:num>
  <w:num w:numId="18">
    <w:abstractNumId w:val="31"/>
  </w:num>
  <w:num w:numId="19">
    <w:abstractNumId w:val="23"/>
  </w:num>
  <w:num w:numId="20">
    <w:abstractNumId w:val="41"/>
  </w:num>
  <w:num w:numId="21">
    <w:abstractNumId w:val="4"/>
  </w:num>
  <w:num w:numId="22">
    <w:abstractNumId w:val="5"/>
  </w:num>
  <w:num w:numId="23">
    <w:abstractNumId w:val="21"/>
  </w:num>
  <w:num w:numId="24">
    <w:abstractNumId w:val="11"/>
  </w:num>
  <w:num w:numId="25">
    <w:abstractNumId w:val="26"/>
  </w:num>
  <w:num w:numId="26">
    <w:abstractNumId w:val="27"/>
  </w:num>
  <w:num w:numId="27">
    <w:abstractNumId w:val="38"/>
  </w:num>
  <w:num w:numId="28">
    <w:abstractNumId w:val="9"/>
  </w:num>
  <w:num w:numId="29">
    <w:abstractNumId w:val="30"/>
  </w:num>
  <w:num w:numId="30">
    <w:abstractNumId w:val="18"/>
  </w:num>
  <w:num w:numId="31">
    <w:abstractNumId w:val="6"/>
  </w:num>
  <w:num w:numId="32">
    <w:abstractNumId w:val="19"/>
  </w:num>
  <w:num w:numId="33">
    <w:abstractNumId w:val="22"/>
  </w:num>
  <w:num w:numId="34">
    <w:abstractNumId w:val="10"/>
  </w:num>
  <w:num w:numId="35">
    <w:abstractNumId w:val="13"/>
  </w:num>
  <w:num w:numId="36">
    <w:abstractNumId w:val="16"/>
  </w:num>
  <w:num w:numId="37">
    <w:abstractNumId w:val="35"/>
  </w:num>
  <w:num w:numId="38">
    <w:abstractNumId w:val="1"/>
  </w:num>
  <w:num w:numId="39">
    <w:abstractNumId w:val="36"/>
  </w:num>
  <w:num w:numId="40">
    <w:abstractNumId w:val="15"/>
  </w:num>
  <w:num w:numId="41">
    <w:abstractNumId w:val="34"/>
  </w:num>
  <w:num w:numId="42">
    <w:abstractNumId w:val="42"/>
  </w:num>
  <w:num w:numId="43">
    <w:abstractNumId w:val="12"/>
  </w:num>
  <w:num w:numId="44">
    <w:abstractNumId w:val="0"/>
  </w:num>
  <w:num w:numId="4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FC2"/>
    <w:rsid w:val="000250C7"/>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82609"/>
    <w:rsid w:val="000851CC"/>
    <w:rsid w:val="00087F21"/>
    <w:rsid w:val="00091826"/>
    <w:rsid w:val="00093BE8"/>
    <w:rsid w:val="0009401D"/>
    <w:rsid w:val="000959BB"/>
    <w:rsid w:val="000A208F"/>
    <w:rsid w:val="000A3EA7"/>
    <w:rsid w:val="000A407B"/>
    <w:rsid w:val="000A68ED"/>
    <w:rsid w:val="000A7438"/>
    <w:rsid w:val="000B1E92"/>
    <w:rsid w:val="000B5FF1"/>
    <w:rsid w:val="000B609F"/>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3855"/>
    <w:rsid w:val="00126A4D"/>
    <w:rsid w:val="00127195"/>
    <w:rsid w:val="00127E45"/>
    <w:rsid w:val="00136839"/>
    <w:rsid w:val="0013760D"/>
    <w:rsid w:val="0014171F"/>
    <w:rsid w:val="001449AD"/>
    <w:rsid w:val="00144E3F"/>
    <w:rsid w:val="0014622C"/>
    <w:rsid w:val="00152348"/>
    <w:rsid w:val="0015456D"/>
    <w:rsid w:val="00155429"/>
    <w:rsid w:val="00155FA2"/>
    <w:rsid w:val="00161F1B"/>
    <w:rsid w:val="00162829"/>
    <w:rsid w:val="001652A7"/>
    <w:rsid w:val="00173A3F"/>
    <w:rsid w:val="00180548"/>
    <w:rsid w:val="00180AC4"/>
    <w:rsid w:val="00180CCE"/>
    <w:rsid w:val="0018267A"/>
    <w:rsid w:val="00182779"/>
    <w:rsid w:val="001830DF"/>
    <w:rsid w:val="00190CF7"/>
    <w:rsid w:val="00191387"/>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780C"/>
    <w:rsid w:val="001E25B9"/>
    <w:rsid w:val="001E49E0"/>
    <w:rsid w:val="001E7B5A"/>
    <w:rsid w:val="001F7412"/>
    <w:rsid w:val="0020090A"/>
    <w:rsid w:val="00202DFE"/>
    <w:rsid w:val="0020725B"/>
    <w:rsid w:val="00207C3D"/>
    <w:rsid w:val="002110F1"/>
    <w:rsid w:val="0021407D"/>
    <w:rsid w:val="0022116B"/>
    <w:rsid w:val="00221D20"/>
    <w:rsid w:val="00226CB6"/>
    <w:rsid w:val="00230812"/>
    <w:rsid w:val="00233B19"/>
    <w:rsid w:val="002356EA"/>
    <w:rsid w:val="002373A3"/>
    <w:rsid w:val="0024116D"/>
    <w:rsid w:val="00241B44"/>
    <w:rsid w:val="00241FA3"/>
    <w:rsid w:val="00243C99"/>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5EF6"/>
    <w:rsid w:val="002C69B4"/>
    <w:rsid w:val="002D0021"/>
    <w:rsid w:val="002D299D"/>
    <w:rsid w:val="002D3473"/>
    <w:rsid w:val="002D427E"/>
    <w:rsid w:val="002E3CEB"/>
    <w:rsid w:val="002F1956"/>
    <w:rsid w:val="002F3440"/>
    <w:rsid w:val="002F75A3"/>
    <w:rsid w:val="00303C2F"/>
    <w:rsid w:val="00305E53"/>
    <w:rsid w:val="003067CD"/>
    <w:rsid w:val="00307D85"/>
    <w:rsid w:val="003144EF"/>
    <w:rsid w:val="00326292"/>
    <w:rsid w:val="0032636F"/>
    <w:rsid w:val="00326415"/>
    <w:rsid w:val="00330937"/>
    <w:rsid w:val="00330F31"/>
    <w:rsid w:val="00334648"/>
    <w:rsid w:val="0033768C"/>
    <w:rsid w:val="00337938"/>
    <w:rsid w:val="00340769"/>
    <w:rsid w:val="00340D47"/>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B0EE9"/>
    <w:rsid w:val="003B170F"/>
    <w:rsid w:val="003B3847"/>
    <w:rsid w:val="003B3C5F"/>
    <w:rsid w:val="003C4471"/>
    <w:rsid w:val="003C5922"/>
    <w:rsid w:val="003C6597"/>
    <w:rsid w:val="003D0A6D"/>
    <w:rsid w:val="003D6B6A"/>
    <w:rsid w:val="003D7241"/>
    <w:rsid w:val="003E0B16"/>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34C2"/>
    <w:rsid w:val="00454129"/>
    <w:rsid w:val="0045446F"/>
    <w:rsid w:val="00454E2B"/>
    <w:rsid w:val="0045683E"/>
    <w:rsid w:val="0047497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6651"/>
    <w:rsid w:val="004D1A5A"/>
    <w:rsid w:val="004D2FFF"/>
    <w:rsid w:val="004D3721"/>
    <w:rsid w:val="004D4543"/>
    <w:rsid w:val="004D52A8"/>
    <w:rsid w:val="004D64F9"/>
    <w:rsid w:val="004E3A6B"/>
    <w:rsid w:val="004E408D"/>
    <w:rsid w:val="004E4ADF"/>
    <w:rsid w:val="004E622C"/>
    <w:rsid w:val="004F5FDF"/>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22F"/>
    <w:rsid w:val="00590C49"/>
    <w:rsid w:val="00590D6D"/>
    <w:rsid w:val="005925C2"/>
    <w:rsid w:val="00592F82"/>
    <w:rsid w:val="00595042"/>
    <w:rsid w:val="005A0CCA"/>
    <w:rsid w:val="005A6FF2"/>
    <w:rsid w:val="005A726D"/>
    <w:rsid w:val="005B4219"/>
    <w:rsid w:val="005B5C5F"/>
    <w:rsid w:val="005B6708"/>
    <w:rsid w:val="005B67AC"/>
    <w:rsid w:val="005B79F4"/>
    <w:rsid w:val="005C764D"/>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40DAD"/>
    <w:rsid w:val="00747162"/>
    <w:rsid w:val="007537B8"/>
    <w:rsid w:val="00754BBC"/>
    <w:rsid w:val="007603F5"/>
    <w:rsid w:val="00764DB0"/>
    <w:rsid w:val="0076764D"/>
    <w:rsid w:val="0077498C"/>
    <w:rsid w:val="007809BC"/>
    <w:rsid w:val="00784128"/>
    <w:rsid w:val="00785FE5"/>
    <w:rsid w:val="00787BCC"/>
    <w:rsid w:val="00793173"/>
    <w:rsid w:val="00796E9A"/>
    <w:rsid w:val="007A1C65"/>
    <w:rsid w:val="007A2A33"/>
    <w:rsid w:val="007B1AC4"/>
    <w:rsid w:val="007B5C89"/>
    <w:rsid w:val="007B7E06"/>
    <w:rsid w:val="007B7FAB"/>
    <w:rsid w:val="007C1FCC"/>
    <w:rsid w:val="007C6201"/>
    <w:rsid w:val="007D227D"/>
    <w:rsid w:val="007D6DF1"/>
    <w:rsid w:val="007D7C92"/>
    <w:rsid w:val="007E1154"/>
    <w:rsid w:val="007E3C8F"/>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2751"/>
    <w:rsid w:val="0082483F"/>
    <w:rsid w:val="008279C0"/>
    <w:rsid w:val="00830097"/>
    <w:rsid w:val="00832877"/>
    <w:rsid w:val="00844879"/>
    <w:rsid w:val="00851B6A"/>
    <w:rsid w:val="008619A1"/>
    <w:rsid w:val="0086705F"/>
    <w:rsid w:val="00867701"/>
    <w:rsid w:val="008723F3"/>
    <w:rsid w:val="00874FFA"/>
    <w:rsid w:val="00876F56"/>
    <w:rsid w:val="00881DE6"/>
    <w:rsid w:val="008837A6"/>
    <w:rsid w:val="008876C0"/>
    <w:rsid w:val="00887A07"/>
    <w:rsid w:val="0089145D"/>
    <w:rsid w:val="008924BF"/>
    <w:rsid w:val="00893A17"/>
    <w:rsid w:val="008942AB"/>
    <w:rsid w:val="008A0AD3"/>
    <w:rsid w:val="008A4DF2"/>
    <w:rsid w:val="008A6CFE"/>
    <w:rsid w:val="008B5333"/>
    <w:rsid w:val="008B6223"/>
    <w:rsid w:val="008C06AD"/>
    <w:rsid w:val="008C66E0"/>
    <w:rsid w:val="008C7904"/>
    <w:rsid w:val="008E3339"/>
    <w:rsid w:val="008E7AAE"/>
    <w:rsid w:val="008E7F55"/>
    <w:rsid w:val="008F20FC"/>
    <w:rsid w:val="008F4A35"/>
    <w:rsid w:val="008F5FFE"/>
    <w:rsid w:val="008F6C22"/>
    <w:rsid w:val="00903422"/>
    <w:rsid w:val="00905A43"/>
    <w:rsid w:val="00912C79"/>
    <w:rsid w:val="0091693A"/>
    <w:rsid w:val="00921B8C"/>
    <w:rsid w:val="00923EAD"/>
    <w:rsid w:val="00924D26"/>
    <w:rsid w:val="009309A0"/>
    <w:rsid w:val="009314AD"/>
    <w:rsid w:val="00940120"/>
    <w:rsid w:val="00942123"/>
    <w:rsid w:val="0095207B"/>
    <w:rsid w:val="00953349"/>
    <w:rsid w:val="00954B98"/>
    <w:rsid w:val="00954CBB"/>
    <w:rsid w:val="00962045"/>
    <w:rsid w:val="00962513"/>
    <w:rsid w:val="00962A92"/>
    <w:rsid w:val="009631DC"/>
    <w:rsid w:val="00965804"/>
    <w:rsid w:val="00973BEB"/>
    <w:rsid w:val="00973D65"/>
    <w:rsid w:val="00975CBB"/>
    <w:rsid w:val="00980E61"/>
    <w:rsid w:val="00985BF5"/>
    <w:rsid w:val="009874AD"/>
    <w:rsid w:val="00991428"/>
    <w:rsid w:val="00992676"/>
    <w:rsid w:val="009954B2"/>
    <w:rsid w:val="00996691"/>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2274A"/>
    <w:rsid w:val="00A235B7"/>
    <w:rsid w:val="00A27A7A"/>
    <w:rsid w:val="00A27D47"/>
    <w:rsid w:val="00A3105E"/>
    <w:rsid w:val="00A34ABE"/>
    <w:rsid w:val="00A407EF"/>
    <w:rsid w:val="00A41122"/>
    <w:rsid w:val="00A44146"/>
    <w:rsid w:val="00A44EE1"/>
    <w:rsid w:val="00A46B4C"/>
    <w:rsid w:val="00A50F0E"/>
    <w:rsid w:val="00A5117B"/>
    <w:rsid w:val="00A54B03"/>
    <w:rsid w:val="00A55A47"/>
    <w:rsid w:val="00A56D34"/>
    <w:rsid w:val="00A60074"/>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4BE8"/>
    <w:rsid w:val="00AD6545"/>
    <w:rsid w:val="00AE1A12"/>
    <w:rsid w:val="00AE1DA9"/>
    <w:rsid w:val="00AE5EB6"/>
    <w:rsid w:val="00AF228E"/>
    <w:rsid w:val="00AF4CE5"/>
    <w:rsid w:val="00B016A8"/>
    <w:rsid w:val="00B14819"/>
    <w:rsid w:val="00B15E2F"/>
    <w:rsid w:val="00B17AA9"/>
    <w:rsid w:val="00B22A28"/>
    <w:rsid w:val="00B24839"/>
    <w:rsid w:val="00B401D6"/>
    <w:rsid w:val="00B404F6"/>
    <w:rsid w:val="00B44713"/>
    <w:rsid w:val="00B46C4B"/>
    <w:rsid w:val="00B50944"/>
    <w:rsid w:val="00B517AE"/>
    <w:rsid w:val="00B51B95"/>
    <w:rsid w:val="00B56103"/>
    <w:rsid w:val="00B61534"/>
    <w:rsid w:val="00B64929"/>
    <w:rsid w:val="00B6780F"/>
    <w:rsid w:val="00B71885"/>
    <w:rsid w:val="00B736DF"/>
    <w:rsid w:val="00B743D6"/>
    <w:rsid w:val="00B74FBD"/>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7DFD"/>
    <w:rsid w:val="00BC24AD"/>
    <w:rsid w:val="00BC56F4"/>
    <w:rsid w:val="00BD545E"/>
    <w:rsid w:val="00BD5C7A"/>
    <w:rsid w:val="00BE4FF3"/>
    <w:rsid w:val="00BF2335"/>
    <w:rsid w:val="00BF50F7"/>
    <w:rsid w:val="00C02F29"/>
    <w:rsid w:val="00C03ED0"/>
    <w:rsid w:val="00C100C3"/>
    <w:rsid w:val="00C14675"/>
    <w:rsid w:val="00C17718"/>
    <w:rsid w:val="00C20AFE"/>
    <w:rsid w:val="00C22A25"/>
    <w:rsid w:val="00C24907"/>
    <w:rsid w:val="00C35671"/>
    <w:rsid w:val="00C35B77"/>
    <w:rsid w:val="00C376EB"/>
    <w:rsid w:val="00C434C3"/>
    <w:rsid w:val="00C45305"/>
    <w:rsid w:val="00C46A92"/>
    <w:rsid w:val="00C46EC1"/>
    <w:rsid w:val="00C52796"/>
    <w:rsid w:val="00C53E2C"/>
    <w:rsid w:val="00C550C8"/>
    <w:rsid w:val="00C55824"/>
    <w:rsid w:val="00C56B61"/>
    <w:rsid w:val="00C606C3"/>
    <w:rsid w:val="00C61146"/>
    <w:rsid w:val="00C620F4"/>
    <w:rsid w:val="00C6409D"/>
    <w:rsid w:val="00C72848"/>
    <w:rsid w:val="00C7736C"/>
    <w:rsid w:val="00C82D87"/>
    <w:rsid w:val="00C8712A"/>
    <w:rsid w:val="00C902C8"/>
    <w:rsid w:val="00C919D1"/>
    <w:rsid w:val="00C963D3"/>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6F06"/>
    <w:rsid w:val="00D17FDC"/>
    <w:rsid w:val="00D21D8C"/>
    <w:rsid w:val="00D40B41"/>
    <w:rsid w:val="00D41FDB"/>
    <w:rsid w:val="00D42444"/>
    <w:rsid w:val="00D522CF"/>
    <w:rsid w:val="00D53719"/>
    <w:rsid w:val="00D61596"/>
    <w:rsid w:val="00D63EFD"/>
    <w:rsid w:val="00D84752"/>
    <w:rsid w:val="00D86B3B"/>
    <w:rsid w:val="00D8748A"/>
    <w:rsid w:val="00D91AFC"/>
    <w:rsid w:val="00D923AA"/>
    <w:rsid w:val="00D93196"/>
    <w:rsid w:val="00D93DF0"/>
    <w:rsid w:val="00D97A68"/>
    <w:rsid w:val="00DA0DC0"/>
    <w:rsid w:val="00DA3183"/>
    <w:rsid w:val="00DA5234"/>
    <w:rsid w:val="00DB243C"/>
    <w:rsid w:val="00DB482A"/>
    <w:rsid w:val="00DB50FB"/>
    <w:rsid w:val="00DB56F2"/>
    <w:rsid w:val="00DB6EF5"/>
    <w:rsid w:val="00DC0163"/>
    <w:rsid w:val="00DC1A02"/>
    <w:rsid w:val="00DC29AC"/>
    <w:rsid w:val="00DC2A58"/>
    <w:rsid w:val="00DC3089"/>
    <w:rsid w:val="00DC4420"/>
    <w:rsid w:val="00DD0802"/>
    <w:rsid w:val="00DD2E11"/>
    <w:rsid w:val="00DE03AF"/>
    <w:rsid w:val="00DE121C"/>
    <w:rsid w:val="00DE498F"/>
    <w:rsid w:val="00DE6633"/>
    <w:rsid w:val="00DE6A6E"/>
    <w:rsid w:val="00DE7516"/>
    <w:rsid w:val="00DF2D3C"/>
    <w:rsid w:val="00DF75F8"/>
    <w:rsid w:val="00DF7A3A"/>
    <w:rsid w:val="00E00C00"/>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5572"/>
    <w:rsid w:val="00F033DA"/>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B7FBD"/>
    <w:rsid w:val="00FC0C23"/>
    <w:rsid w:val="00FC374A"/>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2305</Words>
  <Characters>11413</Characters>
  <Application>Microsoft Office Word</Application>
  <DocSecurity>0</DocSecurity>
  <Lines>292</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2021-09-07T09:13:00Z</dcterms:created>
  <dcterms:modified xsi:type="dcterms:W3CDTF">2021-09-07T09:24:00Z</dcterms:modified>
</cp:coreProperties>
</file>