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A96B5A" w:rsidRDefault="00930EFF" w:rsidP="00930EFF">
      <w:pPr>
        <w:pStyle w:val="ListParagraph"/>
        <w:numPr>
          <w:ilvl w:val="0"/>
          <w:numId w:val="2"/>
        </w:numPr>
        <w:ind w:left="426"/>
        <w:jc w:val="both"/>
        <w:rPr>
          <w:rFonts w:ascii="Avenir Next" w:hAnsi="Avenir Next" w:cs="Arial"/>
          <w:sz w:val="22"/>
          <w:szCs w:val="22"/>
        </w:rPr>
      </w:pPr>
      <w:r w:rsidRPr="00A96B5A">
        <w:rPr>
          <w:rFonts w:ascii="Avenir Next" w:hAnsi="Avenir Next" w:cs="Arial"/>
          <w:sz w:val="22"/>
          <w:szCs w:val="22"/>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lastRenderedPageBreak/>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w:t>
      </w:r>
      <w:proofErr w:type="spellStart"/>
      <w:r>
        <w:rPr>
          <w:rFonts w:ascii="Avenir Next" w:hAnsi="Avenir Next" w:cs="Arial"/>
          <w:sz w:val="22"/>
          <w:szCs w:val="22"/>
        </w:rPr>
        <w:t>i</w:t>
      </w:r>
      <w:proofErr w:type="spellEnd"/>
      <w:r>
        <w:rPr>
          <w:rFonts w:ascii="Avenir Next" w:hAnsi="Avenir Next" w:cs="Arial"/>
          <w:sz w:val="22"/>
          <w:szCs w:val="22"/>
        </w:rPr>
        <w:t xml:space="preserve">),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A96B5A" w:rsidRDefault="00930EFF" w:rsidP="00930EFF">
      <w:pPr>
        <w:pStyle w:val="ListParagraph"/>
        <w:numPr>
          <w:ilvl w:val="0"/>
          <w:numId w:val="9"/>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A96B5A" w:rsidRDefault="00930EFF" w:rsidP="00930EFF">
      <w:pPr>
        <w:pStyle w:val="ListParagraph"/>
        <w:numPr>
          <w:ilvl w:val="0"/>
          <w:numId w:val="42"/>
        </w:numPr>
        <w:ind w:left="426"/>
        <w:jc w:val="both"/>
        <w:rPr>
          <w:rFonts w:ascii="Avenir Next" w:hAnsi="Avenir Next" w:cs="Arial"/>
          <w:sz w:val="22"/>
          <w:szCs w:val="22"/>
        </w:rPr>
      </w:pPr>
      <w:r w:rsidRPr="00A96B5A">
        <w:rPr>
          <w:rFonts w:ascii="Avenir Next" w:hAnsi="Avenir Next" w:cs="Arial"/>
          <w:sz w:val="22"/>
          <w:szCs w:val="22"/>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w:t>
      </w:r>
      <w:proofErr w:type="spellStart"/>
      <w:r w:rsidRPr="009904EE">
        <w:rPr>
          <w:rFonts w:ascii="Avenir Next" w:hAnsi="Avenir Next" w:cs="Arial"/>
          <w:sz w:val="22"/>
          <w:szCs w:val="22"/>
        </w:rPr>
        <w:t>i</w:t>
      </w:r>
      <w:proofErr w:type="spellEnd"/>
      <w:r w:rsidRPr="009904EE">
        <w:rPr>
          <w:rFonts w:ascii="Avenir Next" w:hAnsi="Avenir Next" w:cs="Arial"/>
          <w:sz w:val="22"/>
          <w:szCs w:val="22"/>
        </w:rPr>
        <w:t>).</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lastRenderedPageBreak/>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A96B5A" w:rsidRDefault="00930EFF" w:rsidP="00930EFF">
      <w:pPr>
        <w:pStyle w:val="ListParagraph"/>
        <w:numPr>
          <w:ilvl w:val="0"/>
          <w:numId w:val="4"/>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A96B5A" w:rsidRDefault="00930EFF" w:rsidP="00930EFF">
      <w:pPr>
        <w:pStyle w:val="ListParagraph"/>
        <w:numPr>
          <w:ilvl w:val="0"/>
          <w:numId w:val="13"/>
        </w:numPr>
        <w:ind w:left="426"/>
        <w:jc w:val="both"/>
        <w:rPr>
          <w:rFonts w:ascii="Avenir Next" w:hAnsi="Avenir Next" w:cs="Arial"/>
          <w:sz w:val="22"/>
          <w:szCs w:val="22"/>
        </w:rPr>
      </w:pPr>
      <w:r w:rsidRPr="00A96B5A">
        <w:rPr>
          <w:rFonts w:ascii="Avenir Next" w:hAnsi="Avenir Next" w:cs="Arial"/>
          <w:sz w:val="22"/>
          <w:szCs w:val="22"/>
        </w:rPr>
        <w:t>Options (</w:t>
      </w:r>
      <w:proofErr w:type="spellStart"/>
      <w:r w:rsidRPr="00A96B5A">
        <w:rPr>
          <w:rFonts w:ascii="Avenir Next" w:hAnsi="Avenir Next" w:cs="Arial"/>
          <w:sz w:val="22"/>
          <w:szCs w:val="22"/>
        </w:rPr>
        <w:t>i</w:t>
      </w:r>
      <w:proofErr w:type="spellEnd"/>
      <w:r w:rsidRPr="00A96B5A">
        <w:rPr>
          <w:rFonts w:ascii="Avenir Next" w:hAnsi="Avenir Next" w:cs="Arial"/>
          <w:sz w:val="22"/>
          <w:szCs w:val="22"/>
        </w:rPr>
        <w:t>),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A96B5A" w:rsidRDefault="00930EFF" w:rsidP="00930EFF">
      <w:pPr>
        <w:pStyle w:val="ListParagraph"/>
        <w:numPr>
          <w:ilvl w:val="0"/>
          <w:numId w:val="15"/>
        </w:numPr>
        <w:ind w:left="426"/>
        <w:jc w:val="both"/>
        <w:rPr>
          <w:rFonts w:ascii="Avenir Next" w:hAnsi="Avenir Next" w:cs="Arial"/>
          <w:sz w:val="22"/>
          <w:szCs w:val="22"/>
        </w:rPr>
      </w:pPr>
      <w:r w:rsidRPr="00A96B5A">
        <w:rPr>
          <w:rFonts w:ascii="Avenir Next" w:hAnsi="Avenir Next" w:cs="Arial"/>
          <w:sz w:val="22"/>
          <w:szCs w:val="22"/>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A96B5A" w:rsidRDefault="00930EFF" w:rsidP="00930EFF">
      <w:pPr>
        <w:pStyle w:val="ListParagraph"/>
        <w:numPr>
          <w:ilvl w:val="0"/>
          <w:numId w:val="34"/>
        </w:numPr>
        <w:ind w:left="426"/>
        <w:jc w:val="both"/>
        <w:rPr>
          <w:rFonts w:ascii="Avenir Next" w:hAnsi="Avenir Next" w:cs="Arial"/>
          <w:sz w:val="22"/>
          <w:szCs w:val="22"/>
        </w:rPr>
      </w:pPr>
      <w:r w:rsidRPr="00A96B5A">
        <w:rPr>
          <w:rFonts w:ascii="Avenir Next" w:hAnsi="Avenir Next" w:cs="Arial"/>
          <w:sz w:val="22"/>
          <w:szCs w:val="22"/>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A96B5A" w:rsidRDefault="00930EFF" w:rsidP="00930EFF">
      <w:pPr>
        <w:pStyle w:val="ListParagraph"/>
        <w:numPr>
          <w:ilvl w:val="0"/>
          <w:numId w:val="32"/>
        </w:numPr>
        <w:ind w:left="426"/>
        <w:jc w:val="both"/>
        <w:rPr>
          <w:rFonts w:ascii="Avenir Next" w:hAnsi="Avenir Next" w:cs="Arial"/>
          <w:sz w:val="22"/>
          <w:szCs w:val="22"/>
        </w:rPr>
      </w:pPr>
      <w:r w:rsidRPr="00A96B5A">
        <w:rPr>
          <w:rFonts w:ascii="Avenir Next" w:hAnsi="Avenir Next" w:cs="Arial"/>
          <w:sz w:val="22"/>
          <w:szCs w:val="22"/>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2071308F" w14:textId="3160AF19" w:rsidR="00240ADF" w:rsidRDefault="00240ADF" w:rsidP="00930EFF">
      <w:pPr>
        <w:pStyle w:val="ListParagraph"/>
        <w:ind w:left="426"/>
        <w:jc w:val="both"/>
        <w:rPr>
          <w:rFonts w:ascii="Avenir Next" w:hAnsi="Avenir Next" w:cs="Arial"/>
          <w:sz w:val="22"/>
          <w:szCs w:val="22"/>
        </w:rPr>
      </w:pPr>
    </w:p>
    <w:p w14:paraId="652A210E" w14:textId="77777777" w:rsidR="00240ADF" w:rsidRPr="005E149B" w:rsidRDefault="00240AD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lastRenderedPageBreak/>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w:t>
      </w:r>
      <w:proofErr w:type="spellStart"/>
      <w:r>
        <w:rPr>
          <w:rFonts w:ascii="Avenir Next" w:hAnsi="Avenir Next" w:cs="Arial"/>
          <w:sz w:val="22"/>
          <w:szCs w:val="22"/>
        </w:rPr>
        <w:t>i</w:t>
      </w:r>
      <w:proofErr w:type="spellEnd"/>
      <w:r>
        <w:rPr>
          <w:rFonts w:ascii="Avenir Next" w:hAnsi="Avenir Next" w:cs="Arial"/>
          <w:sz w:val="22"/>
          <w:szCs w:val="22"/>
        </w:rPr>
        <w:t>),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i) and (iv</w:t>
      </w:r>
      <w:r w:rsidRPr="00B87DBA">
        <w:rPr>
          <w:rFonts w:ascii="Avenir Next" w:hAnsi="Avenir Next" w:cs="Arial"/>
          <w:sz w:val="22"/>
          <w:szCs w:val="22"/>
        </w:rPr>
        <w:t>).</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All of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A96B5A" w:rsidRDefault="00930EFF" w:rsidP="00930EFF">
      <w:pPr>
        <w:pStyle w:val="ListParagraph"/>
        <w:numPr>
          <w:ilvl w:val="0"/>
          <w:numId w:val="38"/>
        </w:numPr>
        <w:ind w:left="426"/>
        <w:rPr>
          <w:rFonts w:ascii="Avenir Next" w:hAnsi="Avenir Next" w:cs="Arial"/>
          <w:sz w:val="22"/>
          <w:szCs w:val="22"/>
          <w:lang w:val="en-GB"/>
        </w:rPr>
      </w:pPr>
      <w:r w:rsidRPr="00A96B5A">
        <w:rPr>
          <w:rFonts w:ascii="Avenir Next" w:hAnsi="Avenir Next" w:cs="Arial"/>
          <w:sz w:val="22"/>
          <w:szCs w:val="22"/>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39072EE7" w14:textId="1C430129" w:rsidR="00930EFF" w:rsidRDefault="00930EFF" w:rsidP="00930EFF">
      <w:pPr>
        <w:rPr>
          <w:rFonts w:ascii="Avenir Next" w:hAnsi="Avenir Next" w:cs="Arial"/>
          <w:sz w:val="22"/>
          <w:szCs w:val="22"/>
          <w:lang w:val="en-GB"/>
        </w:rPr>
      </w:pPr>
    </w:p>
    <w:p w14:paraId="51904B06" w14:textId="279B09CF" w:rsidR="00240ADF" w:rsidRDefault="00240ADF" w:rsidP="00930EFF">
      <w:pPr>
        <w:rPr>
          <w:rFonts w:ascii="Avenir Next" w:hAnsi="Avenir Next" w:cs="Arial"/>
          <w:sz w:val="22"/>
          <w:szCs w:val="22"/>
          <w:lang w:val="en-GB"/>
        </w:rPr>
      </w:pPr>
    </w:p>
    <w:p w14:paraId="01D421DF" w14:textId="4224090E" w:rsidR="00240ADF" w:rsidRDefault="00240ADF" w:rsidP="00930EFF">
      <w:pPr>
        <w:rPr>
          <w:rFonts w:ascii="Avenir Next" w:hAnsi="Avenir Next" w:cs="Arial"/>
          <w:sz w:val="22"/>
          <w:szCs w:val="22"/>
          <w:lang w:val="en-GB"/>
        </w:rPr>
      </w:pPr>
    </w:p>
    <w:p w14:paraId="7B7C3BE5" w14:textId="6812C0EB" w:rsidR="00240ADF" w:rsidRDefault="00240ADF" w:rsidP="00930EFF">
      <w:pPr>
        <w:rPr>
          <w:rFonts w:ascii="Avenir Next" w:hAnsi="Avenir Next" w:cs="Arial"/>
          <w:sz w:val="22"/>
          <w:szCs w:val="22"/>
          <w:lang w:val="en-GB"/>
        </w:rPr>
      </w:pPr>
    </w:p>
    <w:p w14:paraId="327FD39C" w14:textId="6CE5D226" w:rsidR="00240ADF" w:rsidRDefault="00240AD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152102AC" w14:textId="34AA0B36" w:rsidR="00A96B5A" w:rsidRPr="00A96B5A" w:rsidRDefault="00A96B5A" w:rsidP="00930EFF">
      <w:pPr>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1EBD16C9" w14:textId="77777777" w:rsidR="00930EFF" w:rsidRPr="00B87DBA" w:rsidRDefault="00930EFF" w:rsidP="00930EFF">
      <w:pPr>
        <w:jc w:val="both"/>
        <w:rPr>
          <w:rFonts w:ascii="Avenir Next" w:hAnsi="Avenir Next" w:cs="Arial"/>
          <w:sz w:val="22"/>
          <w:szCs w:val="22"/>
          <w:lang w:val="en-GB"/>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46B7D916" w14:textId="77777777" w:rsidR="00A96B5A" w:rsidRPr="00A96B5A" w:rsidRDefault="00A96B5A" w:rsidP="00A96B5A">
      <w:pPr>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333D0364" w14:textId="77777777" w:rsidR="00A96B5A" w:rsidRPr="00A96B5A" w:rsidRDefault="00A96B5A" w:rsidP="00930EFF">
      <w:pPr>
        <w:jc w:val="both"/>
        <w:rPr>
          <w:rFonts w:ascii="Avenir Next" w:hAnsi="Avenir Next" w:cs="Arial"/>
          <w:sz w:val="22"/>
          <w:szCs w:val="22"/>
          <w:lang w:val="en-GB"/>
        </w:rPr>
      </w:pP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3B94496F" w14:textId="77777777" w:rsidR="00A96B5A" w:rsidRPr="00A96B5A" w:rsidRDefault="00A96B5A" w:rsidP="00A96B5A">
      <w:pPr>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2F67C4EA" w14:textId="77777777" w:rsidR="00A96B5A" w:rsidRPr="007426E5" w:rsidRDefault="00A96B5A" w:rsidP="00930EFF">
      <w:pPr>
        <w:rPr>
          <w:rFonts w:ascii="Avenir Next" w:hAnsi="Avenir Next" w:cs="Arial"/>
          <w:bCs/>
          <w:color w:val="000000" w:themeColor="text1"/>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7D171649" w14:textId="77777777" w:rsidR="007426E5" w:rsidRPr="00A96B5A" w:rsidRDefault="007426E5" w:rsidP="007426E5">
      <w:pPr>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r w:rsidRPr="003D37BA">
        <w:rPr>
          <w:rFonts w:ascii="Avenir Next" w:hAnsi="Avenir Next" w:cs="Arial"/>
          <w:i/>
          <w:iCs/>
          <w:sz w:val="22"/>
          <w:szCs w:val="22"/>
          <w:lang w:val="en-GB"/>
        </w:rPr>
        <w:t>Désastre</w:t>
      </w:r>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210742A4" w14:textId="77777777" w:rsidR="007426E5" w:rsidRPr="00A96B5A" w:rsidRDefault="007426E5" w:rsidP="007426E5">
      <w:pPr>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14AF3815" w14:textId="4E1B3E1B" w:rsidR="007426E5" w:rsidRDefault="007426E5" w:rsidP="00930EFF">
      <w:pPr>
        <w:rPr>
          <w:rFonts w:ascii="Avenir Next" w:hAnsi="Avenir Next" w:cs="Arial"/>
          <w:bCs/>
          <w:color w:val="000000" w:themeColor="text1"/>
          <w:sz w:val="22"/>
          <w:szCs w:val="22"/>
          <w:lang w:val="en-GB"/>
        </w:rPr>
      </w:pPr>
    </w:p>
    <w:p w14:paraId="062A6B5A" w14:textId="2465117F" w:rsidR="007426E5" w:rsidRDefault="007426E5" w:rsidP="00930EFF">
      <w:pPr>
        <w:rPr>
          <w:rFonts w:ascii="Avenir Next" w:hAnsi="Avenir Next" w:cs="Arial"/>
          <w:bCs/>
          <w:color w:val="000000" w:themeColor="text1"/>
          <w:sz w:val="22"/>
          <w:szCs w:val="22"/>
          <w:lang w:val="en-GB"/>
        </w:rPr>
      </w:pPr>
    </w:p>
    <w:p w14:paraId="545CF8A5" w14:textId="0DBBC509" w:rsidR="007426E5" w:rsidRDefault="007426E5" w:rsidP="00930EFF">
      <w:pPr>
        <w:rPr>
          <w:rFonts w:ascii="Avenir Next" w:hAnsi="Avenir Next" w:cs="Arial"/>
          <w:bCs/>
          <w:color w:val="000000" w:themeColor="text1"/>
          <w:sz w:val="22"/>
          <w:szCs w:val="22"/>
          <w:lang w:val="en-GB"/>
        </w:rPr>
      </w:pPr>
    </w:p>
    <w:p w14:paraId="77829DBE" w14:textId="68EA7A0E"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11821AE4" w14:textId="77777777" w:rsidR="007426E5" w:rsidRPr="00A96B5A" w:rsidRDefault="007426E5" w:rsidP="007426E5">
      <w:pPr>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13CE948A" w14:textId="474E4C42" w:rsidR="00930EFF" w:rsidRDefault="00930EFF" w:rsidP="00930EFF">
      <w:pPr>
        <w:jc w:val="both"/>
        <w:rPr>
          <w:rFonts w:ascii="Avenir Next" w:hAnsi="Avenir Next" w:cs="Arial"/>
          <w:b/>
          <w:bCs/>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235153E0" w14:textId="77777777" w:rsidR="005155D2" w:rsidRPr="00A96B5A" w:rsidRDefault="005155D2" w:rsidP="005155D2">
      <w:pPr>
        <w:ind w:left="426"/>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lastRenderedPageBreak/>
        <w:t>[Type your answer here]</w:t>
      </w:r>
    </w:p>
    <w:p w14:paraId="511B5311" w14:textId="020B79DE" w:rsidR="0019225A" w:rsidRDefault="0019225A" w:rsidP="00930EFF">
      <w:pPr>
        <w:pStyle w:val="ListParagraph"/>
        <w:ind w:left="426"/>
        <w:jc w:val="both"/>
        <w:rPr>
          <w:rFonts w:ascii="Avenir Next" w:eastAsia="Calibri" w:hAnsi="Avenir Next" w:cs="Arial"/>
          <w:sz w:val="22"/>
          <w:szCs w:val="22"/>
          <w:lang w:val="en-GB"/>
        </w:rPr>
      </w:pP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521553C5" w14:textId="77777777" w:rsidR="005155D2" w:rsidRPr="00A96B5A" w:rsidRDefault="005155D2" w:rsidP="005155D2">
      <w:pPr>
        <w:ind w:left="426"/>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140DAE7F" w14:textId="26818699" w:rsidR="00930EFF" w:rsidRPr="00EB6F3A" w:rsidRDefault="00930EFF" w:rsidP="00EB6F3A">
      <w:pPr>
        <w:pStyle w:val="ListParagraph"/>
        <w:ind w:left="426"/>
        <w:jc w:val="both"/>
        <w:rPr>
          <w:rFonts w:ascii="Avenir Next" w:hAnsi="Avenir Next" w:cs="Arial"/>
          <w:i/>
          <w:iCs/>
          <w:color w:val="808080" w:themeColor="background1" w:themeShade="80"/>
          <w:sz w:val="22"/>
          <w:szCs w:val="22"/>
          <w:lang w:val="en-GB"/>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43F625F5" w14:textId="77777777" w:rsidR="005155D2" w:rsidRPr="00A96B5A" w:rsidRDefault="005155D2" w:rsidP="005155D2">
      <w:pPr>
        <w:ind w:left="426"/>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016D1A3B" w14:textId="77777777" w:rsidR="005155D2" w:rsidRPr="00A96B5A" w:rsidRDefault="005155D2" w:rsidP="005155D2">
      <w:pPr>
        <w:ind w:left="426"/>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77777777" w:rsidR="005155D2" w:rsidRPr="00A96B5A" w:rsidRDefault="005155D2" w:rsidP="005155D2">
      <w:pPr>
        <w:ind w:left="426"/>
        <w:jc w:val="both"/>
        <w:rPr>
          <w:rFonts w:ascii="Avenir Next" w:hAnsi="Avenir Next" w:cs="Arial"/>
          <w:color w:val="808080" w:themeColor="background1" w:themeShade="80"/>
          <w:sz w:val="22"/>
          <w:szCs w:val="22"/>
          <w:lang w:val="en-GB"/>
        </w:rPr>
      </w:pPr>
      <w:r w:rsidRPr="00A96B5A">
        <w:rPr>
          <w:rFonts w:ascii="Avenir Next" w:hAnsi="Avenir Next" w:cs="Arial"/>
          <w:color w:val="808080" w:themeColor="background1" w:themeShade="80"/>
          <w:sz w:val="22"/>
          <w:szCs w:val="22"/>
          <w:lang w:val="en-GB"/>
        </w:rPr>
        <w:t>[Type your answer here]</w:t>
      </w: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
    <w:panose1 w:val="020B0503020202020204"/>
    <w:charset w:val="00"/>
    <w:family w:val="swiss"/>
    <w:pitch w:val="variable"/>
    <w:sig w:usb0="8000002F" w:usb1="5000204A" w:usb2="00000000" w:usb3="00000000" w:csb0="0000009B"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F74E21"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5"/>
  </w:num>
  <w:num w:numId="4">
    <w:abstractNumId w:val="30"/>
  </w:num>
  <w:num w:numId="5">
    <w:abstractNumId w:val="42"/>
  </w:num>
  <w:num w:numId="6">
    <w:abstractNumId w:val="26"/>
  </w:num>
  <w:num w:numId="7">
    <w:abstractNumId w:val="33"/>
  </w:num>
  <w:num w:numId="8">
    <w:abstractNumId w:val="11"/>
  </w:num>
  <w:num w:numId="9">
    <w:abstractNumId w:val="19"/>
  </w:num>
  <w:num w:numId="10">
    <w:abstractNumId w:val="4"/>
  </w:num>
  <w:num w:numId="11">
    <w:abstractNumId w:val="38"/>
  </w:num>
  <w:num w:numId="12">
    <w:abstractNumId w:val="36"/>
  </w:num>
  <w:num w:numId="13">
    <w:abstractNumId w:val="15"/>
  </w:num>
  <w:num w:numId="14">
    <w:abstractNumId w:val="0"/>
  </w:num>
  <w:num w:numId="15">
    <w:abstractNumId w:val="28"/>
  </w:num>
  <w:num w:numId="16">
    <w:abstractNumId w:val="25"/>
  </w:num>
  <w:num w:numId="17">
    <w:abstractNumId w:val="41"/>
  </w:num>
  <w:num w:numId="18">
    <w:abstractNumId w:val="40"/>
  </w:num>
  <w:num w:numId="19">
    <w:abstractNumId w:val="17"/>
  </w:num>
  <w:num w:numId="20">
    <w:abstractNumId w:val="24"/>
  </w:num>
  <w:num w:numId="21">
    <w:abstractNumId w:val="3"/>
  </w:num>
  <w:num w:numId="22">
    <w:abstractNumId w:val="16"/>
  </w:num>
  <w:num w:numId="23">
    <w:abstractNumId w:val="29"/>
  </w:num>
  <w:num w:numId="24">
    <w:abstractNumId w:val="39"/>
  </w:num>
  <w:num w:numId="25">
    <w:abstractNumId w:val="27"/>
  </w:num>
  <w:num w:numId="26">
    <w:abstractNumId w:val="14"/>
  </w:num>
  <w:num w:numId="27">
    <w:abstractNumId w:val="21"/>
  </w:num>
  <w:num w:numId="28">
    <w:abstractNumId w:val="7"/>
  </w:num>
  <w:num w:numId="29">
    <w:abstractNumId w:val="9"/>
  </w:num>
  <w:num w:numId="30">
    <w:abstractNumId w:val="13"/>
  </w:num>
  <w:num w:numId="31">
    <w:abstractNumId w:val="32"/>
  </w:num>
  <w:num w:numId="32">
    <w:abstractNumId w:val="37"/>
  </w:num>
  <w:num w:numId="33">
    <w:abstractNumId w:val="6"/>
  </w:num>
  <w:num w:numId="34">
    <w:abstractNumId w:val="23"/>
  </w:num>
  <w:num w:numId="35">
    <w:abstractNumId w:val="10"/>
  </w:num>
  <w:num w:numId="36">
    <w:abstractNumId w:val="2"/>
  </w:num>
  <w:num w:numId="37">
    <w:abstractNumId w:val="1"/>
  </w:num>
  <w:num w:numId="38">
    <w:abstractNumId w:val="34"/>
  </w:num>
  <w:num w:numId="39">
    <w:abstractNumId w:val="22"/>
  </w:num>
  <w:num w:numId="40">
    <w:abstractNumId w:val="12"/>
  </w:num>
  <w:num w:numId="41">
    <w:abstractNumId w:val="20"/>
  </w:num>
  <w:num w:numId="42">
    <w:abstractNumId w:val="18"/>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43FA"/>
    <w:rsid w:val="000A68ED"/>
    <w:rsid w:val="000A6D56"/>
    <w:rsid w:val="000A7438"/>
    <w:rsid w:val="000B1E92"/>
    <w:rsid w:val="000B5E37"/>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1362"/>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5A20"/>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A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96B5A"/>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2022-10-06T15:32:00Z</dcterms:created>
  <dcterms:modified xsi:type="dcterms:W3CDTF">2022-10-06T15:40:00Z</dcterms:modified>
</cp:coreProperties>
</file>