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AD35E0" w:rsidRDefault="00F746D8" w:rsidP="00F746D8">
      <w:pPr>
        <w:pStyle w:val="ListParagraph"/>
        <w:numPr>
          <w:ilvl w:val="0"/>
          <w:numId w:val="26"/>
        </w:numPr>
        <w:ind w:left="426"/>
        <w:jc w:val="both"/>
        <w:rPr>
          <w:rFonts w:ascii="Avenir Next" w:hAnsi="Avenir Next" w:cs="Arial"/>
          <w:sz w:val="22"/>
          <w:szCs w:val="22"/>
          <w:lang w:val="en-GB"/>
        </w:rPr>
      </w:pPr>
      <w:r w:rsidRPr="00AD35E0">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ListParagraph"/>
        <w:numPr>
          <w:ilvl w:val="0"/>
          <w:numId w:val="3"/>
        </w:numPr>
        <w:ind w:left="426"/>
        <w:jc w:val="both"/>
        <w:rPr>
          <w:rFonts w:ascii="Avenir Next" w:hAnsi="Avenir Next" w:cs="Arial"/>
          <w:iCs/>
          <w:sz w:val="22"/>
          <w:szCs w:val="22"/>
          <w:lang w:val="en-GB"/>
        </w:rPr>
      </w:pPr>
      <w:r w:rsidRPr="00AD35E0">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AD35E0" w:rsidRDefault="00F746D8" w:rsidP="00F746D8">
      <w:pPr>
        <w:pStyle w:val="ListParagraph"/>
        <w:numPr>
          <w:ilvl w:val="0"/>
          <w:numId w:val="27"/>
        </w:numPr>
        <w:ind w:left="426"/>
        <w:jc w:val="both"/>
        <w:rPr>
          <w:rFonts w:ascii="Avenir Next" w:hAnsi="Avenir Next"/>
          <w:sz w:val="22"/>
          <w:lang w:val="en-GB"/>
        </w:rPr>
      </w:pPr>
      <w:r w:rsidRPr="00AD35E0">
        <w:rPr>
          <w:rFonts w:ascii="Avenir Next" w:hAnsi="Avenir Next"/>
          <w:sz w:val="22"/>
          <w:lang w:val="en-GB"/>
        </w:rPr>
        <w:t xml:space="preserve">The EIR 2000 </w:t>
      </w:r>
      <w:r w:rsidRPr="00AD35E0">
        <w:rPr>
          <w:rFonts w:ascii="Avenir Next" w:hAnsi="Avenir Next" w:cs="Arial"/>
          <w:iCs/>
          <w:sz w:val="22"/>
          <w:szCs w:val="22"/>
          <w:lang w:val="en-GB"/>
        </w:rPr>
        <w:t xml:space="preserve">was generally considered a successful instrument, but areas of improvement had been identified over the years by practitioners and academics.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AD35E0" w:rsidRDefault="00F746D8" w:rsidP="00F746D8">
      <w:pPr>
        <w:pStyle w:val="ListParagraph"/>
        <w:numPr>
          <w:ilvl w:val="0"/>
          <w:numId w:val="5"/>
        </w:numPr>
        <w:ind w:left="426"/>
        <w:jc w:val="both"/>
        <w:rPr>
          <w:rFonts w:ascii="Avenir Next" w:hAnsi="Avenir Next" w:cs="Arial"/>
          <w:sz w:val="22"/>
          <w:szCs w:val="22"/>
          <w:lang w:val="en-GB"/>
        </w:rPr>
      </w:pPr>
      <w:r w:rsidRPr="00AD35E0">
        <w:rPr>
          <w:rFonts w:ascii="Avenir Next" w:hAnsi="Avenir Next" w:cs="Arial"/>
          <w:sz w:val="22"/>
          <w:szCs w:val="22"/>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AD35E0" w:rsidRDefault="00F746D8" w:rsidP="00F746D8">
      <w:pPr>
        <w:pStyle w:val="ListParagraph"/>
        <w:numPr>
          <w:ilvl w:val="0"/>
          <w:numId w:val="28"/>
        </w:numPr>
        <w:ind w:left="426"/>
        <w:jc w:val="both"/>
        <w:rPr>
          <w:rFonts w:ascii="Avenir Next" w:hAnsi="Avenir Next" w:cs="Arial"/>
          <w:sz w:val="22"/>
          <w:szCs w:val="22"/>
          <w:lang w:val="en-GB"/>
        </w:rPr>
      </w:pPr>
      <w:r w:rsidRPr="00AD35E0">
        <w:rPr>
          <w:rFonts w:ascii="Avenir Next" w:hAnsi="Avenir Next" w:cs="Arial"/>
          <w:sz w:val="22"/>
          <w:szCs w:val="22"/>
          <w:lang w:val="en-GB"/>
        </w:rPr>
        <w:t>Article 3 states that the courts of the Member State within the territory of which the debtor has its centre of main</w:t>
      </w:r>
      <w:r w:rsidR="003E1D56" w:rsidRPr="00AD35E0">
        <w:rPr>
          <w:rFonts w:ascii="Avenir Next" w:hAnsi="Avenir Next" w:cs="Arial"/>
          <w:sz w:val="22"/>
          <w:szCs w:val="22"/>
          <w:lang w:val="en-GB"/>
        </w:rPr>
        <w:t xml:space="preserve"> interest</w:t>
      </w:r>
      <w:r w:rsidRPr="00AD35E0">
        <w:rPr>
          <w:rFonts w:ascii="Avenir Next" w:hAnsi="Avenir Next" w:cs="Arial"/>
          <w:sz w:val="22"/>
          <w:szCs w:val="22"/>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AD35E0">
        <w:rPr>
          <w:rFonts w:ascii="Avenir Next" w:hAnsi="Avenir Next" w:cs="Arial"/>
          <w:sz w:val="22"/>
          <w:szCs w:val="22"/>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AD35E0" w:rsidRDefault="00F746D8" w:rsidP="00F746D8">
      <w:pPr>
        <w:pStyle w:val="ListParagraph"/>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AD35E0" w:rsidRDefault="00F746D8" w:rsidP="00F746D8">
      <w:pPr>
        <w:pStyle w:val="ListParagraph"/>
        <w:numPr>
          <w:ilvl w:val="0"/>
          <w:numId w:val="8"/>
        </w:numPr>
        <w:ind w:left="426"/>
        <w:jc w:val="both"/>
        <w:rPr>
          <w:rFonts w:ascii="Avenir Next" w:hAnsi="Avenir Next" w:cs="Arial"/>
          <w:sz w:val="22"/>
          <w:szCs w:val="22"/>
          <w:lang w:val="en-GB"/>
        </w:rPr>
      </w:pPr>
      <w:r w:rsidRPr="00AD35E0">
        <w:rPr>
          <w:rFonts w:ascii="Avenir Next" w:hAnsi="Avenir Next"/>
          <w:sz w:val="22"/>
          <w:lang w:val="en-GB"/>
        </w:rPr>
        <w:t xml:space="preserve">The </w:t>
      </w:r>
      <w:r w:rsidRPr="00AD35E0">
        <w:rPr>
          <w:rFonts w:ascii="Avenir Next" w:hAnsi="Avenir Next" w:cs="Arial"/>
          <w:sz w:val="22"/>
          <w:szCs w:val="22"/>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D35E0" w:rsidRDefault="00F746D8" w:rsidP="00F746D8">
      <w:pPr>
        <w:pStyle w:val="ListParagraph"/>
        <w:numPr>
          <w:ilvl w:val="0"/>
          <w:numId w:val="32"/>
        </w:numPr>
        <w:ind w:left="426"/>
        <w:jc w:val="both"/>
        <w:rPr>
          <w:rFonts w:ascii="Avenir Next" w:hAnsi="Avenir Next" w:cs="Arial"/>
          <w:sz w:val="22"/>
          <w:szCs w:val="22"/>
          <w:lang w:val="en-GB"/>
        </w:rPr>
      </w:pPr>
      <w:r w:rsidRPr="00AD35E0">
        <w:rPr>
          <w:rFonts w:ascii="Avenir Next" w:hAnsi="Avenir Next" w:cs="Arial"/>
          <w:sz w:val="22"/>
          <w:szCs w:val="22"/>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AD35E0" w:rsidRDefault="00F746D8" w:rsidP="00F746D8">
      <w:pPr>
        <w:pStyle w:val="ListParagraph"/>
        <w:numPr>
          <w:ilvl w:val="0"/>
          <w:numId w:val="9"/>
        </w:numPr>
        <w:ind w:left="426"/>
        <w:jc w:val="both"/>
        <w:rPr>
          <w:rFonts w:ascii="Avenir Next" w:hAnsi="Avenir Next" w:cs="Arial"/>
          <w:sz w:val="22"/>
          <w:szCs w:val="22"/>
          <w:lang w:val="en-GB"/>
        </w:rPr>
      </w:pPr>
      <w:r w:rsidRPr="00AD35E0">
        <w:rPr>
          <w:rFonts w:ascii="Avenir Next" w:hAnsi="Avenir Next" w:cs="Arial"/>
          <w:sz w:val="22"/>
          <w:szCs w:val="22"/>
          <w:lang w:val="en-GB"/>
        </w:rPr>
        <w:t xml:space="preserve">Its centre of main interest </w:t>
      </w:r>
      <w:proofErr w:type="gramStart"/>
      <w:r w:rsidRPr="00AD35E0">
        <w:rPr>
          <w:rFonts w:ascii="Avenir Next" w:hAnsi="Avenir Next" w:cs="Arial"/>
          <w:sz w:val="22"/>
          <w:szCs w:val="22"/>
          <w:lang w:val="en-GB"/>
        </w:rPr>
        <w:t>is located in</w:t>
      </w:r>
      <w:proofErr w:type="gramEnd"/>
      <w:r w:rsidRPr="00AD35E0">
        <w:rPr>
          <w:rFonts w:ascii="Avenir Next" w:hAnsi="Avenir Next" w:cs="Arial"/>
          <w:sz w:val="22"/>
          <w:szCs w:val="22"/>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21761355" w:rsidR="006C3FB7" w:rsidRDefault="006C3FB7" w:rsidP="000A327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FC36AD">
        <w:rPr>
          <w:rFonts w:ascii="Avenir Next" w:hAnsi="Avenir Next" w:cs="Arial"/>
          <w:color w:val="7B7B7B" w:themeColor="accent3" w:themeShade="BF"/>
          <w:sz w:val="22"/>
          <w:szCs w:val="22"/>
        </w:rPr>
        <w:t>[</w:t>
      </w:r>
      <w:r w:rsidR="000A3278">
        <w:rPr>
          <w:rFonts w:ascii="Avenir Next" w:hAnsi="Avenir Next" w:cs="Arial"/>
          <w:color w:val="7B7B7B" w:themeColor="accent3" w:themeShade="BF"/>
          <w:sz w:val="22"/>
          <w:szCs w:val="22"/>
        </w:rPr>
        <w:t>Type</w:t>
      </w:r>
      <w:r w:rsidR="00FC36AD">
        <w:rPr>
          <w:rFonts w:ascii="Avenir Next" w:hAnsi="Avenir Next" w:cs="Arial"/>
          <w:color w:val="7B7B7B" w:themeColor="accent3" w:themeShade="BF"/>
          <w:sz w:val="22"/>
          <w:szCs w:val="22"/>
        </w:rPr>
        <w:t xml:space="preserve"> answer here]</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77777777" w:rsidR="000A3278"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[Type answer here]</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5CE" w14:textId="77777777" w:rsidR="006E07D8" w:rsidRDefault="006E07D8" w:rsidP="00241B44">
      <w:r>
        <w:separator/>
      </w:r>
    </w:p>
  </w:endnote>
  <w:endnote w:type="continuationSeparator" w:id="0">
    <w:p w14:paraId="5D9B96E7" w14:textId="77777777" w:rsidR="006E07D8" w:rsidRDefault="006E07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呚䵕"/>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616AB09" w:rsidR="00D509A5" w:rsidRPr="005418A0" w:rsidRDefault="00D509A5" w:rsidP="009B4976">
    <w:pPr>
      <w:pStyle w:val="Footer"/>
      <w:ind w:right="360"/>
      <w:rPr>
        <w:rFonts w:ascii="Avenir Next" w:hAnsi="Avenir Next" w:cs="Arial"/>
        <w:sz w:val="22"/>
        <w:szCs w:val="22"/>
        <w:lang w:val="en-GB"/>
      </w:rPr>
    </w:pPr>
    <w:r w:rsidRPr="005418A0">
      <w:rPr>
        <w:rFonts w:ascii="Avenir Next" w:hAnsi="Avenir Next" w:cs="Arial"/>
        <w:sz w:val="22"/>
        <w:szCs w:val="22"/>
        <w:lang w:val="en-GB"/>
      </w:rPr>
      <w:t>student</w:t>
    </w:r>
    <w:r w:rsidR="00B12EF7" w:rsidRPr="005418A0">
      <w:rPr>
        <w:rFonts w:ascii="Avenir Next" w:hAnsi="Avenir Next" w:cs="Arial"/>
        <w:sz w:val="22"/>
        <w:szCs w:val="22"/>
        <w:lang w:val="en-GB"/>
      </w:rPr>
      <w:t>ID</w:t>
    </w:r>
    <w:r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6637" w14:textId="77777777" w:rsidR="006E07D8" w:rsidRDefault="006E07D8" w:rsidP="00241B44">
      <w:r>
        <w:separator/>
      </w:r>
    </w:p>
  </w:footnote>
  <w:footnote w:type="continuationSeparator" w:id="0">
    <w:p w14:paraId="0F643B6D" w14:textId="77777777" w:rsidR="006E07D8" w:rsidRDefault="006E07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6</cp:revision>
  <cp:lastPrinted>2019-08-27T05:42:00Z</cp:lastPrinted>
  <dcterms:created xsi:type="dcterms:W3CDTF">2023-06-21T09:48:00Z</dcterms:created>
  <dcterms:modified xsi:type="dcterms:W3CDTF">2023-08-31T14:32:00Z</dcterms:modified>
</cp:coreProperties>
</file>